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400" w:lineRule="exact"/>
        <w:ind w:right="0" w:firstLine="0"/>
        <w:jc w:val="right"/>
        <w:rPr>
          <w:rFonts w:hint="default" w:ascii="仿宋_GB2312" w:hAnsi="仿宋_GB2312" w:eastAsia="仿宋_GB2312"/>
          <w:color w:val="000000" w:themeColor="text1"/>
          <w:position w:val="0"/>
          <w:sz w:val="30"/>
          <w:szCs w:val="30"/>
          <w14:textFill>
            <w14:solidFill>
              <w14:schemeClr w14:val="tx1"/>
            </w14:solidFill>
          </w14:textFill>
        </w:rPr>
      </w:pPr>
      <w:r>
        <w:rPr>
          <w:rFonts w:hint="default" w:ascii="仿宋_GB2312" w:hAnsi="仿宋_GB2312" w:eastAsia="仿宋_GB2312"/>
          <w:color w:val="000000" w:themeColor="text1"/>
          <w:position w:val="0"/>
          <w:sz w:val="30"/>
          <w:szCs w:val="30"/>
          <w14:textFill>
            <w14:solidFill>
              <w14:schemeClr w14:val="tx1"/>
            </w14:solidFill>
          </w14:textFill>
        </w:rPr>
        <w:t>A</w:t>
      </w:r>
    </w:p>
    <w:p>
      <w:pPr>
        <w:widowControl w:val="0"/>
        <w:wordWrap/>
        <w:autoSpaceDE/>
        <w:autoSpaceDN/>
        <w:jc w:val="distribute"/>
        <w:rPr>
          <w:rFonts w:hint="default" w:ascii="方正小标宋简体" w:hAnsi="方正小标宋简体" w:eastAsia="方正小标宋简体"/>
          <w:b/>
          <w:color w:val="FF0000"/>
          <w:position w:val="0"/>
          <w:sz w:val="72"/>
          <w:szCs w:val="72"/>
        </w:rPr>
      </w:pPr>
      <w:r>
        <w:rPr>
          <w:rFonts w:hint="default" w:ascii="方正小标宋简体" w:hAnsi="Times New Roman" w:eastAsia="方正小标宋简体" w:cs="Times New Roman"/>
          <w:b/>
          <w:bCs/>
          <w:color w:val="FF0000"/>
          <w:w w:val="100"/>
          <w:kern w:val="2"/>
          <w:sz w:val="72"/>
          <w:szCs w:val="24"/>
          <w:shd w:val="clear"/>
          <w:lang w:val="en-US" w:eastAsia="zh-CN" w:bidi="ar-SA"/>
        </w:rPr>
        <w:t>南通市海门生态环境局</w:t>
      </w:r>
    </w:p>
    <w:p>
      <w:pPr>
        <w:numPr>
          <w:ilvl w:val="0"/>
          <w:numId w:val="0"/>
        </w:numPr>
        <w:autoSpaceDE/>
        <w:autoSpaceDN/>
        <w:spacing w:before="0" w:after="0" w:line="400" w:lineRule="exact"/>
        <w:ind w:right="0" w:firstLine="0"/>
        <w:jc w:val="both"/>
        <w:rPr>
          <w:rFonts w:hint="default" w:ascii="仿宋_GB2312" w:hAnsi="仿宋_GB2312" w:eastAsia="仿宋_GB2312"/>
          <w:color w:val="FF0000"/>
          <w:position w:val="0"/>
          <w:sz w:val="30"/>
          <w:szCs w:val="30"/>
        </w:rPr>
      </w:pPr>
      <w:r>
        <w:rPr>
          <w:rFonts w:hint="default" w:ascii="仿宋_GB2312" w:hAnsi="仿宋_GB2312" w:eastAsia="仿宋_GB2312"/>
          <w:color w:val="FF0000"/>
          <w:position w:val="0"/>
          <w:sz w:val="30"/>
          <w:szCs w:val="30"/>
        </w:rPr>
        <w:t>━━━━━━━━━━━━━━━━━━━━━━━━━━━━━</w:t>
      </w:r>
    </w:p>
    <w:p>
      <w:pPr>
        <w:numPr>
          <w:ilvl w:val="0"/>
          <w:numId w:val="0"/>
        </w:numPr>
        <w:autoSpaceDE/>
        <w:autoSpaceDN/>
        <w:spacing w:before="0" w:after="0" w:line="400" w:lineRule="exact"/>
        <w:ind w:right="628" w:firstLine="0"/>
        <w:jc w:val="right"/>
        <w:rPr>
          <w:rFonts w:hint="default" w:ascii="仿宋_GB2312" w:hAnsi="仿宋_GB2312" w:eastAsia="仿宋_GB2312"/>
          <w:color w:val="auto"/>
          <w:position w:val="0"/>
          <w:sz w:val="30"/>
          <w:szCs w:val="30"/>
        </w:rPr>
      </w:pPr>
      <w:r>
        <w:rPr>
          <w:rFonts w:hint="eastAsia" w:ascii="仿宋_GB2312" w:eastAsia="仿宋_GB2312"/>
          <w:sz w:val="30"/>
          <w:lang w:eastAsia="zh-CN"/>
        </w:rPr>
        <w:t>海环政协主办</w:t>
      </w:r>
      <w:r>
        <w:rPr>
          <w:rFonts w:hint="default" w:ascii="仿宋_GB2312" w:hAnsi="宋体" w:eastAsia="宋体"/>
          <w:color w:val="auto"/>
          <w:position w:val="0"/>
          <w:sz w:val="30"/>
          <w:szCs w:val="30"/>
        </w:rPr>
        <w:t>﹝</w:t>
      </w:r>
      <w:r>
        <w:rPr>
          <w:rFonts w:hint="default" w:ascii="仿宋_GB2312" w:hAnsi="仿宋_GB2312" w:eastAsia="仿宋_GB2312"/>
          <w:color w:val="auto"/>
          <w:position w:val="0"/>
          <w:sz w:val="30"/>
          <w:szCs w:val="30"/>
        </w:rPr>
        <w:t>202</w:t>
      </w:r>
      <w:r>
        <w:rPr>
          <w:rFonts w:hint="eastAsia" w:ascii="仿宋_GB2312" w:hAnsi="仿宋_GB2312" w:eastAsia="仿宋_GB2312"/>
          <w:color w:val="auto"/>
          <w:position w:val="0"/>
          <w:sz w:val="30"/>
          <w:szCs w:val="30"/>
          <w:lang w:val="en-US" w:eastAsia="zh-CN"/>
        </w:rPr>
        <w:t>2</w:t>
      </w:r>
      <w:r>
        <w:rPr>
          <w:rFonts w:hint="default" w:ascii="仿宋_GB2312" w:hAnsi="宋体" w:eastAsia="宋体"/>
          <w:color w:val="auto"/>
          <w:position w:val="0"/>
          <w:sz w:val="30"/>
          <w:szCs w:val="30"/>
        </w:rPr>
        <w:t>﹞</w:t>
      </w:r>
      <w:r>
        <w:rPr>
          <w:rFonts w:hint="eastAsia" w:ascii="仿宋_GB2312" w:hAnsi="宋体"/>
          <w:color w:val="auto"/>
          <w:position w:val="0"/>
          <w:sz w:val="30"/>
          <w:szCs w:val="30"/>
          <w:lang w:val="en-US" w:eastAsia="zh-CN"/>
        </w:rPr>
        <w:t>3</w:t>
      </w:r>
      <w:r>
        <w:rPr>
          <w:rFonts w:hint="default" w:ascii="仿宋_GB2312" w:hAnsi="仿宋_GB2312" w:eastAsia="仿宋_GB2312"/>
          <w:color w:val="auto"/>
          <w:position w:val="0"/>
          <w:sz w:val="30"/>
          <w:szCs w:val="30"/>
        </w:rPr>
        <w:t>号                  签发人：刘华军</w:t>
      </w:r>
    </w:p>
    <w:p>
      <w:pPr>
        <w:numPr>
          <w:ilvl w:val="0"/>
          <w:numId w:val="0"/>
        </w:numPr>
        <w:autoSpaceDE/>
        <w:autoSpaceDN/>
        <w:spacing w:before="0" w:after="0" w:line="400" w:lineRule="exact"/>
        <w:ind w:right="0" w:firstLine="0"/>
        <w:jc w:val="both"/>
        <w:rPr>
          <w:rFonts w:hint="default" w:ascii="黑体" w:hAnsi="黑体" w:eastAsia="黑体"/>
          <w:color w:val="auto"/>
          <w:position w:val="0"/>
          <w:sz w:val="36"/>
          <w:szCs w:val="36"/>
        </w:rPr>
      </w:pPr>
    </w:p>
    <w:p>
      <w:pPr>
        <w:pageBreakBefore w:val="0"/>
        <w:numPr>
          <w:ilvl w:val="0"/>
          <w:numId w:val="0"/>
        </w:numPr>
        <w:wordWrap w:val="0"/>
        <w:autoSpaceDE/>
        <w:autoSpaceDN/>
        <w:bidi w:val="0"/>
        <w:spacing w:before="0" w:after="0" w:line="400" w:lineRule="exact"/>
        <w:ind w:right="0" w:firstLine="0"/>
        <w:jc w:val="center"/>
        <w:rPr>
          <w:rFonts w:hint="default" w:ascii="黑体" w:hAnsi="黑体" w:eastAsia="黑体"/>
          <w:color w:val="auto"/>
          <w:spacing w:val="0"/>
          <w:position w:val="0"/>
          <w:sz w:val="36"/>
          <w:szCs w:val="36"/>
        </w:rPr>
      </w:pPr>
      <w:r>
        <w:rPr>
          <w:rFonts w:hint="default" w:ascii="黑体" w:hAnsi="黑体" w:eastAsia="黑体"/>
          <w:color w:val="auto"/>
          <w:spacing w:val="0"/>
          <w:position w:val="0"/>
          <w:sz w:val="36"/>
          <w:szCs w:val="36"/>
        </w:rPr>
        <w:t>对</w:t>
      </w:r>
      <w:r>
        <w:rPr>
          <w:rFonts w:hint="eastAsia" w:ascii="黑体" w:hAnsi="黑体" w:eastAsia="黑体"/>
          <w:color w:val="auto"/>
          <w:spacing w:val="0"/>
          <w:position w:val="0"/>
          <w:sz w:val="36"/>
          <w:szCs w:val="36"/>
          <w:lang w:val="en-US" w:eastAsia="zh-CN"/>
        </w:rPr>
        <w:t>区</w:t>
      </w:r>
      <w:r>
        <w:rPr>
          <w:rFonts w:hint="default" w:ascii="黑体" w:hAnsi="黑体" w:eastAsia="黑体"/>
          <w:color w:val="auto"/>
          <w:spacing w:val="0"/>
          <w:position w:val="0"/>
          <w:sz w:val="36"/>
          <w:szCs w:val="36"/>
        </w:rPr>
        <w:t>政协十</w:t>
      </w:r>
      <w:r>
        <w:rPr>
          <w:rFonts w:hint="eastAsia" w:ascii="黑体" w:hAnsi="黑体" w:eastAsia="黑体"/>
          <w:color w:val="auto"/>
          <w:spacing w:val="0"/>
          <w:position w:val="0"/>
          <w:sz w:val="36"/>
          <w:szCs w:val="36"/>
          <w:lang w:val="en-US" w:eastAsia="zh-CN"/>
        </w:rPr>
        <w:t>五</w:t>
      </w:r>
      <w:r>
        <w:rPr>
          <w:rFonts w:hint="default" w:ascii="黑体" w:hAnsi="黑体" w:eastAsia="黑体"/>
          <w:color w:val="auto"/>
          <w:spacing w:val="0"/>
          <w:position w:val="0"/>
          <w:sz w:val="36"/>
          <w:szCs w:val="36"/>
        </w:rPr>
        <w:t>届</w:t>
      </w:r>
      <w:r>
        <w:rPr>
          <w:rFonts w:hint="eastAsia" w:ascii="黑体" w:hAnsi="黑体" w:eastAsia="黑体"/>
          <w:color w:val="auto"/>
          <w:spacing w:val="0"/>
          <w:position w:val="0"/>
          <w:sz w:val="36"/>
          <w:szCs w:val="36"/>
          <w:lang w:val="en-US" w:eastAsia="zh-CN"/>
        </w:rPr>
        <w:t>一</w:t>
      </w:r>
      <w:r>
        <w:rPr>
          <w:rFonts w:hint="default" w:ascii="黑体" w:hAnsi="黑体" w:eastAsia="黑体"/>
          <w:color w:val="auto"/>
          <w:spacing w:val="0"/>
          <w:position w:val="0"/>
          <w:sz w:val="36"/>
          <w:szCs w:val="36"/>
        </w:rPr>
        <w:t>次会议第</w:t>
      </w:r>
      <w:r>
        <w:rPr>
          <w:rFonts w:hint="eastAsia" w:ascii="黑体" w:hAnsi="黑体" w:eastAsia="黑体"/>
          <w:color w:val="auto"/>
          <w:spacing w:val="0"/>
          <w:position w:val="0"/>
          <w:sz w:val="36"/>
          <w:szCs w:val="36"/>
          <w:lang w:val="en-US" w:eastAsia="zh-CN"/>
        </w:rPr>
        <w:t>335</w:t>
      </w:r>
      <w:r>
        <w:rPr>
          <w:rFonts w:hint="default" w:ascii="黑体" w:hAnsi="黑体" w:eastAsia="黑体"/>
          <w:color w:val="auto"/>
          <w:spacing w:val="0"/>
          <w:position w:val="0"/>
          <w:sz w:val="36"/>
          <w:szCs w:val="36"/>
        </w:rPr>
        <w:t>号提案的答复</w:t>
      </w:r>
    </w:p>
    <w:p>
      <w:pPr>
        <w:pageBreakBefore w:val="0"/>
        <w:numPr>
          <w:ilvl w:val="0"/>
          <w:numId w:val="0"/>
        </w:numPr>
        <w:wordWrap w:val="0"/>
        <w:autoSpaceDE/>
        <w:autoSpaceDN/>
        <w:bidi w:val="0"/>
        <w:spacing w:before="0" w:after="0" w:line="420" w:lineRule="exact"/>
        <w:ind w:right="0" w:firstLine="0"/>
        <w:jc w:val="center"/>
        <w:rPr>
          <w:rFonts w:hint="default" w:ascii="黑体" w:hAnsi="黑体" w:eastAsia="黑体"/>
          <w:color w:val="auto"/>
          <w:spacing w:val="0"/>
          <w:position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施逸敏</w:t>
      </w:r>
      <w:r>
        <w:rPr>
          <w:rFonts w:hint="default" w:ascii="仿宋_GB2312" w:hAnsi="Times New Roman" w:eastAsia="仿宋_GB2312" w:cs="Times New Roman"/>
          <w:w w:val="100"/>
          <w:kern w:val="2"/>
          <w:sz w:val="30"/>
          <w:szCs w:val="24"/>
          <w:shd w:val="clear"/>
          <w:lang w:val="en-US" w:eastAsia="zh-CN" w:bidi="ar-SA"/>
        </w:rPr>
        <w:t>委员：</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Times New Roman" w:eastAsia="仿宋_GB2312" w:cs="Times New Roman"/>
          <w:w w:val="100"/>
          <w:kern w:val="2"/>
          <w:sz w:val="30"/>
          <w:szCs w:val="24"/>
          <w:shd w:val="clear"/>
          <w:lang w:val="en-US" w:eastAsia="zh-CN" w:bidi="ar-SA"/>
        </w:rPr>
      </w:pPr>
      <w:r>
        <w:rPr>
          <w:rFonts w:hint="default" w:ascii="仿宋_GB2312" w:hAnsi="Times New Roman" w:eastAsia="仿宋_GB2312" w:cs="Times New Roman"/>
          <w:w w:val="100"/>
          <w:kern w:val="2"/>
          <w:sz w:val="30"/>
          <w:szCs w:val="24"/>
          <w:shd w:val="clear"/>
          <w:lang w:val="en-US" w:eastAsia="zh-CN" w:bidi="ar-SA"/>
        </w:rPr>
        <w:t>您提出的关于</w:t>
      </w:r>
      <w:r>
        <w:rPr>
          <w:rFonts w:hint="eastAsia" w:ascii="仿宋_GB2312" w:hAnsi="Times New Roman" w:eastAsia="仿宋_GB2312" w:cs="Times New Roman"/>
          <w:w w:val="100"/>
          <w:kern w:val="2"/>
          <w:sz w:val="30"/>
          <w:szCs w:val="24"/>
          <w:shd w:val="clear"/>
          <w:lang w:val="en-US" w:eastAsia="zh-CN" w:bidi="ar-SA"/>
        </w:rPr>
        <w:t>加强对工业企业雨污分流监管的建议</w:t>
      </w:r>
      <w:r>
        <w:rPr>
          <w:rFonts w:hint="default" w:ascii="仿宋_GB2312" w:hAnsi="Times New Roman" w:eastAsia="仿宋_GB2312" w:cs="Times New Roman"/>
          <w:w w:val="100"/>
          <w:kern w:val="2"/>
          <w:sz w:val="30"/>
          <w:szCs w:val="24"/>
          <w:shd w:val="clear"/>
          <w:lang w:val="en-US" w:eastAsia="zh-CN" w:bidi="ar-SA"/>
        </w:rPr>
        <w:t>的提案收悉，现答复如下：</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方正黑体_GBK" w:hAnsi="方正黑体_GBK" w:eastAsia="方正黑体_GBK" w:cs="方正黑体_GBK"/>
          <w:w w:val="100"/>
          <w:kern w:val="2"/>
          <w:sz w:val="30"/>
          <w:szCs w:val="24"/>
          <w:shd w:val="clear"/>
          <w:lang w:val="en-US" w:eastAsia="zh-CN" w:bidi="ar-SA"/>
        </w:rPr>
      </w:pPr>
      <w:r>
        <w:rPr>
          <w:rFonts w:hint="eastAsia" w:ascii="方正黑体_GBK" w:hAnsi="方正黑体_GBK" w:eastAsia="方正黑体_GBK" w:cs="方正黑体_GBK"/>
          <w:w w:val="100"/>
          <w:kern w:val="2"/>
          <w:sz w:val="30"/>
          <w:szCs w:val="24"/>
          <w:shd w:val="clear"/>
          <w:lang w:val="en-US" w:eastAsia="zh-CN" w:bidi="ar-SA"/>
        </w:rPr>
        <w:t>一、工作开展情况</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1.开展工业企业雨污管道排查。全区11个区镇对辖区工业企业雨污管网开展排查。常乐镇委托第三方排查工业企业39家，整改结束后，由第三方绘制雨污分流示意图上墙并完成雨污分流测绘电子图。海门港新区首期32家规上企业已完成企业内部雨污管道排查，并提供雨污管道CCTV检测报告。临江新区对规模以上15家工业企业开展厂区内雨污管网分流改造工作。同时开展专项检查，对私接管网，偷排漏接的工业企业上门送达整改通知，对限期不予整改的，从重处罚。三星镇完成了30家规模以上工业企业雨污分流情况进行排查并开展截污纳管。四甲镇完成了21家规模工业企业厂区内雨污水管实施改造。余东镇对工业园区和大新河沿线周边的34家企业内部雨污管道进行排查，企业根据排查报告已完成整改，并由专业第三方公司进行了现场验收。针对不能进行雨污分流的污水，余东镇在余东老镇区、树勋老镇区分别建设了智能截污井，把暂时不能实施雨污分流的老镇区管网通过智能截污井的方式予以截污和排污。悦来镇委托第三方对31家规模工业企业的雨污水管分流改造进行排查并形成排查报告。正余镇对52家单位进行了厂区内部雨污水管网系统排查，已完成整改8家。三厂工业园区在2019年青龙河整治的同时进行青龙园区23家企业的雨污分流工作。目前青龙园区的重点企业的雨污分流全部整改到位。海门街道对进入市政污水管网的工业企业进行全面排查。海永镇对1家工业企业开展雨污分流接管。预计2022年12月底前完成对该企业的雨污分流接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2.开展工业企业纳管评估。生态环境局委托第三方对全区已经纳管的60家有工业废水纳管的工业企业开展评估工作，排查纳管企业存在问题。目前，一企业一评估初步报告已经完成，全区纳管评估报告正在编写中。</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3.开展工业企业雨水监控建设。为防范工业企业通过雨水排放实施违法行为，今年生态环境局对32余家沿河重点企业在雨水排口安装雨水排口水质在线监控设施。目前已经全部完成。</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4.开展工业企业排口执法检查。生态环境局各执法分局对辖区工业企业排口强化执法监管，今年以来，累计执法监管100多人次。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方正黑体_GBK" w:hAnsi="方正黑体_GBK" w:eastAsia="方正黑体_GBK" w:cs="方正黑体_GBK"/>
          <w:w w:val="100"/>
          <w:kern w:val="2"/>
          <w:sz w:val="30"/>
          <w:szCs w:val="24"/>
          <w:shd w:val="clear"/>
          <w:lang w:val="en-US" w:eastAsia="zh-CN" w:bidi="ar-SA"/>
        </w:rPr>
      </w:pPr>
      <w:r>
        <w:rPr>
          <w:rFonts w:hint="default" w:ascii="方正黑体_GBK" w:hAnsi="方正黑体_GBK" w:eastAsia="方正黑体_GBK" w:cs="方正黑体_GBK"/>
          <w:w w:val="100"/>
          <w:kern w:val="2"/>
          <w:sz w:val="30"/>
          <w:szCs w:val="24"/>
          <w:shd w:val="clear"/>
          <w:lang w:val="en-US" w:eastAsia="zh-CN" w:bidi="ar-SA"/>
        </w:rPr>
        <w:t>二、下一步工作措施</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1.协助区镇对工业企业雨污管道排查发现的问题，落实整改工作，确保按期完成整改。做到该取缔的取缔，该整改的整改，切实规范工业企业行为。</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2.完成工业企业纳管评估报告编制，对纳管企业存在问题的落实整改。</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Times New Roman" w:eastAsia="仿宋_GB2312" w:cs="Times New Roman"/>
          <w:w w:val="100"/>
          <w:kern w:val="2"/>
          <w:sz w:val="30"/>
          <w:szCs w:val="24"/>
          <w:shd w:val="clear"/>
          <w:lang w:val="en-US" w:eastAsia="zh-CN" w:bidi="ar-SA"/>
        </w:rPr>
      </w:pPr>
      <w:r>
        <w:rPr>
          <w:rFonts w:hint="eastAsia" w:ascii="仿宋_GB2312" w:hAnsi="Times New Roman" w:eastAsia="仿宋_GB2312" w:cs="Times New Roman"/>
          <w:w w:val="100"/>
          <w:kern w:val="2"/>
          <w:sz w:val="30"/>
          <w:szCs w:val="24"/>
          <w:shd w:val="clear"/>
          <w:lang w:val="en-US" w:eastAsia="zh-CN" w:bidi="ar-SA"/>
        </w:rPr>
        <w:t>3.加强企业排污行为的执法检查，通过交叉检查、突击检查等方式，切实打击各类环境违法行为。</w:t>
      </w:r>
      <w:r>
        <w:rPr>
          <w:rFonts w:hint="default" w:ascii="仿宋_GB2312" w:hAnsi="Times New Roman" w:eastAsia="仿宋_GB2312" w:cs="Times New Roman"/>
          <w:w w:val="100"/>
          <w:kern w:val="2"/>
          <w:sz w:val="30"/>
          <w:szCs w:val="24"/>
          <w:shd w:val="clear"/>
          <w:lang w:val="en-US" w:eastAsia="zh-CN" w:bidi="ar-SA"/>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仿宋_GB2312" w:hAnsi="Times New Roman" w:eastAsia="仿宋_GB2312" w:cs="Times New Roman"/>
          <w:w w:val="100"/>
          <w:kern w:val="2"/>
          <w:sz w:val="30"/>
          <w:szCs w:val="24"/>
          <w:shd w:val="clear"/>
          <w:lang w:val="en-US" w:eastAsia="zh-CN" w:bidi="ar-SA"/>
        </w:rPr>
      </w:pP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jc w:val="both"/>
        <w:textAlignment w:val="auto"/>
        <w:rPr>
          <w:rFonts w:hint="default" w:ascii="仿宋_GB2312" w:hAnsi="仿宋_GB2312" w:eastAsia="仿宋_GB2312"/>
          <w:color w:val="000000"/>
          <w:spacing w:val="0"/>
          <w:position w:val="0"/>
          <w:sz w:val="30"/>
          <w:szCs w:val="30"/>
        </w:rPr>
      </w:pP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5100"/>
        <w:jc w:val="both"/>
        <w:textAlignment w:val="auto"/>
        <w:rPr>
          <w:rFonts w:hint="default" w:ascii="仿宋_GB2312" w:hAnsi="仿宋_GB2312" w:eastAsia="仿宋_GB2312"/>
          <w:color w:val="000000"/>
          <w:spacing w:val="0"/>
          <w:position w:val="0"/>
          <w:sz w:val="30"/>
          <w:szCs w:val="30"/>
        </w:rPr>
      </w:pP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5100"/>
        <w:jc w:val="both"/>
        <w:textAlignment w:val="auto"/>
        <w:rPr>
          <w:rFonts w:hint="default" w:ascii="仿宋_GB2312" w:hAnsi="仿宋_GB2312" w:eastAsia="仿宋_GB2312"/>
          <w:color w:val="auto"/>
          <w:position w:val="0"/>
          <w:sz w:val="30"/>
          <w:szCs w:val="30"/>
        </w:rPr>
      </w:pPr>
      <w:r>
        <w:rPr>
          <w:rFonts w:hint="default" w:ascii="仿宋_GB2312" w:hAnsi="仿宋_GB2312" w:eastAsia="仿宋_GB2312"/>
          <w:color w:val="000000"/>
          <w:spacing w:val="0"/>
          <w:position w:val="0"/>
          <w:sz w:val="30"/>
          <w:szCs w:val="30"/>
        </w:rPr>
        <w:t>南通市</w:t>
      </w:r>
      <w:r>
        <w:rPr>
          <w:rFonts w:hint="default" w:ascii="仿宋_GB2312" w:hAnsi="仿宋_GB2312" w:eastAsia="仿宋_GB2312"/>
          <w:color w:val="auto"/>
          <w:position w:val="0"/>
          <w:sz w:val="30"/>
          <w:szCs w:val="30"/>
        </w:rPr>
        <w:t>海门生态环境局</w:t>
      </w: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5400" w:firstLineChars="1800"/>
        <w:jc w:val="both"/>
        <w:textAlignment w:val="auto"/>
        <w:rPr>
          <w:rFonts w:hint="default" w:ascii="仿宋_GB2312" w:hAnsi="仿宋_GB2312" w:eastAsia="仿宋_GB2312"/>
          <w:color w:val="auto"/>
          <w:position w:val="0"/>
          <w:sz w:val="30"/>
          <w:szCs w:val="30"/>
        </w:rPr>
      </w:pPr>
      <w:r>
        <w:rPr>
          <w:rFonts w:hint="eastAsia" w:ascii="仿宋_GB2312" w:hAnsi="仿宋_GB2312" w:eastAsia="仿宋_GB2312"/>
          <w:color w:val="auto"/>
          <w:position w:val="0"/>
          <w:sz w:val="30"/>
          <w:szCs w:val="30"/>
          <w:lang w:val="en-US" w:eastAsia="zh-CN"/>
        </w:rPr>
        <w:t>2022</w:t>
      </w:r>
      <w:r>
        <w:rPr>
          <w:rFonts w:hint="default" w:ascii="仿宋_GB2312" w:hAnsi="仿宋_GB2312" w:eastAsia="仿宋_GB2312"/>
          <w:color w:val="auto"/>
          <w:position w:val="0"/>
          <w:sz w:val="30"/>
          <w:szCs w:val="30"/>
        </w:rPr>
        <w:t>年</w:t>
      </w:r>
      <w:r>
        <w:rPr>
          <w:rFonts w:hint="eastAsia" w:ascii="仿宋_GB2312" w:hAnsi="仿宋_GB2312" w:eastAsia="仿宋_GB2312"/>
          <w:color w:val="auto"/>
          <w:position w:val="0"/>
          <w:sz w:val="30"/>
          <w:szCs w:val="30"/>
          <w:lang w:val="en-US" w:eastAsia="zh-CN"/>
        </w:rPr>
        <w:t>10</w:t>
      </w:r>
      <w:r>
        <w:rPr>
          <w:rFonts w:hint="default" w:ascii="仿宋_GB2312" w:hAnsi="仿宋_GB2312" w:eastAsia="仿宋_GB2312"/>
          <w:color w:val="auto"/>
          <w:position w:val="0"/>
          <w:sz w:val="30"/>
          <w:szCs w:val="30"/>
        </w:rPr>
        <w:t>月</w:t>
      </w:r>
      <w:r>
        <w:rPr>
          <w:rFonts w:hint="eastAsia" w:ascii="仿宋_GB2312" w:hAnsi="仿宋_GB2312" w:eastAsia="仿宋_GB2312"/>
          <w:color w:val="auto"/>
          <w:position w:val="0"/>
          <w:sz w:val="30"/>
          <w:szCs w:val="30"/>
          <w:lang w:val="en-US" w:eastAsia="zh-CN"/>
        </w:rPr>
        <w:t>12</w:t>
      </w:r>
      <w:r>
        <w:rPr>
          <w:rFonts w:hint="default" w:ascii="仿宋_GB2312" w:hAnsi="仿宋_GB2312" w:eastAsia="仿宋_GB2312"/>
          <w:color w:val="auto"/>
          <w:position w:val="0"/>
          <w:sz w:val="30"/>
          <w:szCs w:val="30"/>
        </w:rPr>
        <w:t>日</w:t>
      </w: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0"/>
        <w:jc w:val="both"/>
        <w:textAlignment w:val="auto"/>
        <w:rPr>
          <w:rFonts w:hint="default" w:ascii="仿宋_GB2312" w:hAnsi="仿宋_GB2312" w:eastAsia="仿宋_GB2312"/>
          <w:color w:val="auto"/>
          <w:position w:val="0"/>
          <w:sz w:val="30"/>
          <w:szCs w:val="30"/>
        </w:rPr>
      </w:pP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0"/>
        <w:jc w:val="both"/>
        <w:textAlignment w:val="auto"/>
        <w:rPr>
          <w:rFonts w:hint="default" w:ascii="仿宋_GB2312" w:hAnsi="仿宋_GB2312" w:eastAsia="仿宋_GB2312"/>
          <w:color w:val="auto"/>
          <w:position w:val="0"/>
          <w:sz w:val="30"/>
          <w:szCs w:val="30"/>
        </w:rPr>
      </w:pPr>
      <w:r>
        <w:rPr>
          <w:rFonts w:hint="default" w:ascii="仿宋_GB2312" w:hAnsi="仿宋_GB2312" w:eastAsia="仿宋_GB2312"/>
          <w:color w:val="auto"/>
          <w:position w:val="0"/>
          <w:sz w:val="30"/>
          <w:szCs w:val="30"/>
        </w:rPr>
        <w:t>联系人姓名及职务：顾春铵，</w:t>
      </w:r>
      <w:r>
        <w:rPr>
          <w:rFonts w:hint="eastAsia" w:ascii="仿宋_GB2312" w:hAnsi="仿宋_GB2312" w:eastAsia="仿宋_GB2312"/>
          <w:color w:val="auto"/>
          <w:position w:val="0"/>
          <w:sz w:val="30"/>
          <w:szCs w:val="30"/>
          <w:lang w:val="en-US" w:eastAsia="zh-CN"/>
        </w:rPr>
        <w:t>南通市海门生态环境局水科科长</w:t>
      </w: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0"/>
        <w:jc w:val="both"/>
        <w:textAlignment w:val="auto"/>
        <w:rPr>
          <w:rFonts w:hint="default" w:ascii="仿宋_GB2312" w:hAnsi="Times New Roman" w:eastAsia="Times New Roman"/>
          <w:color w:val="auto"/>
          <w:position w:val="0"/>
          <w:sz w:val="30"/>
          <w:szCs w:val="30"/>
        </w:rPr>
      </w:pPr>
      <w:r>
        <w:rPr>
          <w:rFonts w:hint="default" w:ascii="仿宋_GB2312" w:hAnsi="仿宋_GB2312" w:eastAsia="仿宋_GB2312"/>
          <w:color w:val="auto"/>
          <w:position w:val="0"/>
          <w:sz w:val="30"/>
          <w:szCs w:val="30"/>
        </w:rPr>
        <w:t>联系电话：0513-</w:t>
      </w:r>
      <w:r>
        <w:rPr>
          <w:rFonts w:hint="eastAsia" w:ascii="仿宋_GB2312" w:hAnsi="仿宋_GB2312" w:eastAsia="仿宋_GB2312"/>
          <w:color w:val="auto"/>
          <w:position w:val="0"/>
          <w:sz w:val="30"/>
          <w:szCs w:val="30"/>
          <w:lang w:val="en-US" w:eastAsia="zh-CN"/>
        </w:rPr>
        <w:t>69956511</w:t>
      </w:r>
    </w:p>
    <w:p>
      <w:pPr>
        <w:keepNext w:val="0"/>
        <w:keepLines w:val="0"/>
        <w:pageBreakBefore w:val="0"/>
        <w:widowControl/>
        <w:numPr>
          <w:ilvl w:val="0"/>
          <w:numId w:val="0"/>
        </w:numPr>
        <w:kinsoku/>
        <w:wordWrap w:val="0"/>
        <w:overflowPunct/>
        <w:topLinePunct w:val="0"/>
        <w:autoSpaceDE/>
        <w:autoSpaceDN/>
        <w:bidi w:val="0"/>
        <w:adjustRightInd/>
        <w:spacing w:before="0" w:after="0" w:line="516" w:lineRule="exact"/>
        <w:ind w:right="0" w:firstLine="0"/>
        <w:jc w:val="both"/>
        <w:textAlignment w:val="auto"/>
        <w:rPr>
          <w:rFonts w:hint="default" w:ascii="仿宋_GB2312" w:hAnsi="仿宋_GB2312" w:eastAsia="仿宋_GB2312"/>
          <w:color w:val="auto"/>
          <w:position w:val="0"/>
          <w:sz w:val="30"/>
          <w:szCs w:val="30"/>
        </w:rPr>
      </w:pPr>
    </w:p>
    <w:sectPr>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 w:name="Malgun Gothic">
    <w:panose1 w:val="020B0503020000020004"/>
    <w:charset w:val="81"/>
    <w:family w:val="auto"/>
    <w:pitch w:val="default"/>
    <w:sig w:usb0="900002AF" w:usb1="01D77CFB" w:usb2="00000012" w:usb3="00000000" w:csb0="0008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
  <w:docVars>
    <w:docVar w:name="commondata" w:val="eyJoZGlkIjoiMWI1NTg0NWM0YTg1YTc0MGZiODkzZGRkZWZmZjA0YWMifQ=="/>
  </w:docVars>
  <w:rsids>
    <w:rsidRoot w:val="00000000"/>
    <w:rsid w:val="020B0BC3"/>
    <w:rsid w:val="039A462A"/>
    <w:rsid w:val="039C068D"/>
    <w:rsid w:val="058C66E9"/>
    <w:rsid w:val="12E61457"/>
    <w:rsid w:val="13075F36"/>
    <w:rsid w:val="1B8453A4"/>
    <w:rsid w:val="1D2A680F"/>
    <w:rsid w:val="24EC308D"/>
    <w:rsid w:val="32F77F99"/>
    <w:rsid w:val="3FF87828"/>
    <w:rsid w:val="47D40B4C"/>
    <w:rsid w:val="4BFC176D"/>
    <w:rsid w:val="4E4F242B"/>
    <w:rsid w:val="4E817D91"/>
    <w:rsid w:val="54B92DE5"/>
    <w:rsid w:val="5B962018"/>
    <w:rsid w:val="5BE508A9"/>
    <w:rsid w:val="5D7F2548"/>
    <w:rsid w:val="5DDC7FDE"/>
    <w:rsid w:val="5F8F71EC"/>
    <w:rsid w:val="69CB7928"/>
    <w:rsid w:val="6A3C1FDC"/>
    <w:rsid w:val="6BBE050E"/>
    <w:rsid w:val="6CDA3D2E"/>
    <w:rsid w:val="778356EE"/>
    <w:rsid w:val="7828681D"/>
    <w:rsid w:val="7F624A57"/>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wordWrap/>
      <w:autoSpaceDE/>
      <w:autoSpaceDN/>
      <w:jc w:val="both"/>
    </w:pPr>
    <w:rPr>
      <w:rFonts w:ascii="Calibri" w:hAnsi="Calibri" w:eastAsia="宋体" w:cstheme="minorBidi"/>
      <w:w w:val="100"/>
      <w:sz w:val="21"/>
      <w:szCs w:val="21"/>
      <w:shd w:val="clear"/>
    </w:rPr>
  </w:style>
  <w:style w:type="paragraph" w:styleId="3">
    <w:name w:val="heading 1"/>
    <w:next w:val="1"/>
    <w:qFormat/>
    <w:uiPriority w:val="7"/>
    <w:pPr>
      <w:widowControl/>
      <w:wordWrap/>
      <w:autoSpaceDE/>
      <w:autoSpaceDN/>
      <w:jc w:val="both"/>
    </w:pPr>
    <w:rPr>
      <w:rFonts w:ascii="Times New Roman" w:hAnsi="Times New Roman" w:eastAsia="Times New Roman" w:cstheme="minorBidi"/>
      <w:w w:val="100"/>
      <w:sz w:val="28"/>
      <w:szCs w:val="28"/>
      <w:shd w:val="clear"/>
    </w:rPr>
  </w:style>
  <w:style w:type="paragraph" w:styleId="4">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3"/>
    <w:basedOn w:val="1"/>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6">
    <w:name w:val="Default Paragraph Font"/>
    <w:semiHidden/>
    <w:unhideWhenUsed/>
    <w:qFormat/>
    <w:uiPriority w:val="2"/>
  </w:style>
  <w:style w:type="table" w:default="1" w:styleId="25">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Body Text Indent"/>
    <w:basedOn w:val="1"/>
    <w:semiHidden/>
    <w:unhideWhenUsed/>
    <w:qFormat/>
    <w:uiPriority w:val="99"/>
    <w:pPr>
      <w:spacing w:after="120"/>
      <w:ind w:left="420" w:leftChars="200"/>
    </w:pPr>
  </w:style>
  <w:style w:type="paragraph" w:styleId="13">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6">
    <w:name w:val="footer"/>
    <w:basedOn w:val="1"/>
    <w:next w:val="1"/>
    <w:link w:val="40"/>
    <w:qFormat/>
    <w:uiPriority w:val="154"/>
    <w:pPr>
      <w:widowControl/>
      <w:tabs>
        <w:tab w:val="center" w:pos="4153"/>
        <w:tab w:val="right" w:pos="8306"/>
      </w:tabs>
      <w:wordWrap/>
      <w:autoSpaceDE/>
      <w:autoSpaceDN/>
    </w:pPr>
    <w:rPr>
      <w:w w:val="100"/>
      <w:sz w:val="18"/>
      <w:szCs w:val="18"/>
      <w:shd w:val="clear"/>
    </w:rPr>
  </w:style>
  <w:style w:type="paragraph" w:styleId="17">
    <w:name w:val="header"/>
    <w:basedOn w:val="1"/>
    <w:link w:val="39"/>
    <w:qFormat/>
    <w:uiPriority w:val="152"/>
    <w:pPr>
      <w:widowControl/>
      <w:tabs>
        <w:tab w:val="center" w:pos="4153"/>
        <w:tab w:val="right" w:pos="8306"/>
      </w:tabs>
      <w:wordWrap/>
      <w:autoSpaceDE/>
      <w:autoSpaceDN/>
      <w:jc w:val="center"/>
    </w:pPr>
    <w:rPr>
      <w:w w:val="100"/>
      <w:sz w:val="18"/>
      <w:szCs w:val="18"/>
      <w:shd w:val="clear"/>
    </w:rPr>
  </w:style>
  <w:style w:type="paragraph" w:styleId="18">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9">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20">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21">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22">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3">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4">
    <w:name w:val="Title"/>
    <w:basedOn w:val="1"/>
    <w:next w:val="12"/>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character" w:styleId="27">
    <w:name w:val="Strong"/>
    <w:basedOn w:val="26"/>
    <w:qFormat/>
    <w:uiPriority w:val="20"/>
    <w:rPr>
      <w:b/>
      <w:w w:val="100"/>
      <w:sz w:val="20"/>
      <w:szCs w:val="20"/>
      <w:shd w:val="clear"/>
    </w:rPr>
  </w:style>
  <w:style w:type="character" w:styleId="28">
    <w:name w:val="Emphasis"/>
    <w:qFormat/>
    <w:uiPriority w:val="18"/>
    <w:rPr>
      <w:i/>
      <w:w w:val="100"/>
      <w:sz w:val="21"/>
      <w:szCs w:val="21"/>
      <w:shd w:val="clear"/>
    </w:rPr>
  </w:style>
  <w:style w:type="paragraph" w:styleId="29">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styleId="32">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1"/>
      <w:szCs w:val="21"/>
      <w:shd w:val="clear"/>
    </w:rPr>
  </w:style>
  <w:style w:type="paragraph" w:styleId="33">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styleId="37">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8">
    <w:name w:val="TOC Heading"/>
    <w:unhideWhenUsed/>
    <w:qFormat/>
    <w:uiPriority w:val="27"/>
    <w:pPr>
      <w:widowControl/>
      <w:wordWrap/>
      <w:autoSpaceDE/>
      <w:autoSpaceDN/>
    </w:pPr>
    <w:rPr>
      <w:rFonts w:ascii="Times New Roman" w:hAnsi="Times New Roman" w:eastAsia="Times New Roman" w:cstheme="minorBidi"/>
      <w:color w:val="2E74B5"/>
      <w:w w:val="100"/>
      <w:sz w:val="32"/>
      <w:szCs w:val="32"/>
      <w:shd w:val="clear"/>
    </w:rPr>
  </w:style>
  <w:style w:type="character" w:customStyle="1" w:styleId="39">
    <w:name w:val="页眉 Char"/>
    <w:basedOn w:val="26"/>
    <w:link w:val="17"/>
    <w:qFormat/>
    <w:uiPriority w:val="153"/>
    <w:rPr>
      <w:rFonts w:ascii="Calibri" w:hAnsi="Calibri" w:eastAsia="宋体"/>
      <w:w w:val="100"/>
      <w:sz w:val="18"/>
      <w:szCs w:val="18"/>
      <w:shd w:val="clear"/>
    </w:rPr>
  </w:style>
  <w:style w:type="character" w:customStyle="1" w:styleId="40">
    <w:name w:val="页脚 Char"/>
    <w:basedOn w:val="26"/>
    <w:link w:val="16"/>
    <w:qFormat/>
    <w:uiPriority w:val="155"/>
    <w:rPr>
      <w:rFonts w:ascii="Calibri" w:hAnsi="Calibri" w:eastAsia="宋体"/>
      <w:w w:val="100"/>
      <w:sz w:val="18"/>
      <w:szCs w:val="18"/>
      <w:shd w:val="cle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1149</Words>
  <Characters>1195</Characters>
  <Lines>5</Lines>
  <Paragraphs>1</Paragraphs>
  <TotalTime>2</TotalTime>
  <ScaleCrop>false</ScaleCrop>
  <LinksUpToDate>false</LinksUpToDate>
  <CharactersWithSpaces>1226</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2022-10-12T00:44:00Z</dcterms:created>
  <dc:creator>Administrator.QH-20171121KZUW</dc:creator>
  <cp:lastModifiedBy>Administrator</cp:lastModifiedBy>
  <dcterms:modified xsi:type="dcterms:W3CDTF">2022-10-14T06:50:39Z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3C61C1C80E1943CB86B6AB8B2D5206D7</vt:lpwstr>
  </property>
</Properties>
</file>