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/>
        <w:jc w:val="center"/>
        <w:rPr>
          <w:rFonts w:hint="eastAsia" w:eastAsiaTheme="minorEastAsia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auto"/>
          <w:lang w:eastAsia="zh-CN"/>
        </w:rPr>
        <w:t>南通市海门区东洲中学10KV专用变电所（低电压部分）线路改造监理服务项目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/>
        <w:jc w:val="center"/>
        <w:rPr>
          <w:shd w:val="clear" w:color="auto" w:fill="auto"/>
        </w:rPr>
      </w:pPr>
      <w:r>
        <w:rPr>
          <w:rFonts w:hint="eastAsia" w:ascii="宋体" w:hAnsi="宋体" w:eastAsia="宋体" w:cs="宋体"/>
          <w:b/>
          <w:bCs/>
          <w:color w:val="333333"/>
          <w:sz w:val="36"/>
          <w:szCs w:val="36"/>
          <w:shd w:val="clear" w:color="auto" w:fill="auto"/>
        </w:rPr>
        <w:t>招标公告（资格后审）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1.招标条件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本招标项目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single"/>
          <w:shd w:val="clear" w:color="auto" w:fill="auto"/>
          <w:lang w:eastAsia="zh-CN"/>
        </w:rPr>
        <w:t>南通市海门区东洲中学10KV专用变电所（低电压部分）线路改造监理服务项目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（项目名称）已批准建设。招标人为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single"/>
          <w:shd w:val="clear" w:color="auto" w:fill="auto"/>
          <w:lang w:eastAsia="zh-CN"/>
        </w:rPr>
        <w:t>南通市海门区教体装勤中心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，招标代理机构为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single"/>
          <w:shd w:val="clear" w:color="auto" w:fill="auto"/>
          <w:lang w:eastAsia="zh-CN"/>
        </w:rPr>
        <w:t>国鼎和诚项目管理集团有限公司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，建设资金来自财政拨款（资金来源）。项目已具备招标条件，现对该项目的监理进行公开招标。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2.项目概况与招标范围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rFonts w:hint="eastAsia" w:eastAsia="宋体"/>
          <w:shd w:val="clear" w:color="auto" w:fill="auto"/>
          <w:lang w:eastAsia="zh-CN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（1）工程地点：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  <w:lang w:eastAsia="zh-CN"/>
        </w:rPr>
        <w:t>南通市海门区东洲中学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（2）工程规模：总投资约3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  <w:lang w:val="en-US" w:eastAsia="zh-CN"/>
        </w:rPr>
        <w:t>36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万元，监理费约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  <w:lang w:val="en-US" w:eastAsia="zh-CN"/>
        </w:rPr>
        <w:t>3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万元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（3）计划施工工期：与施工同步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（4）监理服务期：工程施工全过程及维护期质量缺陷保修期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（5）质量标准：合格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3.投标人资格要求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42" w:lineRule="atLeast"/>
        <w:ind w:left="0" w:right="0" w:firstLine="24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3.1监理单位资质及要求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42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具有建设行政主管颁发的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shd w:val="clear" w:color="auto" w:fill="auto"/>
          <w:lang w:eastAsia="zh-CN"/>
        </w:rPr>
        <w:t>监理综合资质或电力工程专业乙级及以上资质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等级证书，持有工商行政管理部门核发的营业执照并取得法人资格的监理单位。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42" w:lineRule="atLeast"/>
        <w:ind w:left="0" w:right="0" w:firstLine="24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3.2总监必须具有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shd w:val="clear" w:color="auto" w:fill="auto"/>
          <w:lang w:eastAsia="zh-CN"/>
        </w:rPr>
        <w:t>国家注册监理工程师（电力工程专业）</w:t>
      </w:r>
      <w:r>
        <w:rPr>
          <w:rFonts w:hint="eastAsia" w:ascii="宋体" w:hAnsi="宋体" w:eastAsia="宋体" w:cs="宋体"/>
          <w:color w:val="FF0000"/>
          <w:sz w:val="24"/>
          <w:szCs w:val="24"/>
          <w:u w:val="single"/>
          <w:shd w:val="clear" w:color="auto" w:fill="auto"/>
        </w:rPr>
        <w:t>资质证书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。（拟派项目总监不得为企业法人代表或总经理)</w:t>
      </w:r>
      <w:bookmarkStart w:id="0" w:name="_GoBack"/>
      <w:bookmarkEnd w:id="0"/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42" w:lineRule="atLeast"/>
        <w:ind w:left="0" w:right="0" w:firstLine="24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3.3监理机构人员配备要求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42" w:lineRule="atLeast"/>
        <w:ind w:left="0" w:right="0" w:firstLine="24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施工阶段监理单位派驻到现场的监理人员总人数应符合下表要求：</w:t>
      </w:r>
    </w:p>
    <w:tbl>
      <w:tblPr>
        <w:tblStyle w:val="3"/>
        <w:tblW w:w="9138" w:type="dxa"/>
        <w:jc w:val="center"/>
        <w:tblBorders>
          <w:top w:val="outset" w:color="auto" w:sz="6" w:space="0"/>
          <w:left w:val="outset" w:color="auto" w:sz="6" w:space="0"/>
          <w:bottom w:val="outset" w:color="auto" w:sz="6" w:space="0"/>
          <w:right w:val="outset" w:color="auto" w:sz="6" w:space="0"/>
          <w:insideH w:val="outset" w:color="auto" w:sz="6" w:space="0"/>
          <w:insideV w:val="outset" w:color="auto" w:sz="6" w:space="0"/>
        </w:tblBorders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038"/>
        <w:gridCol w:w="1226"/>
        <w:gridCol w:w="4380"/>
        <w:gridCol w:w="1494"/>
      </w:tblGrid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4" w:hRule="atLeast"/>
          <w:jc w:val="center"/>
        </w:trPr>
        <w:tc>
          <w:tcPr>
            <w:tcW w:w="203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auto"/>
              </w:rPr>
              <w:t>岗  位</w:t>
            </w:r>
          </w:p>
        </w:tc>
        <w:tc>
          <w:tcPr>
            <w:tcW w:w="1226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auto"/>
              </w:rPr>
              <w:t>人员要求</w:t>
            </w:r>
          </w:p>
        </w:tc>
        <w:tc>
          <w:tcPr>
            <w:tcW w:w="43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auto"/>
              </w:rPr>
              <w:t>持证上岗要求</w:t>
            </w:r>
          </w:p>
        </w:tc>
        <w:tc>
          <w:tcPr>
            <w:tcW w:w="1494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z w:val="24"/>
                <w:szCs w:val="24"/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333333"/>
                <w:sz w:val="24"/>
                <w:szCs w:val="24"/>
                <w:shd w:val="clear" w:color="auto" w:fill="auto"/>
              </w:rPr>
              <w:t>其它要求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5" w:hRule="atLeast"/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总监理工程师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1名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电力工程专业国家注册监理工程师</w:t>
            </w:r>
          </w:p>
        </w:tc>
        <w:tc>
          <w:tcPr>
            <w:tcW w:w="1494" w:type="dxa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1"/>
                <w:szCs w:val="21"/>
                <w:shd w:val="clear" w:color="auto" w:fill="auto"/>
              </w:rPr>
              <w:t>以执业资格证书载明的专业为准，未载明专业的，须提供毕业证书</w:t>
            </w: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24" w:hRule="atLeast"/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专业监理工程师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1名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安装工程专业省级及以上注册监理工程师</w:t>
            </w: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default" w:ascii="SourceHanSansCN-Regular" w:hAnsi="SourceHanSansCN-Regular" w:eastAsia="SourceHanSansCN-Regular" w:cs="SourceHanSansCN-Regular"/>
                <w:color w:val="333333"/>
                <w:sz w:val="10"/>
                <w:szCs w:val="10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51" w:hRule="atLeast"/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监理员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1名</w:t>
            </w:r>
          </w:p>
        </w:tc>
        <w:tc>
          <w:tcPr>
            <w:tcW w:w="43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取得建设行政管理部门颁发的监理员岗位证书或考试合格证</w:t>
            </w:r>
          </w:p>
        </w:tc>
        <w:tc>
          <w:tcPr>
            <w:tcW w:w="1494" w:type="dxa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hd w:val="clear"/>
              <w:rPr>
                <w:rFonts w:hint="default" w:ascii="SourceHanSansCN-Regular" w:hAnsi="SourceHanSansCN-Regular" w:eastAsia="SourceHanSansCN-Regular" w:cs="SourceHanSansCN-Regular"/>
                <w:color w:val="333333"/>
                <w:sz w:val="10"/>
                <w:szCs w:val="10"/>
                <w:shd w:val="clear" w:color="auto" w:fill="auto"/>
              </w:rPr>
            </w:pPr>
          </w:p>
        </w:tc>
      </w:tr>
      <w:tr>
        <w:tblPrEx>
          <w:tblBorders>
            <w:top w:val="outset" w:color="auto" w:sz="6" w:space="0"/>
            <w:left w:val="outset" w:color="auto" w:sz="6" w:space="0"/>
            <w:bottom w:val="outset" w:color="auto" w:sz="6" w:space="0"/>
            <w:right w:val="outset" w:color="auto" w:sz="6" w:space="0"/>
            <w:insideH w:val="outset" w:color="auto" w:sz="6" w:space="0"/>
            <w:insideV w:val="outset" w:color="auto" w:sz="6" w:space="0"/>
          </w:tblBorders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2" w:hRule="atLeast"/>
          <w:jc w:val="center"/>
        </w:trPr>
        <w:tc>
          <w:tcPr>
            <w:tcW w:w="203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总计</w:t>
            </w:r>
          </w:p>
        </w:tc>
        <w:tc>
          <w:tcPr>
            <w:tcW w:w="1226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3名</w:t>
            </w:r>
          </w:p>
        </w:tc>
        <w:tc>
          <w:tcPr>
            <w:tcW w:w="5874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left w:w="108" w:type="dxa"/>
              <w:right w:w="108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442" w:lineRule="atLeast"/>
              <w:ind w:left="0" w:right="0"/>
              <w:jc w:val="center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均须本单位专职人员，所有证书均在有效期内</w:t>
            </w:r>
          </w:p>
        </w:tc>
      </w:tr>
    </w:tbl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50" w:lineRule="atLeast"/>
        <w:ind w:left="0" w:right="0"/>
        <w:rPr>
          <w:rFonts w:hint="eastAsia" w:ascii="宋体" w:hAnsi="宋体" w:eastAsia="宋体" w:cs="宋体"/>
          <w:color w:val="00000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auto"/>
        </w:rPr>
        <w:t>注：1.要求拟派人员与实际派驻人员必须一致。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50" w:lineRule="atLeast"/>
        <w:ind w:left="0" w:right="0" w:firstLine="480"/>
        <w:rPr>
          <w:rFonts w:hint="eastAsia" w:ascii="宋体" w:hAnsi="宋体" w:eastAsia="宋体" w:cs="宋体"/>
          <w:color w:val="00000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auto"/>
        </w:rPr>
        <w:t>2. 表中所列人员配备为最低限度要求，中标单位可根据实际工作需要及时投入人员，所有监理人员均须身体健康，除总监外，专监及监理员的年龄不得超过 60 周岁。人员不得随便更换。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50" w:lineRule="atLeast"/>
        <w:ind w:left="0" w:right="0" w:firstLine="480"/>
        <w:rPr>
          <w:rFonts w:hint="eastAsia" w:ascii="宋体" w:hAnsi="宋体" w:eastAsia="宋体" w:cs="宋体"/>
          <w:color w:val="000000"/>
          <w:sz w:val="24"/>
          <w:szCs w:val="24"/>
          <w:shd w:val="clear" w:color="auto" w:fill="auto"/>
        </w:rPr>
      </w:pPr>
      <w:r>
        <w:rPr>
          <w:rFonts w:hint="eastAsia" w:ascii="宋体" w:hAnsi="宋体" w:eastAsia="宋体" w:cs="宋体"/>
          <w:color w:val="000000"/>
          <w:sz w:val="24"/>
          <w:szCs w:val="24"/>
          <w:shd w:val="clear" w:color="auto" w:fill="auto"/>
        </w:rPr>
        <w:t>3.4本工程不接受联合体投标。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50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4.申请人应当具备的资格条件：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50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（一）资格后审必要合格条件：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50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1、具有独立订立合同的能力；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50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2、未处于被责令停业、投标资格被取消或者财产被接管、冻结和破产状态；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50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3、企业没有因骗取中标或者严重违约以及发生重大工程质量、安全生产事故等问题，被有关部门暂停投标资格并在暂停期内的；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50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4、企业的资质类别、等级和拟派本项目的监理人员的资质等级满足招标公告要求；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50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5、资格审查申请书中的所有内容没有失实或者弄虚作假；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450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6、拟派项目总监、专监及监理员为投标企业正式人员，不得兼职；委托代理人（如有）为投标企业正式人员；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5.招标文件的获取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获取本工程招标文件（含投标单位资格审查须）、图纸、招标文件的澄清、修改、补充及招标控制价等资料的具体内容到南通市公共资源交易网-其他交易，获取时间由发布招标公告的同时开始，到提交投标文件截止时结束，请各投标人自行关注，否则，引起的后果由投标人自行承担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5. 投标文件的递交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5.1投标文件递交的截止时间（投标截止时间）为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single"/>
          <w:shd w:val="clear" w:color="auto" w:fill="auto"/>
        </w:rPr>
        <w:t>2022 年0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single"/>
          <w:shd w:val="clear" w:color="auto" w:fill="auto"/>
          <w:lang w:val="en-US" w:eastAsia="zh-CN"/>
        </w:rPr>
        <w:t>8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single"/>
          <w:shd w:val="clear" w:color="auto" w:fill="auto"/>
        </w:rPr>
        <w:t>月1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single"/>
          <w:shd w:val="clear" w:color="auto" w:fill="auto"/>
          <w:lang w:val="en-US" w:eastAsia="zh-CN"/>
        </w:rPr>
        <w:t>7</w:t>
      </w:r>
      <w:r>
        <w:rPr>
          <w:rFonts w:hint="eastAsia" w:ascii="宋体" w:hAnsi="宋体" w:eastAsia="宋体" w:cs="宋体"/>
          <w:b/>
          <w:bCs/>
          <w:color w:val="333333"/>
          <w:sz w:val="24"/>
          <w:szCs w:val="24"/>
          <w:u w:val="single"/>
          <w:shd w:val="clear" w:color="auto" w:fill="auto"/>
        </w:rPr>
        <w:t>日09时30分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5.2逾期送达的或者未送达指定地点的投标文件，招标人不予受理。 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360" w:lineRule="auto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5.3投标人若对招标文件有任何疑问，可以以无记名的方式向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  <w:lang w:eastAsia="zh-CN"/>
        </w:rPr>
        <w:t>南通市海门区教体装勤中心</w:t>
      </w: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提出并电话联系招标代理公司，招标人予以解答，提出时间及答疑时间、开标时间等详见招标文件。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6.评标办法：价格单因素，详见招标文件</w:t>
      </w:r>
    </w:p>
    <w:p>
      <w:pPr>
        <w:pStyle w:val="2"/>
        <w:keepNext w:val="0"/>
        <w:keepLines w:val="0"/>
        <w:widowControl/>
        <w:suppressLineNumbers w:val="0"/>
        <w:shd w:val="clear"/>
        <w:spacing w:before="234" w:beforeAutospacing="0" w:after="226" w:afterAutospacing="0" w:line="11" w:lineRule="atLeast"/>
        <w:ind w:left="0" w:right="0" w:firstLine="480"/>
        <w:jc w:val="both"/>
        <w:rPr>
          <w:shd w:val="clear" w:color="auto" w:fill="auto"/>
        </w:rPr>
      </w:pPr>
      <w:r>
        <w:rPr>
          <w:rFonts w:hint="eastAsia" w:ascii="宋体" w:hAnsi="宋体" w:eastAsia="宋体" w:cs="宋体"/>
          <w:color w:val="333333"/>
          <w:sz w:val="24"/>
          <w:szCs w:val="24"/>
          <w:shd w:val="clear" w:color="auto" w:fill="auto"/>
        </w:rPr>
        <w:t>7.联系方式</w:t>
      </w:r>
    </w:p>
    <w:tbl>
      <w:tblPr>
        <w:tblStyle w:val="3"/>
        <w:tblW w:w="4999" w:type="pct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661"/>
        <w:gridCol w:w="2284"/>
        <w:gridCol w:w="2075"/>
        <w:gridCol w:w="2284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64" w:hRule="atLeast"/>
        </w:trPr>
        <w:tc>
          <w:tcPr>
            <w:tcW w:w="10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招标人：</w:t>
            </w:r>
          </w:p>
        </w:tc>
        <w:tc>
          <w:tcPr>
            <w:tcW w:w="137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rFonts w:hint="eastAsia" w:eastAsiaTheme="minorEastAsia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  <w:lang w:eastAsia="zh-CN"/>
              </w:rPr>
              <w:t>南通市海门区教体装勤中心</w:t>
            </w:r>
          </w:p>
        </w:tc>
        <w:tc>
          <w:tcPr>
            <w:tcW w:w="124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招标代理:</w:t>
            </w:r>
          </w:p>
        </w:tc>
        <w:tc>
          <w:tcPr>
            <w:tcW w:w="137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rFonts w:hint="eastAsia" w:eastAsiaTheme="minorEastAsia"/>
                <w:shd w:val="clear" w:color="auto" w:fill="auto"/>
                <w:lang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  <w:lang w:eastAsia="zh-CN"/>
              </w:rPr>
              <w:t>国鼎和诚项目管理集团有限公司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0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地 址：</w:t>
            </w:r>
          </w:p>
        </w:tc>
        <w:tc>
          <w:tcPr>
            <w:tcW w:w="137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/>
                <w:shd w:val="clear" w:color="auto" w:fill="auto"/>
              </w:rPr>
              <w:t>南通市海门区张謇大道899号</w:t>
            </w:r>
          </w:p>
        </w:tc>
        <w:tc>
          <w:tcPr>
            <w:tcW w:w="124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地  址：</w:t>
            </w:r>
          </w:p>
        </w:tc>
        <w:tc>
          <w:tcPr>
            <w:tcW w:w="137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rFonts w:hint="default" w:eastAsia="宋体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南通市海门区</w:t>
            </w: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  <w:lang w:val="en-US" w:eastAsia="zh-CN"/>
              </w:rPr>
              <w:t>珠江路288号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9" w:hRule="atLeast"/>
        </w:trPr>
        <w:tc>
          <w:tcPr>
            <w:tcW w:w="10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联系人：</w:t>
            </w:r>
          </w:p>
        </w:tc>
        <w:tc>
          <w:tcPr>
            <w:tcW w:w="137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rFonts w:hint="default" w:eastAsiaTheme="minorEastAsia"/>
                <w:shd w:val="clear" w:color="auto" w:fill="auto"/>
                <w:lang w:val="en-US" w:eastAsia="zh-CN"/>
              </w:rPr>
            </w:pPr>
            <w:r>
              <w:rPr>
                <w:rFonts w:hint="eastAsia"/>
                <w:shd w:val="clear" w:color="auto" w:fill="auto"/>
                <w:lang w:val="en-US" w:eastAsia="zh-CN"/>
              </w:rPr>
              <w:t>潘先生</w:t>
            </w:r>
          </w:p>
        </w:tc>
        <w:tc>
          <w:tcPr>
            <w:tcW w:w="124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联 系 人：</w:t>
            </w:r>
          </w:p>
        </w:tc>
        <w:tc>
          <w:tcPr>
            <w:tcW w:w="137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rFonts w:hint="default" w:eastAsiaTheme="minorEastAsia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  <w:lang w:val="en-US" w:eastAsia="zh-CN"/>
              </w:rPr>
              <w:t>陈先生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6" w:hRule="atLeast"/>
        </w:trPr>
        <w:tc>
          <w:tcPr>
            <w:tcW w:w="1000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电 话：</w:t>
            </w:r>
          </w:p>
        </w:tc>
        <w:tc>
          <w:tcPr>
            <w:tcW w:w="137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rFonts w:hint="default" w:eastAsiaTheme="minorEastAsia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  <w:lang w:val="en-US" w:eastAsia="zh-CN"/>
              </w:rPr>
              <w:t>13912438575</w:t>
            </w:r>
          </w:p>
        </w:tc>
        <w:tc>
          <w:tcPr>
            <w:tcW w:w="1249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shd w:val="clear" w:color="auto" w:fill="auto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</w:rPr>
              <w:t>电  话：</w:t>
            </w:r>
          </w:p>
        </w:tc>
        <w:tc>
          <w:tcPr>
            <w:tcW w:w="1375" w:type="pct"/>
            <w:shd w:val="clear" w:color="auto" w:fill="FFFFFF"/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shd w:val="clear"/>
              <w:spacing w:before="0" w:beforeAutospacing="0" w:after="0" w:afterAutospacing="0" w:line="11" w:lineRule="atLeast"/>
              <w:ind w:left="0" w:right="0"/>
              <w:jc w:val="both"/>
              <w:rPr>
                <w:rFonts w:hint="default" w:eastAsiaTheme="minorEastAsia"/>
                <w:shd w:val="clear" w:color="auto" w:fill="auto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333333"/>
                <w:sz w:val="24"/>
                <w:szCs w:val="24"/>
                <w:shd w:val="clear" w:color="auto" w:fill="auto"/>
                <w:lang w:val="en-US" w:eastAsia="zh-CN"/>
              </w:rPr>
              <w:t>15950856101</w:t>
            </w:r>
          </w:p>
        </w:tc>
      </w:tr>
    </w:tbl>
    <w:p>
      <w:pPr>
        <w:shd w:val="clear"/>
        <w:rPr>
          <w:shd w:val="clear" w:color="auto" w:fill="auto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monospace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SourceHanSansCN-Regular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M5YTkxZjBkOGE5OTA4NDE3NDQ5NmM1ZjUxNzBlYTIifQ=="/>
  </w:docVars>
  <w:rsids>
    <w:rsidRoot w:val="540449A0"/>
    <w:rsid w:val="1EE67F2C"/>
    <w:rsid w:val="25EF6F5B"/>
    <w:rsid w:val="54044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qFormat="1"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qFormat="1" w:unhideWhenUsed="0" w:uiPriority="0" w:semiHidden="0" w:name="HTML Keyboard"/>
    <w:lsdException w:unhideWhenUsed="0" w:uiPriority="0" w:semiHidden="0" w:name="HTML Preformatted"/>
    <w:lsdException w:qFormat="1" w:unhideWhenUsed="0" w:uiPriority="0" w:semiHidden="0" w:name="HTML Sample"/>
    <w:lsdException w:qFormat="1" w:unhideWhenUsed="0" w:uiPriority="0" w:semiHidden="0" w:name="HTML Typewriter"/>
    <w:lsdException w:qFormat="1"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5">
    <w:name w:val="FollowedHyperlink"/>
    <w:basedOn w:val="4"/>
    <w:qFormat/>
    <w:uiPriority w:val="0"/>
    <w:rPr>
      <w:color w:val="800080"/>
      <w:u w:val="none"/>
    </w:rPr>
  </w:style>
  <w:style w:type="character" w:styleId="6">
    <w:name w:val="HTML Definition"/>
    <w:basedOn w:val="4"/>
    <w:qFormat/>
    <w:uiPriority w:val="0"/>
  </w:style>
  <w:style w:type="character" w:styleId="7">
    <w:name w:val="HTML Typewriter"/>
    <w:basedOn w:val="4"/>
    <w:qFormat/>
    <w:uiPriority w:val="0"/>
    <w:rPr>
      <w:rFonts w:ascii="monospace" w:hAnsi="monospace" w:eastAsia="monospace" w:cs="monospace"/>
      <w:sz w:val="20"/>
    </w:rPr>
  </w:style>
  <w:style w:type="character" w:styleId="8">
    <w:name w:val="HTML Acronym"/>
    <w:basedOn w:val="4"/>
    <w:qFormat/>
    <w:uiPriority w:val="0"/>
  </w:style>
  <w:style w:type="character" w:styleId="9">
    <w:name w:val="HTML Variable"/>
    <w:basedOn w:val="4"/>
    <w:qFormat/>
    <w:uiPriority w:val="0"/>
  </w:style>
  <w:style w:type="character" w:styleId="10">
    <w:name w:val="Hyperlink"/>
    <w:basedOn w:val="4"/>
    <w:qFormat/>
    <w:uiPriority w:val="0"/>
    <w:rPr>
      <w:color w:val="0000FF"/>
      <w:u w:val="none"/>
    </w:rPr>
  </w:style>
  <w:style w:type="character" w:styleId="11">
    <w:name w:val="HTML Code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2">
    <w:name w:val="HTML Cite"/>
    <w:basedOn w:val="4"/>
    <w:qFormat/>
    <w:uiPriority w:val="0"/>
  </w:style>
  <w:style w:type="character" w:styleId="13">
    <w:name w:val="HTML Keyboard"/>
    <w:basedOn w:val="4"/>
    <w:qFormat/>
    <w:uiPriority w:val="0"/>
    <w:rPr>
      <w:rFonts w:hint="default" w:ascii="monospace" w:hAnsi="monospace" w:eastAsia="monospace" w:cs="monospace"/>
      <w:sz w:val="20"/>
    </w:rPr>
  </w:style>
  <w:style w:type="character" w:styleId="14">
    <w:name w:val="HTML Sample"/>
    <w:basedOn w:val="4"/>
    <w:qFormat/>
    <w:uiPriority w:val="0"/>
    <w:rPr>
      <w:rFonts w:hint="default" w:ascii="monospace" w:hAnsi="monospace" w:eastAsia="monospace" w:cs="monospace"/>
    </w:rPr>
  </w:style>
  <w:style w:type="character" w:customStyle="1" w:styleId="15">
    <w:name w:val="layui-this"/>
    <w:basedOn w:val="4"/>
    <w:qFormat/>
    <w:uiPriority w:val="0"/>
    <w:rPr>
      <w:bdr w:val="single" w:color="EEEEEE" w:sz="2" w:space="0"/>
      <w:shd w:val="clear" w:fill="FFFFFF"/>
    </w:rPr>
  </w:style>
  <w:style w:type="character" w:customStyle="1" w:styleId="16">
    <w:name w:val="first-child"/>
    <w:basedOn w:val="4"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2022-07-06T01:58:00Z</dcterms:created>
  <dc:creator>48335</dc:creator>
  <cp:lastModifiedBy>无痕</cp:lastModifiedBy>
  <dcterms:modified xsi:type="dcterms:W3CDTF">2022-08-09T07:19:14Z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A0B206D18E344D62B8D67C5C295B6848</vt:lpwstr>
  </property>
</Properties>
</file>