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w w:val="80"/>
          <w:sz w:val="72"/>
          <w:szCs w:val="72"/>
        </w:rPr>
      </w:pPr>
    </w:p>
    <w:p>
      <w:pPr>
        <w:jc w:val="center"/>
        <w:rPr>
          <w:rFonts w:ascii="宋体" w:hAnsi="宋体"/>
          <w:b/>
          <w:w w:val="80"/>
          <w:sz w:val="72"/>
          <w:szCs w:val="72"/>
        </w:rPr>
      </w:pPr>
      <w:r>
        <w:rPr>
          <w:rFonts w:hint="eastAsia" w:ascii="宋体" w:hAnsi="宋体"/>
          <w:b/>
          <w:w w:val="80"/>
          <w:sz w:val="72"/>
          <w:szCs w:val="72"/>
        </w:rPr>
        <w:t>江苏省江海博物馆</w:t>
      </w:r>
    </w:p>
    <w:p>
      <w:pPr>
        <w:tabs>
          <w:tab w:val="left" w:pos="1050"/>
          <w:tab w:val="right" w:leader="dot" w:pos="9402"/>
        </w:tabs>
        <w:adjustRightInd w:val="0"/>
        <w:snapToGrid w:val="0"/>
        <w:spacing w:line="360" w:lineRule="auto"/>
        <w:jc w:val="center"/>
        <w:rPr>
          <w:rFonts w:ascii="宋体" w:hAnsi="宋体"/>
          <w:b/>
          <w:bCs/>
          <w:color w:val="000000" w:themeColor="text1"/>
          <w:w w:val="80"/>
          <w:sz w:val="44"/>
          <w:szCs w:val="44"/>
          <w:u w:val="single"/>
          <w14:textFill>
            <w14:solidFill>
              <w14:schemeClr w14:val="tx1"/>
            </w14:solidFill>
          </w14:textFill>
        </w:rPr>
      </w:pPr>
      <w:r>
        <w:rPr>
          <w:rFonts w:hint="eastAsia" w:ascii="楷体" w:hAnsi="楷体" w:eastAsia="楷体" w:cs="楷体"/>
          <w:b/>
          <w:color w:val="000000" w:themeColor="text1"/>
          <w:sz w:val="48"/>
          <w:szCs w:val="48"/>
          <w:u w:val="single"/>
          <w14:textFill>
            <w14:solidFill>
              <w14:schemeClr w14:val="tx1"/>
            </w14:solidFill>
          </w14:textFill>
        </w:rPr>
        <w:t>漾舟信归风：中国古代船模展文物运输服务项目</w:t>
      </w:r>
    </w:p>
    <w:p>
      <w:pPr>
        <w:jc w:val="center"/>
        <w:rPr>
          <w:rFonts w:ascii="宋体" w:hAnsi="宋体"/>
          <w:b/>
          <w:w w:val="80"/>
          <w:sz w:val="72"/>
          <w:szCs w:val="72"/>
        </w:rPr>
      </w:pPr>
      <w:r>
        <w:rPr>
          <w:rFonts w:hint="eastAsia" w:ascii="宋体" w:hAnsi="宋体"/>
          <w:b/>
          <w:w w:val="80"/>
          <w:sz w:val="72"/>
          <w:szCs w:val="72"/>
        </w:rPr>
        <w:t>竞争性磋商采购文件</w:t>
      </w:r>
    </w:p>
    <w:p>
      <w:pPr>
        <w:tabs>
          <w:tab w:val="left" w:pos="1050"/>
          <w:tab w:val="right" w:leader="dot" w:pos="9402"/>
        </w:tabs>
        <w:jc w:val="center"/>
        <w:rPr>
          <w:rFonts w:ascii="宋体" w:hAnsi="宋体"/>
          <w:bCs/>
          <w:w w:val="80"/>
          <w:sz w:val="32"/>
          <w:szCs w:val="32"/>
        </w:rPr>
      </w:pPr>
      <w:r>
        <w:rPr>
          <w:rFonts w:hint="eastAsia" w:ascii="宋体" w:hAnsi="宋体"/>
          <w:bCs/>
          <w:w w:val="80"/>
          <w:sz w:val="32"/>
          <w:szCs w:val="32"/>
        </w:rPr>
        <w:t>项目编码：JHBWG20220721</w:t>
      </w:r>
    </w:p>
    <w:p>
      <w:pPr>
        <w:tabs>
          <w:tab w:val="left" w:pos="1050"/>
          <w:tab w:val="right" w:leader="dot" w:pos="9402"/>
        </w:tabs>
        <w:adjustRightInd w:val="0"/>
        <w:snapToGrid w:val="0"/>
        <w:spacing w:line="360" w:lineRule="auto"/>
        <w:jc w:val="center"/>
        <w:rPr>
          <w:rFonts w:ascii="宋体" w:hAnsi="宋体"/>
          <w:bCs/>
          <w:w w:val="80"/>
          <w:sz w:val="32"/>
          <w:szCs w:val="32"/>
        </w:rPr>
      </w:pPr>
    </w:p>
    <w:p>
      <w:pPr>
        <w:tabs>
          <w:tab w:val="left" w:pos="1050"/>
          <w:tab w:val="right" w:leader="dot" w:pos="9402"/>
        </w:tabs>
        <w:adjustRightInd w:val="0"/>
        <w:snapToGrid w:val="0"/>
        <w:spacing w:line="360" w:lineRule="auto"/>
        <w:jc w:val="center"/>
        <w:rPr>
          <w:rFonts w:ascii="宋体" w:hAnsi="宋体"/>
          <w:b/>
          <w:bCs/>
          <w:w w:val="80"/>
          <w:sz w:val="44"/>
          <w:szCs w:val="44"/>
        </w:rPr>
      </w:pPr>
      <w:r>
        <w:rPr>
          <w:rFonts w:hint="eastAsia" w:ascii="宋体" w:hAnsi="宋体"/>
          <w:bCs/>
          <w:w w:val="80"/>
          <w:sz w:val="32"/>
          <w:szCs w:val="32"/>
        </w:rPr>
        <w:t xml:space="preserve"> </w:t>
      </w:r>
    </w:p>
    <w:p>
      <w:pPr>
        <w:tabs>
          <w:tab w:val="left" w:pos="1050"/>
          <w:tab w:val="right" w:leader="dot" w:pos="9402"/>
        </w:tabs>
        <w:adjustRightInd w:val="0"/>
        <w:snapToGrid w:val="0"/>
        <w:spacing w:line="360" w:lineRule="auto"/>
        <w:jc w:val="center"/>
        <w:rPr>
          <w:rFonts w:ascii="宋体" w:hAnsi="宋体"/>
          <w:b/>
          <w:bCs/>
          <w:w w:val="80"/>
          <w:sz w:val="44"/>
          <w:szCs w:val="44"/>
        </w:rPr>
      </w:pPr>
    </w:p>
    <w:p>
      <w:pPr>
        <w:pStyle w:val="2"/>
        <w:ind w:left="882"/>
        <w:rPr>
          <w:rFonts w:ascii="宋体" w:hAnsi="宋体"/>
          <w:b/>
          <w:bCs/>
          <w:w w:val="80"/>
          <w:sz w:val="44"/>
          <w:szCs w:val="44"/>
        </w:rPr>
      </w:pPr>
    </w:p>
    <w:p>
      <w:pPr>
        <w:tabs>
          <w:tab w:val="left" w:pos="1050"/>
          <w:tab w:val="right" w:leader="dot" w:pos="9402"/>
        </w:tabs>
        <w:spacing w:line="360" w:lineRule="auto"/>
        <w:rPr>
          <w:rFonts w:ascii="宋体" w:hAnsi="宋体"/>
          <w:w w:val="80"/>
          <w:sz w:val="32"/>
          <w:szCs w:val="32"/>
        </w:rPr>
      </w:pPr>
    </w:p>
    <w:p>
      <w:pPr>
        <w:tabs>
          <w:tab w:val="left" w:pos="1050"/>
          <w:tab w:val="right" w:leader="dot" w:pos="9402"/>
        </w:tabs>
        <w:spacing w:line="360" w:lineRule="auto"/>
        <w:rPr>
          <w:rFonts w:ascii="宋体" w:hAnsi="宋体"/>
          <w:w w:val="80"/>
          <w:sz w:val="32"/>
          <w:szCs w:val="32"/>
        </w:rPr>
      </w:pPr>
    </w:p>
    <w:p>
      <w:pPr>
        <w:tabs>
          <w:tab w:val="left" w:pos="1050"/>
          <w:tab w:val="right" w:leader="dot" w:pos="9402"/>
        </w:tabs>
        <w:spacing w:line="360" w:lineRule="auto"/>
        <w:rPr>
          <w:rFonts w:ascii="宋体" w:hAnsi="宋体"/>
          <w:w w:val="80"/>
          <w:sz w:val="32"/>
          <w:szCs w:val="32"/>
        </w:rPr>
      </w:pPr>
    </w:p>
    <w:p>
      <w:pPr>
        <w:pStyle w:val="16"/>
        <w:rPr>
          <w:lang w:eastAsia="zh-CN"/>
        </w:rPr>
      </w:pPr>
    </w:p>
    <w:p>
      <w:pPr>
        <w:tabs>
          <w:tab w:val="left" w:pos="1050"/>
          <w:tab w:val="right" w:leader="dot" w:pos="9402"/>
        </w:tabs>
        <w:spacing w:line="360" w:lineRule="auto"/>
        <w:jc w:val="center"/>
        <w:rPr>
          <w:rFonts w:ascii="宋体" w:hAnsi="宋体"/>
          <w:w w:val="80"/>
          <w:sz w:val="32"/>
          <w:szCs w:val="32"/>
        </w:rPr>
      </w:pPr>
    </w:p>
    <w:p>
      <w:pPr>
        <w:tabs>
          <w:tab w:val="left" w:pos="1050"/>
          <w:tab w:val="right" w:leader="dot" w:pos="9402"/>
        </w:tabs>
        <w:spacing w:line="360" w:lineRule="auto"/>
        <w:jc w:val="center"/>
        <w:rPr>
          <w:rFonts w:ascii="宋体" w:hAnsi="宋体"/>
          <w:w w:val="80"/>
          <w:sz w:val="32"/>
          <w:szCs w:val="32"/>
        </w:rPr>
      </w:pPr>
      <w:r>
        <w:rPr>
          <w:rFonts w:hint="eastAsia" w:ascii="宋体" w:hAnsi="宋体"/>
          <w:w w:val="80"/>
          <w:sz w:val="32"/>
          <w:szCs w:val="32"/>
        </w:rPr>
        <w:t>采购人：江苏省江海博物馆</w:t>
      </w:r>
    </w:p>
    <w:p>
      <w:pPr>
        <w:spacing w:line="360" w:lineRule="auto"/>
        <w:jc w:val="center"/>
        <w:rPr>
          <w:rFonts w:ascii="宋体" w:hAnsi="宋体"/>
          <w:w w:val="80"/>
          <w:sz w:val="32"/>
          <w:szCs w:val="32"/>
        </w:rPr>
        <w:sectPr>
          <w:headerReference r:id="rId3" w:type="default"/>
          <w:footerReference r:id="rId4" w:type="default"/>
          <w:pgSz w:w="11850" w:h="16783"/>
          <w:pgMar w:top="1440" w:right="1800" w:bottom="1440" w:left="1800" w:header="851" w:footer="992" w:gutter="0"/>
          <w:cols w:space="720" w:num="1"/>
          <w:docGrid w:type="lines" w:linePitch="312" w:charSpace="0"/>
        </w:sectPr>
      </w:pPr>
      <w:r>
        <w:rPr>
          <w:rFonts w:hint="eastAsia" w:ascii="宋体" w:hAnsi="宋体"/>
          <w:w w:val="80"/>
          <w:sz w:val="32"/>
          <w:szCs w:val="32"/>
        </w:rPr>
        <w:t>二○二二年七月二十一日</w:t>
      </w:r>
    </w:p>
    <w:p>
      <w:pPr>
        <w:jc w:val="center"/>
        <w:rPr>
          <w:rFonts w:ascii="宋体" w:hAnsi="宋体"/>
          <w:sz w:val="32"/>
          <w:szCs w:val="32"/>
        </w:rPr>
      </w:pPr>
      <w:r>
        <w:rPr>
          <w:rFonts w:ascii="宋体" w:hAnsi="宋体"/>
          <w:sz w:val="32"/>
          <w:szCs w:val="32"/>
        </w:rPr>
        <w:t>目</w:t>
      </w:r>
      <w:r>
        <w:rPr>
          <w:rFonts w:hint="eastAsia" w:ascii="宋体" w:hAnsi="宋体"/>
          <w:sz w:val="32"/>
          <w:szCs w:val="32"/>
        </w:rPr>
        <w:t xml:space="preserve"> </w:t>
      </w:r>
      <w:r>
        <w:rPr>
          <w:rFonts w:ascii="宋体" w:hAnsi="宋体"/>
          <w:sz w:val="32"/>
          <w:szCs w:val="32"/>
        </w:rPr>
        <w:t>录</w:t>
      </w:r>
    </w:p>
    <w:p>
      <w:pPr>
        <w:pStyle w:val="11"/>
        <w:tabs>
          <w:tab w:val="right" w:leader="dot" w:pos="8250"/>
        </w:tabs>
        <w:spacing w:line="480" w:lineRule="auto"/>
        <w:rPr>
          <w:rFonts w:ascii="宋体" w:hAnsi="宋体" w:cs="宋体"/>
          <w:sz w:val="24"/>
        </w:rPr>
      </w:pPr>
    </w:p>
    <w:p>
      <w:pPr>
        <w:pStyle w:val="11"/>
        <w:tabs>
          <w:tab w:val="right" w:leader="dot" w:pos="9073"/>
        </w:tabs>
        <w:rPr>
          <w:rFonts w:asciiTheme="minorEastAsia" w:hAnsiTheme="minorEastAsia" w:eastAsiaTheme="minorEastAsia" w:cstheme="minorEastAsia"/>
          <w:bCs/>
          <w:sz w:val="30"/>
          <w:szCs w:val="30"/>
        </w:rPr>
      </w:pPr>
      <w:r>
        <w:rPr>
          <w:rFonts w:hint="eastAsia" w:ascii="宋体" w:hAnsi="宋体" w:cs="宋体"/>
          <w:bCs/>
          <w:sz w:val="30"/>
          <w:szCs w:val="30"/>
        </w:rPr>
        <w:fldChar w:fldCharType="begin"/>
      </w:r>
      <w:r>
        <w:rPr>
          <w:rFonts w:hint="eastAsia" w:ascii="宋体" w:hAnsi="宋体" w:cs="宋体"/>
          <w:bCs/>
          <w:sz w:val="30"/>
          <w:szCs w:val="30"/>
        </w:rPr>
        <w:instrText xml:space="preserve">TOC \o "1 - 1" \h \z \u"</w:instrText>
      </w:r>
      <w:r>
        <w:rPr>
          <w:rFonts w:hint="eastAsia" w:ascii="宋体" w:hAnsi="宋体" w:cs="宋体"/>
          <w:bCs/>
          <w:sz w:val="30"/>
          <w:szCs w:val="30"/>
        </w:rPr>
        <w:fldChar w:fldCharType="separate"/>
      </w:r>
      <w:r>
        <w:fldChar w:fldCharType="begin"/>
      </w:r>
      <w:r>
        <w:instrText xml:space="preserve"> HYPERLINK \l "_Toc7506" </w:instrText>
      </w:r>
      <w:r>
        <w:fldChar w:fldCharType="separate"/>
      </w:r>
      <w:r>
        <w:rPr>
          <w:rFonts w:hint="eastAsia" w:asciiTheme="minorEastAsia" w:hAnsiTheme="minorEastAsia" w:eastAsiaTheme="minorEastAsia" w:cstheme="minorEastAsia"/>
          <w:bCs/>
          <w:sz w:val="30"/>
          <w:szCs w:val="30"/>
        </w:rPr>
        <w:t>第一章  竞争性磋商邀请····································</w:t>
      </w:r>
      <w:r>
        <w:rPr>
          <w:rFonts w:hint="eastAsia" w:asciiTheme="minorEastAsia" w:hAnsiTheme="minorEastAsia" w:eastAsiaTheme="minorEastAsia" w:cstheme="minorEastAsia"/>
          <w:bCs/>
          <w:sz w:val="30"/>
          <w:szCs w:val="30"/>
        </w:rPr>
        <w:fldChar w:fldCharType="begin"/>
      </w:r>
      <w:r>
        <w:rPr>
          <w:rFonts w:hint="eastAsia" w:asciiTheme="minorEastAsia" w:hAnsiTheme="minorEastAsia" w:eastAsiaTheme="minorEastAsia" w:cstheme="minorEastAsia"/>
          <w:bCs/>
          <w:sz w:val="30"/>
          <w:szCs w:val="30"/>
        </w:rPr>
        <w:instrText xml:space="preserve"> PAGEREF _Toc7506 </w:instrText>
      </w:r>
      <w:r>
        <w:rPr>
          <w:rFonts w:hint="eastAsia" w:asciiTheme="minorEastAsia" w:hAnsiTheme="minorEastAsia" w:eastAsiaTheme="minorEastAsia" w:cstheme="minorEastAsia"/>
          <w:bCs/>
          <w:sz w:val="30"/>
          <w:szCs w:val="30"/>
        </w:rPr>
        <w:fldChar w:fldCharType="separate"/>
      </w:r>
      <w:r>
        <w:rPr>
          <w:rFonts w:asciiTheme="minorEastAsia" w:hAnsiTheme="minorEastAsia" w:eastAsiaTheme="minorEastAsia" w:cstheme="minorEastAsia"/>
          <w:bCs/>
          <w:sz w:val="30"/>
          <w:szCs w:val="30"/>
        </w:rPr>
        <w:t>3</w:t>
      </w:r>
      <w:r>
        <w:rPr>
          <w:rFonts w:hint="eastAsia" w:asciiTheme="minorEastAsia" w:hAnsiTheme="minorEastAsia" w:eastAsiaTheme="minorEastAsia" w:cstheme="minorEastAsia"/>
          <w:bCs/>
          <w:sz w:val="30"/>
          <w:szCs w:val="30"/>
        </w:rPr>
        <w:fldChar w:fldCharType="end"/>
      </w:r>
      <w:r>
        <w:rPr>
          <w:rFonts w:hint="eastAsia" w:asciiTheme="minorEastAsia" w:hAnsiTheme="minorEastAsia" w:eastAsiaTheme="minorEastAsia" w:cstheme="minorEastAsia"/>
          <w:bCs/>
          <w:sz w:val="30"/>
          <w:szCs w:val="30"/>
        </w:rPr>
        <w:fldChar w:fldCharType="end"/>
      </w:r>
    </w:p>
    <w:p>
      <w:pPr>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第二章  供应商须知········································5</w:t>
      </w:r>
    </w:p>
    <w:p>
      <w:pPr>
        <w:pStyle w:val="11"/>
        <w:tabs>
          <w:tab w:val="right" w:leader="dot" w:pos="9073"/>
        </w:tabs>
        <w:rPr>
          <w:rFonts w:asciiTheme="minorEastAsia" w:hAnsiTheme="minorEastAsia" w:eastAsiaTheme="minorEastAsia" w:cstheme="minorEastAsia"/>
          <w:bCs/>
          <w:sz w:val="30"/>
          <w:szCs w:val="30"/>
        </w:rPr>
      </w:pPr>
      <w:r>
        <w:fldChar w:fldCharType="begin"/>
      </w:r>
      <w:r>
        <w:instrText xml:space="preserve"> HYPERLINK \l "_Toc29238" </w:instrText>
      </w:r>
      <w:r>
        <w:fldChar w:fldCharType="separate"/>
      </w:r>
      <w:r>
        <w:rPr>
          <w:rFonts w:hint="eastAsia" w:asciiTheme="minorEastAsia" w:hAnsiTheme="minorEastAsia" w:eastAsiaTheme="minorEastAsia" w:cstheme="minorEastAsia"/>
          <w:bCs/>
          <w:sz w:val="30"/>
          <w:szCs w:val="30"/>
        </w:rPr>
        <w:t>第三章  项目需求··········································</w:t>
      </w:r>
      <w:r>
        <w:rPr>
          <w:rFonts w:hint="eastAsia" w:asciiTheme="minorEastAsia" w:hAnsiTheme="minorEastAsia" w:eastAsiaTheme="minorEastAsia" w:cstheme="minorEastAsia"/>
          <w:bCs/>
          <w:sz w:val="30"/>
          <w:szCs w:val="30"/>
        </w:rPr>
        <w:fldChar w:fldCharType="begin"/>
      </w:r>
      <w:r>
        <w:rPr>
          <w:rFonts w:hint="eastAsia" w:asciiTheme="minorEastAsia" w:hAnsiTheme="minorEastAsia" w:eastAsiaTheme="minorEastAsia" w:cstheme="minorEastAsia"/>
          <w:bCs/>
          <w:sz w:val="30"/>
          <w:szCs w:val="30"/>
        </w:rPr>
        <w:instrText xml:space="preserve"> PAGEREF _Toc29238 </w:instrText>
      </w:r>
      <w:r>
        <w:rPr>
          <w:rFonts w:hint="eastAsia" w:asciiTheme="minorEastAsia" w:hAnsiTheme="minorEastAsia" w:eastAsiaTheme="minorEastAsia" w:cstheme="minorEastAsia"/>
          <w:bCs/>
          <w:sz w:val="30"/>
          <w:szCs w:val="30"/>
        </w:rPr>
        <w:fldChar w:fldCharType="separate"/>
      </w:r>
      <w:r>
        <w:rPr>
          <w:rFonts w:asciiTheme="minorEastAsia" w:hAnsiTheme="minorEastAsia" w:eastAsiaTheme="minorEastAsia" w:cstheme="minorEastAsia"/>
          <w:bCs/>
          <w:sz w:val="30"/>
          <w:szCs w:val="30"/>
        </w:rPr>
        <w:t>8</w:t>
      </w:r>
      <w:r>
        <w:rPr>
          <w:rFonts w:hint="eastAsia" w:asciiTheme="minorEastAsia" w:hAnsiTheme="minorEastAsia" w:eastAsiaTheme="minorEastAsia" w:cstheme="minorEastAsia"/>
          <w:bCs/>
          <w:sz w:val="30"/>
          <w:szCs w:val="30"/>
        </w:rPr>
        <w:fldChar w:fldCharType="end"/>
      </w:r>
      <w:r>
        <w:rPr>
          <w:rFonts w:hint="eastAsia" w:asciiTheme="minorEastAsia" w:hAnsiTheme="minorEastAsia" w:eastAsiaTheme="minorEastAsia" w:cstheme="minorEastAsia"/>
          <w:bCs/>
          <w:sz w:val="30"/>
          <w:szCs w:val="30"/>
        </w:rPr>
        <w:fldChar w:fldCharType="end"/>
      </w:r>
    </w:p>
    <w:p>
      <w:pPr>
        <w:pStyle w:val="11"/>
        <w:tabs>
          <w:tab w:val="right" w:leader="dot" w:pos="9073"/>
        </w:tabs>
        <w:rPr>
          <w:rFonts w:asciiTheme="minorEastAsia" w:hAnsiTheme="minorEastAsia" w:eastAsiaTheme="minorEastAsia" w:cstheme="minorEastAsia"/>
          <w:bCs/>
          <w:sz w:val="30"/>
          <w:szCs w:val="30"/>
        </w:rPr>
      </w:pPr>
      <w:r>
        <w:fldChar w:fldCharType="begin"/>
      </w:r>
      <w:r>
        <w:instrText xml:space="preserve"> HYPERLINK \l "_Toc20577" </w:instrText>
      </w:r>
      <w:r>
        <w:fldChar w:fldCharType="separate"/>
      </w:r>
      <w:r>
        <w:rPr>
          <w:rFonts w:hint="eastAsia" w:asciiTheme="minorEastAsia" w:hAnsiTheme="minorEastAsia" w:eastAsiaTheme="minorEastAsia" w:cstheme="minorEastAsia"/>
          <w:bCs/>
          <w:sz w:val="30"/>
          <w:szCs w:val="30"/>
        </w:rPr>
        <w:t>第四章  评审方法和程序···································</w:t>
      </w:r>
      <w:r>
        <w:rPr>
          <w:rFonts w:hint="eastAsia" w:asciiTheme="minorEastAsia" w:hAnsiTheme="minorEastAsia" w:eastAsiaTheme="minorEastAsia" w:cstheme="minorEastAsia"/>
          <w:bCs/>
          <w:sz w:val="30"/>
          <w:szCs w:val="30"/>
        </w:rPr>
        <w:fldChar w:fldCharType="begin"/>
      </w:r>
      <w:r>
        <w:rPr>
          <w:rFonts w:hint="eastAsia" w:asciiTheme="minorEastAsia" w:hAnsiTheme="minorEastAsia" w:eastAsiaTheme="minorEastAsia" w:cstheme="minorEastAsia"/>
          <w:bCs/>
          <w:sz w:val="30"/>
          <w:szCs w:val="30"/>
        </w:rPr>
        <w:instrText xml:space="preserve"> PAGEREF _Toc20577 </w:instrText>
      </w:r>
      <w:r>
        <w:rPr>
          <w:rFonts w:hint="eastAsia" w:asciiTheme="minorEastAsia" w:hAnsiTheme="minorEastAsia" w:eastAsiaTheme="minorEastAsia" w:cstheme="minorEastAsia"/>
          <w:bCs/>
          <w:sz w:val="30"/>
          <w:szCs w:val="30"/>
        </w:rPr>
        <w:fldChar w:fldCharType="separate"/>
      </w:r>
      <w:r>
        <w:rPr>
          <w:rFonts w:asciiTheme="minorEastAsia" w:hAnsiTheme="minorEastAsia" w:eastAsiaTheme="minorEastAsia" w:cstheme="minorEastAsia"/>
          <w:bCs/>
          <w:sz w:val="30"/>
          <w:szCs w:val="30"/>
        </w:rPr>
        <w:t>1</w:t>
      </w:r>
      <w:r>
        <w:rPr>
          <w:rFonts w:hint="eastAsia" w:asciiTheme="minorEastAsia" w:hAnsiTheme="minorEastAsia" w:eastAsiaTheme="minorEastAsia" w:cstheme="minorEastAsia"/>
          <w:bCs/>
          <w:sz w:val="30"/>
          <w:szCs w:val="30"/>
        </w:rPr>
        <w:t>2</w:t>
      </w:r>
      <w:r>
        <w:rPr>
          <w:rFonts w:hint="eastAsia" w:asciiTheme="minorEastAsia" w:hAnsiTheme="minorEastAsia" w:eastAsiaTheme="minorEastAsia" w:cstheme="minorEastAsia"/>
          <w:bCs/>
          <w:sz w:val="30"/>
          <w:szCs w:val="30"/>
        </w:rPr>
        <w:fldChar w:fldCharType="end"/>
      </w:r>
      <w:r>
        <w:rPr>
          <w:rFonts w:hint="eastAsia" w:asciiTheme="minorEastAsia" w:hAnsiTheme="minorEastAsia" w:eastAsiaTheme="minorEastAsia" w:cstheme="minorEastAsia"/>
          <w:bCs/>
          <w:sz w:val="30"/>
          <w:szCs w:val="30"/>
        </w:rPr>
        <w:fldChar w:fldCharType="end"/>
      </w:r>
    </w:p>
    <w:p>
      <w:pPr>
        <w:pStyle w:val="11"/>
        <w:tabs>
          <w:tab w:val="right" w:leader="dot" w:pos="9073"/>
        </w:tabs>
        <w:rPr>
          <w:rFonts w:asciiTheme="minorEastAsia" w:hAnsiTheme="minorEastAsia" w:eastAsiaTheme="minorEastAsia" w:cstheme="minorEastAsia"/>
          <w:bCs/>
          <w:sz w:val="30"/>
          <w:szCs w:val="30"/>
        </w:rPr>
      </w:pPr>
      <w:r>
        <w:fldChar w:fldCharType="begin"/>
      </w:r>
      <w:r>
        <w:instrText xml:space="preserve"> HYPERLINK \l "_Toc28557" </w:instrText>
      </w:r>
      <w:r>
        <w:fldChar w:fldCharType="separate"/>
      </w:r>
      <w:r>
        <w:rPr>
          <w:rFonts w:hint="eastAsia" w:asciiTheme="minorEastAsia" w:hAnsiTheme="minorEastAsia" w:eastAsiaTheme="minorEastAsia" w:cstheme="minorEastAsia"/>
          <w:bCs/>
          <w:sz w:val="30"/>
          <w:szCs w:val="30"/>
        </w:rPr>
        <w:t>第五章  签定合同··········································19</w:t>
      </w:r>
      <w:r>
        <w:rPr>
          <w:rFonts w:hint="eastAsia" w:asciiTheme="minorEastAsia" w:hAnsiTheme="minorEastAsia" w:eastAsiaTheme="minorEastAsia" w:cstheme="minorEastAsia"/>
          <w:bCs/>
          <w:sz w:val="30"/>
          <w:szCs w:val="30"/>
        </w:rPr>
        <w:fldChar w:fldCharType="end"/>
      </w:r>
    </w:p>
    <w:p>
      <w:pPr>
        <w:pStyle w:val="11"/>
        <w:tabs>
          <w:tab w:val="right" w:leader="dot" w:pos="9073"/>
        </w:tabs>
        <w:rPr>
          <w:rFonts w:asciiTheme="minorEastAsia" w:hAnsiTheme="minorEastAsia" w:eastAsiaTheme="minorEastAsia" w:cstheme="minorEastAsia"/>
          <w:bCs/>
          <w:sz w:val="30"/>
          <w:szCs w:val="30"/>
        </w:rPr>
      </w:pPr>
      <w:r>
        <w:fldChar w:fldCharType="begin"/>
      </w:r>
      <w:r>
        <w:instrText xml:space="preserve"> HYPERLINK \l "_Toc13425" </w:instrText>
      </w:r>
      <w:r>
        <w:fldChar w:fldCharType="separate"/>
      </w:r>
      <w:r>
        <w:rPr>
          <w:rFonts w:hint="eastAsia" w:asciiTheme="minorEastAsia" w:hAnsiTheme="minorEastAsia" w:eastAsiaTheme="minorEastAsia" w:cstheme="minorEastAsia"/>
          <w:bCs/>
          <w:sz w:val="30"/>
          <w:szCs w:val="30"/>
        </w:rPr>
        <w:t>第六章  质疑提出和处理···································</w:t>
      </w:r>
      <w:r>
        <w:rPr>
          <w:rFonts w:hint="eastAsia" w:asciiTheme="minorEastAsia" w:hAnsiTheme="minorEastAsia" w:eastAsiaTheme="minorEastAsia" w:cstheme="minorEastAsia"/>
          <w:bCs/>
          <w:sz w:val="30"/>
          <w:szCs w:val="30"/>
        </w:rPr>
        <w:fldChar w:fldCharType="begin"/>
      </w:r>
      <w:r>
        <w:rPr>
          <w:rFonts w:hint="eastAsia" w:asciiTheme="minorEastAsia" w:hAnsiTheme="minorEastAsia" w:eastAsiaTheme="minorEastAsia" w:cstheme="minorEastAsia"/>
          <w:bCs/>
          <w:sz w:val="30"/>
          <w:szCs w:val="30"/>
        </w:rPr>
        <w:instrText xml:space="preserve"> PAGEREF _Toc13425 </w:instrText>
      </w:r>
      <w:r>
        <w:rPr>
          <w:rFonts w:hint="eastAsia" w:asciiTheme="minorEastAsia" w:hAnsiTheme="minorEastAsia" w:eastAsiaTheme="minorEastAsia" w:cstheme="minorEastAsia"/>
          <w:bCs/>
          <w:sz w:val="30"/>
          <w:szCs w:val="30"/>
        </w:rPr>
        <w:fldChar w:fldCharType="separate"/>
      </w:r>
      <w:r>
        <w:rPr>
          <w:rFonts w:asciiTheme="minorEastAsia" w:hAnsiTheme="minorEastAsia" w:eastAsiaTheme="minorEastAsia" w:cstheme="minorEastAsia"/>
          <w:bCs/>
          <w:sz w:val="30"/>
          <w:szCs w:val="30"/>
        </w:rPr>
        <w:t>2</w:t>
      </w:r>
      <w:r>
        <w:rPr>
          <w:rFonts w:hint="eastAsia" w:asciiTheme="minorEastAsia" w:hAnsiTheme="minorEastAsia" w:eastAsiaTheme="minorEastAsia" w:cstheme="minorEastAsia"/>
          <w:bCs/>
          <w:sz w:val="30"/>
          <w:szCs w:val="30"/>
        </w:rPr>
        <w:t>0</w:t>
      </w:r>
      <w:r>
        <w:rPr>
          <w:rFonts w:hint="eastAsia" w:asciiTheme="minorEastAsia" w:hAnsiTheme="minorEastAsia" w:eastAsiaTheme="minorEastAsia" w:cstheme="minorEastAsia"/>
          <w:bCs/>
          <w:sz w:val="30"/>
          <w:szCs w:val="30"/>
        </w:rPr>
        <w:fldChar w:fldCharType="end"/>
      </w:r>
      <w:r>
        <w:rPr>
          <w:rFonts w:hint="eastAsia" w:asciiTheme="minorEastAsia" w:hAnsiTheme="minorEastAsia" w:eastAsiaTheme="minorEastAsia" w:cstheme="minorEastAsia"/>
          <w:bCs/>
          <w:sz w:val="30"/>
          <w:szCs w:val="30"/>
        </w:rPr>
        <w:fldChar w:fldCharType="end"/>
      </w:r>
    </w:p>
    <w:p>
      <w:pPr>
        <w:pStyle w:val="11"/>
        <w:tabs>
          <w:tab w:val="right" w:leader="dot" w:pos="9073"/>
        </w:tabs>
      </w:pPr>
      <w:r>
        <w:fldChar w:fldCharType="begin"/>
      </w:r>
      <w:r>
        <w:instrText xml:space="preserve"> HYPERLINK \l "_Toc20540" </w:instrText>
      </w:r>
      <w:r>
        <w:fldChar w:fldCharType="separate"/>
      </w:r>
      <w:r>
        <w:rPr>
          <w:rFonts w:hint="eastAsia" w:asciiTheme="minorEastAsia" w:hAnsiTheme="minorEastAsia" w:eastAsiaTheme="minorEastAsia" w:cstheme="minorEastAsia"/>
          <w:bCs/>
          <w:sz w:val="30"/>
          <w:szCs w:val="30"/>
        </w:rPr>
        <w:t>第七章  响应文件组成·····································</w:t>
      </w:r>
      <w:r>
        <w:rPr>
          <w:rFonts w:hint="eastAsia" w:asciiTheme="minorEastAsia" w:hAnsiTheme="minorEastAsia" w:eastAsiaTheme="minorEastAsia" w:cstheme="minorEastAsia"/>
          <w:bCs/>
          <w:sz w:val="30"/>
          <w:szCs w:val="30"/>
        </w:rPr>
        <w:fldChar w:fldCharType="begin"/>
      </w:r>
      <w:r>
        <w:rPr>
          <w:rFonts w:hint="eastAsia" w:asciiTheme="minorEastAsia" w:hAnsiTheme="minorEastAsia" w:eastAsiaTheme="minorEastAsia" w:cstheme="minorEastAsia"/>
          <w:bCs/>
          <w:sz w:val="30"/>
          <w:szCs w:val="30"/>
        </w:rPr>
        <w:instrText xml:space="preserve"> PAGEREF _Toc20540 </w:instrText>
      </w:r>
      <w:r>
        <w:rPr>
          <w:rFonts w:hint="eastAsia" w:asciiTheme="minorEastAsia" w:hAnsiTheme="minorEastAsia" w:eastAsiaTheme="minorEastAsia" w:cstheme="minorEastAsia"/>
          <w:bCs/>
          <w:sz w:val="30"/>
          <w:szCs w:val="30"/>
        </w:rPr>
        <w:fldChar w:fldCharType="separate"/>
      </w:r>
      <w:r>
        <w:rPr>
          <w:rFonts w:asciiTheme="minorEastAsia" w:hAnsiTheme="minorEastAsia" w:eastAsiaTheme="minorEastAsia" w:cstheme="minorEastAsia"/>
          <w:bCs/>
          <w:sz w:val="30"/>
          <w:szCs w:val="30"/>
        </w:rPr>
        <w:t>2</w:t>
      </w:r>
      <w:r>
        <w:rPr>
          <w:rFonts w:hint="eastAsia" w:asciiTheme="minorEastAsia" w:hAnsiTheme="minorEastAsia" w:eastAsiaTheme="minorEastAsia" w:cstheme="minorEastAsia"/>
          <w:bCs/>
          <w:sz w:val="30"/>
          <w:szCs w:val="30"/>
        </w:rPr>
        <w:t>2</w:t>
      </w:r>
      <w:r>
        <w:rPr>
          <w:rFonts w:hint="eastAsia" w:asciiTheme="minorEastAsia" w:hAnsiTheme="minorEastAsia" w:eastAsiaTheme="minorEastAsia" w:cstheme="minorEastAsia"/>
          <w:bCs/>
          <w:sz w:val="30"/>
          <w:szCs w:val="30"/>
        </w:rPr>
        <w:fldChar w:fldCharType="end"/>
      </w:r>
      <w:r>
        <w:rPr>
          <w:rFonts w:hint="eastAsia" w:asciiTheme="minorEastAsia" w:hAnsiTheme="minorEastAsia" w:eastAsiaTheme="minorEastAsia" w:cstheme="minorEastAsia"/>
          <w:bCs/>
          <w:sz w:val="30"/>
          <w:szCs w:val="30"/>
        </w:rPr>
        <w:fldChar w:fldCharType="end"/>
      </w:r>
    </w:p>
    <w:p>
      <w:pPr>
        <w:rPr>
          <w:rFonts w:ascii="宋体" w:hAnsi="宋体" w:cs="宋体"/>
          <w:bCs/>
          <w:sz w:val="30"/>
          <w:szCs w:val="30"/>
        </w:rPr>
      </w:pPr>
      <w:r>
        <w:rPr>
          <w:rFonts w:hint="eastAsia" w:ascii="宋体" w:hAnsi="宋体" w:cs="宋体"/>
          <w:bCs/>
          <w:szCs w:val="30"/>
        </w:rPr>
        <w:fldChar w:fldCharType="end"/>
      </w:r>
    </w:p>
    <w:p>
      <w:pPr>
        <w:pStyle w:val="2"/>
        <w:ind w:left="882"/>
        <w:rPr>
          <w:rFonts w:ascii="宋体" w:hAnsi="宋体" w:cs="宋体"/>
          <w:bCs/>
          <w:sz w:val="30"/>
          <w:szCs w:val="30"/>
        </w:rPr>
      </w:pPr>
    </w:p>
    <w:p>
      <w:pPr>
        <w:pStyle w:val="2"/>
        <w:ind w:left="882"/>
        <w:rPr>
          <w:rFonts w:ascii="宋体" w:hAnsi="宋体" w:cs="宋体"/>
          <w:b/>
          <w:bCs/>
          <w:sz w:val="30"/>
          <w:szCs w:val="30"/>
        </w:rPr>
      </w:pPr>
    </w:p>
    <w:p>
      <w:pPr>
        <w:pStyle w:val="2"/>
        <w:ind w:left="882"/>
        <w:rPr>
          <w:rFonts w:ascii="宋体" w:hAnsi="宋体" w:cs="宋体"/>
          <w:b/>
          <w:bCs/>
          <w:sz w:val="30"/>
          <w:szCs w:val="30"/>
        </w:rPr>
      </w:pPr>
    </w:p>
    <w:p>
      <w:pPr>
        <w:pStyle w:val="2"/>
        <w:ind w:left="882"/>
        <w:rPr>
          <w:rFonts w:ascii="宋体" w:hAnsi="宋体" w:cs="宋体"/>
          <w:b/>
          <w:bCs/>
          <w:sz w:val="30"/>
          <w:szCs w:val="30"/>
        </w:rPr>
      </w:pPr>
    </w:p>
    <w:p>
      <w:pPr>
        <w:pStyle w:val="2"/>
        <w:ind w:left="882"/>
        <w:rPr>
          <w:rFonts w:ascii="宋体" w:hAnsi="宋体" w:cs="宋体"/>
          <w:b/>
          <w:bCs/>
          <w:sz w:val="30"/>
          <w:szCs w:val="30"/>
        </w:rPr>
      </w:pPr>
    </w:p>
    <w:p>
      <w:pPr>
        <w:pStyle w:val="2"/>
        <w:ind w:left="882"/>
        <w:rPr>
          <w:rFonts w:ascii="宋体" w:hAnsi="宋体" w:cs="宋体"/>
          <w:b/>
          <w:bCs/>
          <w:sz w:val="30"/>
          <w:szCs w:val="30"/>
        </w:rPr>
      </w:pPr>
    </w:p>
    <w:p>
      <w:pPr>
        <w:pStyle w:val="11"/>
      </w:pPr>
    </w:p>
    <w:p>
      <w:pPr>
        <w:pStyle w:val="2"/>
        <w:ind w:left="882"/>
        <w:rPr>
          <w:rFonts w:ascii="宋体" w:hAnsi="宋体" w:cs="宋体"/>
          <w:b/>
          <w:bCs/>
          <w:sz w:val="30"/>
          <w:szCs w:val="30"/>
        </w:rPr>
      </w:pPr>
    </w:p>
    <w:p>
      <w:pPr>
        <w:pStyle w:val="2"/>
        <w:ind w:left="882"/>
        <w:rPr>
          <w:rFonts w:ascii="宋体" w:hAnsi="宋体" w:cs="宋体"/>
          <w:b/>
          <w:bCs/>
          <w:sz w:val="30"/>
          <w:szCs w:val="30"/>
        </w:rPr>
      </w:pPr>
    </w:p>
    <w:p>
      <w:pPr>
        <w:pStyle w:val="2"/>
        <w:ind w:left="882"/>
        <w:rPr>
          <w:rFonts w:ascii="宋体" w:hAnsi="宋体" w:cs="宋体"/>
          <w:b/>
          <w:bCs/>
          <w:sz w:val="30"/>
          <w:szCs w:val="30"/>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p>
    <w:p>
      <w:pPr>
        <w:wordWrap w:val="0"/>
        <w:snapToGrid w:val="0"/>
        <w:spacing w:line="360" w:lineRule="auto"/>
        <w:rPr>
          <w:rFonts w:ascii="宋体" w:hAnsi="宋体" w:cs="宋体"/>
          <w:b/>
          <w:sz w:val="24"/>
        </w:rPr>
      </w:pPr>
      <w:r>
        <w:rPr>
          <w:rFonts w:hint="eastAsia" w:ascii="宋体" w:hAnsi="宋体" w:cs="宋体"/>
          <w:b/>
          <w:sz w:val="24"/>
        </w:rPr>
        <w:t>尊敬的磋商响应供应商（以下称供应商）：</w:t>
      </w:r>
    </w:p>
    <w:p>
      <w:pPr>
        <w:wordWrap w:val="0"/>
        <w:snapToGrid w:val="0"/>
        <w:spacing w:line="360" w:lineRule="auto"/>
        <w:ind w:firstLine="482" w:firstLineChars="200"/>
        <w:rPr>
          <w:rFonts w:ascii="宋体" w:hAnsi="宋体" w:cs="宋体"/>
          <w:b/>
          <w:sz w:val="24"/>
        </w:rPr>
      </w:pPr>
      <w:r>
        <w:rPr>
          <w:rFonts w:hint="eastAsia" w:ascii="宋体" w:hAnsi="宋体" w:cs="宋体"/>
          <w:b/>
          <w:sz w:val="24"/>
        </w:rPr>
        <w:t>欢迎参加本采购项目的竞争性磋商。为了保证本次招标顺利进行，请在制作磋商响应文件之前，仔细阅读本竞争性磋商文件的各项条款，并按要求制作和递交磋商响应文件。谢谢合作！</w:t>
      </w:r>
    </w:p>
    <w:p>
      <w:pPr>
        <w:wordWrap w:val="0"/>
        <w:snapToGrid w:val="0"/>
        <w:spacing w:line="360" w:lineRule="auto"/>
        <w:ind w:firstLine="482" w:firstLineChars="200"/>
        <w:rPr>
          <w:rFonts w:ascii="宋体" w:hAnsi="宋体" w:cs="宋体"/>
          <w:b/>
          <w:sz w:val="24"/>
        </w:rPr>
      </w:pPr>
    </w:p>
    <w:p>
      <w:pPr>
        <w:tabs>
          <w:tab w:val="left" w:pos="1050"/>
          <w:tab w:val="right" w:leader="dot" w:pos="9402"/>
        </w:tabs>
        <w:wordWrap w:val="0"/>
        <w:spacing w:before="240" w:line="360" w:lineRule="auto"/>
        <w:jc w:val="center"/>
        <w:outlineLvl w:val="0"/>
        <w:rPr>
          <w:rFonts w:ascii="宋体" w:hAnsi="宋体" w:cs="宋体"/>
          <w:b/>
          <w:w w:val="80"/>
          <w:sz w:val="36"/>
          <w:szCs w:val="36"/>
        </w:rPr>
      </w:pPr>
      <w:bookmarkStart w:id="0" w:name="_Toc363573853"/>
      <w:bookmarkStart w:id="1" w:name="_Toc17860"/>
      <w:bookmarkStart w:id="2" w:name="_Toc7506"/>
      <w:r>
        <w:rPr>
          <w:rFonts w:hint="eastAsia" w:ascii="宋体" w:hAnsi="宋体" w:cs="宋体"/>
          <w:b/>
          <w:sz w:val="36"/>
          <w:szCs w:val="36"/>
        </w:rPr>
        <w:t xml:space="preserve">第一章  </w:t>
      </w:r>
      <w:bookmarkEnd w:id="0"/>
      <w:r>
        <w:rPr>
          <w:rFonts w:hint="eastAsia" w:ascii="宋体" w:hAnsi="宋体" w:cs="宋体"/>
          <w:b/>
          <w:sz w:val="36"/>
          <w:szCs w:val="36"/>
        </w:rPr>
        <w:t>竞争性磋商</w:t>
      </w:r>
      <w:bookmarkEnd w:id="1"/>
      <w:r>
        <w:rPr>
          <w:rFonts w:hint="eastAsia" w:ascii="宋体" w:hAnsi="宋体" w:cs="宋体"/>
          <w:b/>
          <w:sz w:val="36"/>
          <w:szCs w:val="36"/>
        </w:rPr>
        <w:t>邀请</w:t>
      </w:r>
      <w:bookmarkEnd w:id="2"/>
    </w:p>
    <w:p>
      <w:pPr>
        <w:adjustRightInd w:val="0"/>
        <w:snapToGrid w:val="0"/>
        <w:spacing w:line="360" w:lineRule="auto"/>
        <w:ind w:firstLine="480" w:firstLineChars="200"/>
        <w:rPr>
          <w:rFonts w:ascii="宋体" w:hAnsi="宋体" w:cs="宋体"/>
          <w:sz w:val="24"/>
        </w:rPr>
      </w:pPr>
      <w:bookmarkStart w:id="3" w:name="_Hlk40864099"/>
      <w:r>
        <w:rPr>
          <w:rFonts w:hint="eastAsia" w:ascii="宋体" w:hAnsi="宋体" w:cs="宋体"/>
          <w:sz w:val="24"/>
        </w:rPr>
        <w:t>根据江苏省江海博物馆（以下简称采购人）采购管理的有关规定，现对</w:t>
      </w:r>
      <w:r>
        <w:rPr>
          <w:rFonts w:hint="eastAsia" w:ascii="宋体" w:hAnsi="宋体" w:cs="宋体"/>
          <w:b/>
          <w:bCs/>
          <w:sz w:val="24"/>
          <w:u w:val="single"/>
          <w:lang w:val="zh-CN"/>
        </w:rPr>
        <w:t xml:space="preserve"> 漾舟信归风：中国古代船模展文物运输服务项目</w:t>
      </w:r>
      <w:r>
        <w:rPr>
          <w:rFonts w:hint="eastAsia" w:ascii="宋体" w:hAnsi="宋体" w:cs="宋体"/>
          <w:sz w:val="24"/>
        </w:rPr>
        <w:t>拟用竞争性磋商方式进行采购，诚邀符合资格条件的潜在供应商踊跃参加磋商响应。</w:t>
      </w:r>
    </w:p>
    <w:p>
      <w:pPr>
        <w:adjustRightInd w:val="0"/>
        <w:snapToGrid w:val="0"/>
        <w:spacing w:line="460" w:lineRule="exact"/>
        <w:ind w:firstLine="480" w:firstLineChars="200"/>
        <w:rPr>
          <w:rFonts w:ascii="宋体" w:hAnsi="宋体" w:cs="宋体"/>
          <w:b/>
          <w:sz w:val="24"/>
        </w:rPr>
      </w:pPr>
      <w:r>
        <w:rPr>
          <w:rFonts w:hint="eastAsia" w:ascii="宋体" w:hAnsi="宋体" w:cs="宋体"/>
          <w:sz w:val="24"/>
        </w:rPr>
        <w:t>一、</w:t>
      </w:r>
      <w:r>
        <w:rPr>
          <w:rFonts w:hint="eastAsia" w:ascii="宋体" w:hAnsi="宋体" w:cs="宋体"/>
          <w:b/>
          <w:sz w:val="24"/>
        </w:rPr>
        <w:t>项目名称：漾舟信归风：中国古代船模展文物运输服务项目</w:t>
      </w:r>
    </w:p>
    <w:p>
      <w:pPr>
        <w:adjustRightInd w:val="0"/>
        <w:snapToGrid w:val="0"/>
        <w:spacing w:line="460" w:lineRule="exact"/>
        <w:ind w:firstLine="482" w:firstLineChars="200"/>
        <w:rPr>
          <w:rFonts w:ascii="宋体" w:hAnsi="宋体" w:cs="宋体"/>
          <w:sz w:val="24"/>
          <w:highlight w:val="yellow"/>
        </w:rPr>
      </w:pPr>
      <w:r>
        <w:rPr>
          <w:rFonts w:hint="eastAsia" w:ascii="宋体" w:hAnsi="宋体" w:cs="宋体"/>
          <w:b/>
          <w:sz w:val="24"/>
        </w:rPr>
        <w:t>二、项目编码：JHBWG</w:t>
      </w:r>
      <w:bookmarkStart w:id="67" w:name="_GoBack"/>
      <w:bookmarkEnd w:id="67"/>
      <w:r>
        <w:rPr>
          <w:rFonts w:hint="eastAsia" w:ascii="宋体" w:hAnsi="宋体" w:cs="宋体"/>
          <w:b/>
          <w:sz w:val="24"/>
        </w:rPr>
        <w:t>20220721</w:t>
      </w:r>
    </w:p>
    <w:p>
      <w:pPr>
        <w:adjustRightInd w:val="0"/>
        <w:snapToGrid w:val="0"/>
        <w:spacing w:line="460" w:lineRule="exact"/>
        <w:ind w:firstLine="482" w:firstLineChars="200"/>
        <w:rPr>
          <w:rFonts w:ascii="宋体" w:hAnsi="宋体" w:cs="宋体"/>
          <w:sz w:val="24"/>
        </w:rPr>
      </w:pPr>
      <w:r>
        <w:rPr>
          <w:rFonts w:hint="eastAsia" w:ascii="宋体" w:hAnsi="宋体" w:cs="宋体"/>
          <w:b/>
          <w:bCs/>
          <w:sz w:val="24"/>
        </w:rPr>
        <w:t>三</w:t>
      </w:r>
      <w:r>
        <w:rPr>
          <w:rFonts w:hint="eastAsia" w:ascii="宋体" w:hAnsi="宋体" w:cs="宋体"/>
          <w:b/>
          <w:sz w:val="24"/>
        </w:rPr>
        <w:t>、项目预算：6万元（含此次运输文物保险费）</w:t>
      </w:r>
    </w:p>
    <w:p>
      <w:pPr>
        <w:spacing w:line="360" w:lineRule="auto"/>
        <w:ind w:firstLine="480"/>
        <w:rPr>
          <w:rFonts w:ascii="宋体" w:hAnsi="宋体" w:cs="宋体"/>
          <w:sz w:val="24"/>
        </w:rPr>
      </w:pPr>
      <w:r>
        <w:rPr>
          <w:rFonts w:hint="eastAsia" w:ascii="宋体" w:hAnsi="宋体" w:cs="宋体"/>
          <w:b/>
          <w:bCs/>
          <w:sz w:val="24"/>
        </w:rPr>
        <w:t>四、服务期限：</w:t>
      </w:r>
      <w:r>
        <w:rPr>
          <w:rFonts w:hint="eastAsia" w:ascii="宋体" w:hAnsi="宋体" w:cs="宋体"/>
          <w:sz w:val="24"/>
        </w:rPr>
        <w:t>详见项目需求。</w:t>
      </w:r>
    </w:p>
    <w:p>
      <w:pPr>
        <w:adjustRightInd w:val="0"/>
        <w:snapToGrid w:val="0"/>
        <w:spacing w:line="460" w:lineRule="exact"/>
        <w:ind w:firstLine="482" w:firstLineChars="200"/>
        <w:rPr>
          <w:rFonts w:ascii="宋体" w:hAnsi="宋体" w:cs="宋体"/>
          <w:sz w:val="24"/>
        </w:rPr>
      </w:pPr>
      <w:r>
        <w:rPr>
          <w:rFonts w:hint="eastAsia" w:ascii="宋体" w:hAnsi="宋体" w:cs="宋体"/>
          <w:b/>
          <w:bCs/>
          <w:sz w:val="24"/>
        </w:rPr>
        <w:t>五、项目需求：</w:t>
      </w:r>
      <w:r>
        <w:rPr>
          <w:rFonts w:hint="eastAsia" w:ascii="宋体" w:hAnsi="宋体" w:cs="宋体"/>
          <w:sz w:val="24"/>
        </w:rPr>
        <w:t>详见本磋商文件第三章；</w:t>
      </w:r>
    </w:p>
    <w:p>
      <w:pPr>
        <w:adjustRightInd w:val="0"/>
        <w:snapToGrid w:val="0"/>
        <w:spacing w:line="460" w:lineRule="exact"/>
        <w:ind w:firstLine="482" w:firstLineChars="200"/>
        <w:rPr>
          <w:rFonts w:ascii="宋体" w:hAnsi="宋体" w:cs="宋体"/>
          <w:b/>
          <w:bCs/>
          <w:sz w:val="24"/>
        </w:rPr>
      </w:pPr>
      <w:r>
        <w:rPr>
          <w:rFonts w:hint="eastAsia" w:ascii="宋体" w:hAnsi="宋体" w:cs="宋体"/>
          <w:b/>
          <w:bCs/>
          <w:sz w:val="24"/>
        </w:rPr>
        <w:t>六、供应商资格：</w:t>
      </w:r>
    </w:p>
    <w:p>
      <w:pPr>
        <w:pStyle w:val="12"/>
        <w:widowControl/>
        <w:spacing w:line="440" w:lineRule="exact"/>
        <w:ind w:firstLine="482" w:firstLineChars="200"/>
        <w:rPr>
          <w:rFonts w:ascii="宋体" w:hAnsi="宋体" w:cs="宋体"/>
          <w:b/>
          <w:bCs/>
        </w:rPr>
      </w:pPr>
      <w:r>
        <w:rPr>
          <w:rFonts w:hint="eastAsia" w:ascii="宋体" w:hAnsi="宋体" w:cs="宋体"/>
          <w:b/>
          <w:bCs/>
        </w:rPr>
        <w:t>（一）供应商应当具备的条件：</w:t>
      </w:r>
    </w:p>
    <w:p>
      <w:pPr>
        <w:pStyle w:val="12"/>
        <w:widowControl/>
        <w:spacing w:line="440" w:lineRule="exact"/>
        <w:ind w:firstLine="480" w:firstLineChars="200"/>
        <w:rPr>
          <w:rFonts w:ascii="宋体" w:hAnsi="宋体" w:cs="宋体"/>
        </w:rPr>
      </w:pPr>
      <w:r>
        <w:rPr>
          <w:rFonts w:hint="eastAsia" w:ascii="宋体" w:hAnsi="宋体" w:cs="宋体"/>
        </w:rPr>
        <w:t>1.具有法人或者其他组织的营业执照等证明文件；</w:t>
      </w:r>
    </w:p>
    <w:p>
      <w:pPr>
        <w:pStyle w:val="12"/>
        <w:widowControl/>
        <w:spacing w:line="440" w:lineRule="exact"/>
        <w:ind w:firstLine="480" w:firstLineChars="200"/>
        <w:rPr>
          <w:rFonts w:ascii="宋体" w:hAnsi="宋体" w:cs="宋体"/>
        </w:rPr>
      </w:pPr>
      <w:r>
        <w:rPr>
          <w:rFonts w:hint="eastAsia" w:ascii="宋体" w:hAnsi="宋体" w:cs="宋体"/>
        </w:rPr>
        <w:t>2.具有良好的商业信誉和健全的财务会计制度；</w:t>
      </w:r>
    </w:p>
    <w:p>
      <w:pPr>
        <w:pStyle w:val="12"/>
        <w:widowControl/>
        <w:spacing w:line="440" w:lineRule="exact"/>
        <w:ind w:firstLine="480" w:firstLineChars="200"/>
        <w:rPr>
          <w:rFonts w:ascii="宋体" w:hAnsi="宋体" w:cs="宋体"/>
        </w:rPr>
      </w:pPr>
      <w:r>
        <w:rPr>
          <w:rFonts w:hint="eastAsia" w:ascii="宋体" w:hAnsi="宋体" w:cs="宋体"/>
        </w:rPr>
        <w:t>3.具有履行合同所必需的设备和专业技术能力；</w:t>
      </w:r>
    </w:p>
    <w:p>
      <w:pPr>
        <w:pStyle w:val="12"/>
        <w:widowControl/>
        <w:spacing w:line="440" w:lineRule="exact"/>
        <w:ind w:firstLine="480" w:firstLineChars="200"/>
        <w:rPr>
          <w:rFonts w:ascii="宋体" w:hAnsi="宋体" w:cs="宋体"/>
        </w:rPr>
      </w:pPr>
      <w:r>
        <w:rPr>
          <w:rFonts w:hint="eastAsia" w:ascii="宋体" w:hAnsi="宋体" w:cs="宋体"/>
        </w:rPr>
        <w:t>4.具有依法缴纳税收和社会保障资金的良好记录；</w:t>
      </w:r>
    </w:p>
    <w:p>
      <w:pPr>
        <w:pStyle w:val="12"/>
        <w:widowControl/>
        <w:spacing w:line="440" w:lineRule="exact"/>
        <w:ind w:firstLine="480" w:firstLineChars="200"/>
        <w:rPr>
          <w:rFonts w:ascii="宋体" w:hAnsi="宋体" w:cs="宋体"/>
        </w:rPr>
      </w:pPr>
      <w:r>
        <w:rPr>
          <w:rFonts w:hint="eastAsia" w:ascii="宋体" w:hAnsi="宋体" w:cs="宋体"/>
        </w:rPr>
        <w:t>5.参加本次采购活动前三年内，在经营活动中没有重大违法记录；</w:t>
      </w:r>
    </w:p>
    <w:p>
      <w:pPr>
        <w:pStyle w:val="12"/>
        <w:widowControl/>
        <w:spacing w:line="440" w:lineRule="exact"/>
        <w:ind w:firstLine="480" w:firstLineChars="200"/>
        <w:rPr>
          <w:rFonts w:ascii="宋体" w:hAnsi="宋体" w:cs="宋体"/>
        </w:rPr>
      </w:pPr>
      <w:r>
        <w:rPr>
          <w:rFonts w:hint="eastAsia" w:ascii="宋体" w:hAnsi="宋体" w:cs="宋体"/>
        </w:rPr>
        <w:t>6.具有《道路运输经营许可证》；</w:t>
      </w:r>
    </w:p>
    <w:p>
      <w:pPr>
        <w:pStyle w:val="12"/>
        <w:widowControl/>
        <w:spacing w:line="440" w:lineRule="exact"/>
        <w:ind w:firstLine="480" w:firstLineChars="200"/>
        <w:rPr>
          <w:rFonts w:ascii="宋体" w:hAnsi="宋体" w:cs="宋体"/>
        </w:rPr>
      </w:pPr>
      <w:r>
        <w:rPr>
          <w:rFonts w:hint="eastAsia" w:ascii="宋体" w:hAnsi="宋体" w:cs="宋体"/>
        </w:rPr>
        <w:t>7.本项目不接受联合体参与投标。</w:t>
      </w:r>
    </w:p>
    <w:p>
      <w:pPr>
        <w:pStyle w:val="12"/>
        <w:widowControl/>
        <w:spacing w:line="440" w:lineRule="exact"/>
        <w:ind w:firstLine="482" w:firstLineChars="200"/>
        <w:rPr>
          <w:rFonts w:ascii="宋体" w:hAnsi="宋体" w:cs="宋体"/>
          <w:b/>
          <w:bCs/>
        </w:rPr>
      </w:pPr>
      <w:r>
        <w:rPr>
          <w:rFonts w:hint="eastAsia" w:ascii="宋体" w:hAnsi="宋体" w:cs="宋体"/>
          <w:b/>
          <w:bCs/>
        </w:rPr>
        <w:t>（二）其他事项：</w:t>
      </w:r>
    </w:p>
    <w:p>
      <w:pPr>
        <w:pStyle w:val="12"/>
        <w:widowControl/>
        <w:spacing w:line="440" w:lineRule="exact"/>
        <w:ind w:firstLine="480" w:firstLineChars="200"/>
        <w:rPr>
          <w:rFonts w:ascii="宋体" w:hAnsi="宋体" w:cs="宋体"/>
        </w:rPr>
      </w:pPr>
      <w:r>
        <w:rPr>
          <w:rFonts w:hint="eastAsia" w:ascii="宋体" w:hAnsi="宋体" w:cs="宋体"/>
        </w:rPr>
        <w:t>1、为确保政府采购守法供应商公平参加政府采购活动，采购代理机构将在磋商开始后一个小时内，通过信用中国网站对供应商信用信息进行查询查证，并将查询记录截屏打印保存在采购档案内。</w:t>
      </w:r>
    </w:p>
    <w:p>
      <w:pPr>
        <w:pStyle w:val="12"/>
        <w:widowControl/>
        <w:spacing w:line="440" w:lineRule="exact"/>
        <w:ind w:firstLine="480" w:firstLineChars="200"/>
        <w:rPr>
          <w:rFonts w:ascii="宋体" w:hAnsi="宋体" w:cs="宋体"/>
        </w:rPr>
      </w:pPr>
      <w:r>
        <w:rPr>
          <w:rFonts w:hint="eastAsia" w:ascii="宋体" w:hAnsi="宋体" w:cs="宋体"/>
        </w:rPr>
        <w:t>2、对列入失信被执行人、重大税收违法案件当事人名单、政府采购严重违法失信行为记录及其他不符合《中华人民共和国政府采购法》第二十二条规定条件的供应商，将拒绝其参与政府采购活动。</w:t>
      </w:r>
    </w:p>
    <w:p>
      <w:pPr>
        <w:pStyle w:val="12"/>
        <w:widowControl/>
        <w:spacing w:line="440" w:lineRule="exact"/>
        <w:ind w:firstLine="480" w:firstLineChars="200"/>
        <w:rPr>
          <w:rFonts w:ascii="宋体" w:hAnsi="宋体" w:cs="宋体"/>
        </w:rPr>
      </w:pPr>
      <w:r>
        <w:rPr>
          <w:rFonts w:hint="eastAsia" w:ascii="宋体" w:hAnsi="宋体" w:cs="宋体"/>
        </w:rPr>
        <w:t>请各磋商供应商认真对照资格条件，以上有关资质证明均需在磋商响应文件中提供，原件带至现场备查。如不符合要求的，无意或故意参与磋商所产生的一切后果由磋商供应商自行承担。</w:t>
      </w:r>
    </w:p>
    <w:p>
      <w:pPr>
        <w:wordWrap w:val="0"/>
        <w:spacing w:line="360" w:lineRule="auto"/>
        <w:ind w:firstLine="480" w:firstLineChars="200"/>
        <w:rPr>
          <w:rFonts w:ascii="宋体" w:hAnsi="宋体" w:cs="宋体"/>
          <w:sz w:val="24"/>
        </w:rPr>
      </w:pPr>
      <w:r>
        <w:rPr>
          <w:rFonts w:hint="eastAsia" w:ascii="宋体" w:hAnsi="宋体" w:cs="宋体"/>
          <w:sz w:val="24"/>
        </w:rPr>
        <w:t>七、有意愿参与本项目磋商响应的供应商，请于本公告发布日起至磋商响应截止</w:t>
      </w:r>
      <w:r>
        <w:rPr>
          <w:rFonts w:ascii="宋体" w:hAnsi="宋体" w:cs="宋体"/>
          <w:sz w:val="24"/>
        </w:rPr>
        <w:t>，</w:t>
      </w:r>
      <w:r>
        <w:rPr>
          <w:rFonts w:hint="eastAsia" w:ascii="宋体" w:hAnsi="宋体" w:cs="宋体"/>
          <w:sz w:val="24"/>
        </w:rPr>
        <w:t>下载本项目的磋商文件。</w:t>
      </w:r>
    </w:p>
    <w:p>
      <w:pPr>
        <w:wordWrap w:val="0"/>
        <w:spacing w:line="360" w:lineRule="auto"/>
        <w:ind w:firstLine="480" w:firstLineChars="200"/>
        <w:rPr>
          <w:rFonts w:ascii="宋体" w:hAnsi="宋体"/>
          <w:sz w:val="24"/>
          <w:szCs w:val="24"/>
        </w:rPr>
      </w:pPr>
      <w:r>
        <w:rPr>
          <w:rFonts w:hint="eastAsia" w:ascii="宋体" w:hAnsi="宋体" w:cs="宋体"/>
          <w:sz w:val="24"/>
        </w:rPr>
        <w:t>八、磋商响应文件接收截止及磋商评审的时间为</w:t>
      </w:r>
      <w:r>
        <w:rPr>
          <w:rFonts w:hint="eastAsia" w:ascii="宋体" w:hAnsi="宋体" w:cs="宋体"/>
          <w:sz w:val="24"/>
          <w:u w:val="single"/>
        </w:rPr>
        <w:t>：</w:t>
      </w:r>
      <w:bookmarkStart w:id="4" w:name="OLE_LINK5"/>
      <w:bookmarkStart w:id="5" w:name="OLE_LINK6"/>
      <w:r>
        <w:rPr>
          <w:rFonts w:hint="eastAsia" w:ascii="宋体" w:hAnsi="宋体" w:cs="宋体"/>
          <w:sz w:val="24"/>
          <w:u w:val="single"/>
        </w:rPr>
        <w:t>2022</w:t>
      </w:r>
      <w:r>
        <w:rPr>
          <w:rFonts w:hint="eastAsia" w:ascii="宋体" w:hAnsi="宋体" w:cs="宋体"/>
          <w:b/>
          <w:sz w:val="24"/>
          <w:u w:val="single"/>
        </w:rPr>
        <w:t>年8月1日09时30分</w:t>
      </w:r>
      <w:bookmarkEnd w:id="4"/>
      <w:bookmarkEnd w:id="5"/>
      <w:r>
        <w:rPr>
          <w:rFonts w:hint="eastAsia" w:ascii="宋体" w:hAnsi="宋体" w:cs="宋体"/>
          <w:sz w:val="24"/>
          <w:u w:val="single"/>
        </w:rPr>
        <w:t>；</w:t>
      </w:r>
      <w:r>
        <w:rPr>
          <w:rFonts w:hint="eastAsia" w:ascii="宋体" w:hAnsi="宋体"/>
          <w:sz w:val="24"/>
          <w:szCs w:val="24"/>
        </w:rPr>
        <w:t>地址：</w:t>
      </w:r>
      <w:r>
        <w:rPr>
          <w:rFonts w:hint="eastAsia" w:ascii="宋体" w:hAnsi="宋体"/>
          <w:b/>
          <w:sz w:val="24"/>
          <w:szCs w:val="24"/>
          <w:u w:val="single"/>
        </w:rPr>
        <w:t>江苏省南通市海门区东布洲中路99号江苏省江海博物馆一楼会议室</w:t>
      </w:r>
      <w:r>
        <w:rPr>
          <w:rFonts w:hint="eastAsia" w:ascii="宋体" w:hAnsi="宋体"/>
          <w:sz w:val="24"/>
          <w:szCs w:val="24"/>
        </w:rPr>
        <w:t>，如有变动另行通知。</w:t>
      </w:r>
    </w:p>
    <w:p>
      <w:pPr>
        <w:wordWrap w:val="0"/>
        <w:spacing w:line="360" w:lineRule="auto"/>
        <w:ind w:firstLine="482" w:firstLineChars="200"/>
        <w:rPr>
          <w:rFonts w:ascii="宋体" w:hAnsi="宋体" w:cs="宋体"/>
          <w:sz w:val="24"/>
        </w:rPr>
      </w:pPr>
      <w:r>
        <w:rPr>
          <w:rFonts w:hint="eastAsia" w:ascii="宋体" w:hAnsi="宋体" w:cs="宋体"/>
          <w:b/>
          <w:sz w:val="24"/>
        </w:rPr>
        <w:t>九、磋商保证金</w:t>
      </w:r>
      <w:r>
        <w:rPr>
          <w:rFonts w:hint="eastAsia" w:ascii="宋体" w:hAnsi="宋体" w:cs="宋体"/>
          <w:sz w:val="24"/>
        </w:rPr>
        <w:t>：免收</w:t>
      </w:r>
    </w:p>
    <w:p>
      <w:pPr>
        <w:wordWrap w:val="0"/>
        <w:spacing w:line="360" w:lineRule="auto"/>
        <w:ind w:firstLine="482" w:firstLineChars="200"/>
        <w:rPr>
          <w:rFonts w:ascii="宋体" w:hAnsi="宋体" w:cs="宋体"/>
          <w:b/>
          <w:sz w:val="24"/>
        </w:rPr>
      </w:pPr>
      <w:r>
        <w:rPr>
          <w:rFonts w:hint="eastAsia" w:ascii="宋体" w:hAnsi="宋体" w:cs="宋体"/>
          <w:b/>
          <w:sz w:val="24"/>
        </w:rPr>
        <w:t>十、竞争性磋商程序简介</w:t>
      </w:r>
    </w:p>
    <w:p>
      <w:pPr>
        <w:wordWrap w:val="0"/>
        <w:spacing w:line="360" w:lineRule="auto"/>
        <w:ind w:firstLine="480" w:firstLineChars="200"/>
        <w:rPr>
          <w:rFonts w:ascii="宋体" w:hAnsi="宋体" w:cs="宋体"/>
          <w:sz w:val="24"/>
        </w:rPr>
      </w:pPr>
      <w:r>
        <w:rPr>
          <w:rFonts w:hint="eastAsia" w:ascii="宋体" w:hAnsi="宋体" w:cs="宋体"/>
          <w:sz w:val="24"/>
        </w:rPr>
        <w:t>供应商先对响应文件进行密封性检查，磋商小组审查响应供应商资格，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wordWrap w:val="0"/>
        <w:spacing w:line="360" w:lineRule="auto"/>
        <w:ind w:firstLine="482" w:firstLineChars="200"/>
        <w:rPr>
          <w:rFonts w:ascii="宋体" w:hAnsi="宋体" w:cs="宋体"/>
          <w:b/>
          <w:sz w:val="24"/>
        </w:rPr>
      </w:pPr>
      <w:r>
        <w:rPr>
          <w:rFonts w:hint="eastAsia" w:ascii="宋体" w:hAnsi="宋体" w:cs="宋体"/>
          <w:b/>
          <w:sz w:val="24"/>
        </w:rPr>
        <w:t>十一、磋商响应联系方式</w:t>
      </w:r>
    </w:p>
    <w:p>
      <w:pPr>
        <w:wordWrap w:val="0"/>
        <w:spacing w:line="360" w:lineRule="auto"/>
        <w:ind w:firstLine="480" w:firstLineChars="200"/>
        <w:rPr>
          <w:rFonts w:ascii="宋体" w:hAnsi="宋体"/>
          <w:sz w:val="24"/>
        </w:rPr>
      </w:pPr>
      <w:r>
        <w:rPr>
          <w:rFonts w:hint="eastAsia" w:ascii="宋体" w:hAnsi="宋体"/>
          <w:sz w:val="24"/>
        </w:rPr>
        <w:t>采购单位</w:t>
      </w:r>
    </w:p>
    <w:p>
      <w:pPr>
        <w:wordWrap w:val="0"/>
        <w:spacing w:line="360" w:lineRule="auto"/>
        <w:ind w:firstLine="480" w:firstLineChars="200"/>
        <w:rPr>
          <w:rFonts w:ascii="宋体" w:hAnsi="宋体" w:cs="宋体"/>
          <w:b/>
          <w:bCs/>
          <w:sz w:val="24"/>
          <w:u w:val="single"/>
          <w:lang w:val="zh-CN"/>
        </w:rPr>
      </w:pPr>
      <w:r>
        <w:rPr>
          <w:rFonts w:hint="eastAsia" w:ascii="宋体" w:hAnsi="宋体"/>
          <w:sz w:val="24"/>
        </w:rPr>
        <w:t>单位：</w:t>
      </w:r>
      <w:r>
        <w:rPr>
          <w:rFonts w:hint="eastAsia" w:ascii="宋体" w:hAnsi="宋体" w:cs="宋体"/>
          <w:sz w:val="24"/>
          <w:lang w:val="zh-CN"/>
        </w:rPr>
        <w:t>江苏省江海博物馆</w:t>
      </w:r>
    </w:p>
    <w:p>
      <w:pPr>
        <w:wordWrap w:val="0"/>
        <w:spacing w:line="360" w:lineRule="auto"/>
        <w:ind w:firstLine="480" w:firstLineChars="200"/>
        <w:rPr>
          <w:rFonts w:ascii="宋体" w:hAnsi="宋体" w:cs="宋体"/>
          <w:sz w:val="24"/>
          <w:u w:val="single"/>
        </w:rPr>
      </w:pPr>
      <w:r>
        <w:rPr>
          <w:rFonts w:hint="eastAsia" w:ascii="宋体" w:hAnsi="宋体"/>
          <w:sz w:val="24"/>
        </w:rPr>
        <w:t>联系人：王先生</w:t>
      </w:r>
    </w:p>
    <w:p>
      <w:pPr>
        <w:spacing w:line="360" w:lineRule="auto"/>
        <w:ind w:left="239" w:leftChars="114" w:firstLine="240" w:firstLineChars="100"/>
        <w:rPr>
          <w:rFonts w:ascii="宋体" w:hAnsi="宋体" w:cs="宋体"/>
          <w:b/>
          <w:sz w:val="36"/>
          <w:szCs w:val="36"/>
        </w:rPr>
      </w:pPr>
      <w:r>
        <w:rPr>
          <w:rFonts w:hint="eastAsia" w:ascii="宋体" w:hAnsi="宋体" w:cs="宋体"/>
          <w:sz w:val="24"/>
        </w:rPr>
        <w:t>电话：</w:t>
      </w:r>
      <w:bookmarkEnd w:id="3"/>
      <w:bookmarkStart w:id="6" w:name="_Toc24106"/>
      <w:r>
        <w:rPr>
          <w:rFonts w:hint="eastAsia" w:ascii="宋体" w:hAnsi="宋体" w:cs="宋体"/>
          <w:sz w:val="24"/>
        </w:rPr>
        <w:t>0513-81263930</w:t>
      </w:r>
      <w:r>
        <w:rPr>
          <w:rFonts w:hint="eastAsia" w:ascii="宋体" w:hAnsi="宋体" w:cs="宋体"/>
          <w:b/>
          <w:sz w:val="36"/>
          <w:szCs w:val="36"/>
          <w:u w:val="single"/>
        </w:rPr>
        <w:br w:type="page"/>
      </w:r>
      <w:r>
        <w:rPr>
          <w:rFonts w:hint="eastAsia" w:ascii="宋体" w:hAnsi="宋体" w:cs="宋体"/>
          <w:b/>
          <w:sz w:val="36"/>
          <w:szCs w:val="36"/>
        </w:rPr>
        <w:t>第二章  供应商须知</w:t>
      </w:r>
      <w:bookmarkEnd w:id="6"/>
    </w:p>
    <w:p>
      <w:pPr>
        <w:snapToGrid w:val="0"/>
        <w:spacing w:line="360" w:lineRule="auto"/>
        <w:ind w:firstLine="482" w:firstLineChars="200"/>
        <w:outlineLvl w:val="1"/>
        <w:rPr>
          <w:rFonts w:ascii="宋体" w:hAnsi="宋体" w:cs="宋体"/>
          <w:b/>
          <w:sz w:val="24"/>
        </w:rPr>
      </w:pPr>
      <w:bookmarkStart w:id="7" w:name="_Toc7208"/>
      <w:bookmarkStart w:id="8" w:name="_Toc26121"/>
      <w:bookmarkStart w:id="9" w:name="_Toc18624"/>
      <w:r>
        <w:rPr>
          <w:rFonts w:hint="eastAsia" w:ascii="宋体" w:hAnsi="宋体" w:cs="宋体"/>
          <w:b/>
          <w:sz w:val="24"/>
        </w:rPr>
        <w:t>一、采购文件由采购人解释。</w:t>
      </w:r>
      <w:bookmarkEnd w:id="7"/>
      <w:bookmarkEnd w:id="8"/>
      <w:bookmarkEnd w:id="9"/>
    </w:p>
    <w:p>
      <w:pPr>
        <w:wordWrap w:val="0"/>
        <w:adjustRightInd w:val="0"/>
        <w:snapToGrid w:val="0"/>
        <w:spacing w:line="360" w:lineRule="auto"/>
        <w:ind w:firstLine="480" w:firstLineChars="200"/>
        <w:rPr>
          <w:rFonts w:ascii="宋体" w:hAnsi="宋体" w:cs="宋体"/>
          <w:sz w:val="24"/>
        </w:rPr>
      </w:pPr>
      <w:r>
        <w:rPr>
          <w:rFonts w:hint="eastAsia" w:ascii="宋体" w:hAnsi="宋体" w:cs="宋体"/>
          <w:sz w:val="24"/>
        </w:rPr>
        <w:t>1、供应商获取采购文件后，应仔细检查采购文件的所有内容，如对政府采购活动事项有疑问的，应在获取采购文件开始之日起3日内以书面形式提出询问或疑问，未在规定期间内提出询问或疑问的，视同供应商理解并接受本采购文件所有内容，并由此引起的投标损失自负。</w:t>
      </w:r>
    </w:p>
    <w:p>
      <w:pPr>
        <w:wordWrap w:val="0"/>
        <w:adjustRightInd w:val="0"/>
        <w:snapToGrid w:val="0"/>
        <w:spacing w:line="360" w:lineRule="auto"/>
        <w:ind w:firstLine="480" w:firstLineChars="200"/>
        <w:rPr>
          <w:rFonts w:ascii="宋体" w:hAnsi="宋体" w:cs="宋体"/>
          <w:sz w:val="24"/>
        </w:rPr>
      </w:pPr>
      <w:bookmarkStart w:id="10" w:name="_Toc7889"/>
      <w:bookmarkStart w:id="11" w:name="_Toc21167"/>
      <w:bookmarkStart w:id="12" w:name="_Toc21844"/>
      <w:r>
        <w:rPr>
          <w:rFonts w:hint="eastAsia" w:ascii="宋体" w:hAnsi="宋体" w:cs="宋体"/>
          <w:sz w:val="24"/>
        </w:rPr>
        <w:t>2、供应商应认真审阅采购文件中所有的事项、格式、条款和规范要求等，如果供应商没有按照采购文件要求提交磋商响应文件，或者磋商响应文件没有对采购文件做出实质性响应，将被拒绝参与磋商。</w:t>
      </w:r>
      <w:bookmarkEnd w:id="10"/>
      <w:bookmarkEnd w:id="11"/>
      <w:bookmarkEnd w:id="12"/>
    </w:p>
    <w:p>
      <w:pPr>
        <w:snapToGrid w:val="0"/>
        <w:spacing w:line="360" w:lineRule="auto"/>
        <w:ind w:firstLine="482" w:firstLineChars="200"/>
        <w:outlineLvl w:val="1"/>
        <w:rPr>
          <w:rFonts w:ascii="宋体" w:hAnsi="宋体" w:cs="宋体"/>
          <w:b/>
          <w:sz w:val="24"/>
        </w:rPr>
      </w:pPr>
      <w:bookmarkStart w:id="13" w:name="_Toc29878"/>
      <w:bookmarkStart w:id="14" w:name="_Toc19815"/>
      <w:bookmarkStart w:id="15" w:name="_Toc10843"/>
      <w:r>
        <w:rPr>
          <w:rFonts w:hint="eastAsia" w:ascii="宋体" w:hAnsi="宋体" w:cs="宋体"/>
          <w:b/>
          <w:sz w:val="24"/>
        </w:rPr>
        <w:t>二、采购文件的澄清、修改、答疑</w:t>
      </w:r>
      <w:bookmarkEnd w:id="13"/>
      <w:bookmarkEnd w:id="14"/>
      <w:bookmarkEnd w:id="15"/>
    </w:p>
    <w:p>
      <w:pPr>
        <w:wordWrap w:val="0"/>
        <w:spacing w:line="360" w:lineRule="auto"/>
        <w:ind w:firstLine="480" w:firstLineChars="200"/>
        <w:rPr>
          <w:rFonts w:ascii="宋体" w:hAnsi="宋体" w:cs="宋体"/>
          <w:sz w:val="24"/>
        </w:rPr>
      </w:pPr>
      <w:r>
        <w:rPr>
          <w:rFonts w:hint="eastAsia" w:ascii="宋体" w:hAnsi="宋体" w:cs="宋体"/>
          <w:sz w:val="24"/>
        </w:rPr>
        <w:t>1、采购人有权对发出的采购文件进行必要的澄清或修改。</w:t>
      </w:r>
    </w:p>
    <w:p>
      <w:pPr>
        <w:wordWrap w:val="0"/>
        <w:spacing w:line="360" w:lineRule="auto"/>
        <w:ind w:firstLine="480" w:firstLineChars="200"/>
        <w:rPr>
          <w:rFonts w:ascii="宋体" w:hAnsi="宋体" w:cs="宋体"/>
          <w:sz w:val="24"/>
        </w:rPr>
      </w:pPr>
      <w:r>
        <w:rPr>
          <w:rFonts w:hint="eastAsia" w:ascii="宋体" w:hAnsi="宋体" w:cs="宋体"/>
          <w:sz w:val="24"/>
        </w:rPr>
        <w:t>2、采购文件的澄清、修改、补充等内容均以书面明确的形式发布，且以在</w:t>
      </w:r>
      <w:r>
        <w:rPr>
          <w:rFonts w:hint="eastAsia" w:ascii="宋体" w:hAnsi="宋体" w:cs="宋体"/>
          <w:color w:val="2F5597" w:themeColor="accent5" w:themeShade="BF"/>
          <w:sz w:val="24"/>
        </w:rPr>
        <w:t>“南通市海门区人民政府网”</w:t>
      </w:r>
      <w:r>
        <w:rPr>
          <w:rFonts w:hint="eastAsia" w:ascii="宋体" w:hAnsi="宋体" w:cs="宋体"/>
          <w:sz w:val="24"/>
        </w:rPr>
        <w:t>发布的信息为准。</w:t>
      </w:r>
    </w:p>
    <w:p>
      <w:pPr>
        <w:wordWrap w:val="0"/>
        <w:spacing w:line="360" w:lineRule="auto"/>
        <w:ind w:firstLine="480" w:firstLineChars="200"/>
        <w:rPr>
          <w:rFonts w:ascii="宋体" w:hAnsi="宋体"/>
        </w:rPr>
      </w:pPr>
      <w:r>
        <w:rPr>
          <w:rFonts w:hint="eastAsia" w:ascii="宋体" w:hAnsi="宋体" w:cs="宋体"/>
          <w:sz w:val="24"/>
        </w:rPr>
        <w:t>3. 补充说明、澄清或修改的内容可能影响到响应文件编制的，采购人将在首次提交磋商响应文件截止日5天前，发布补充说明、澄清或修改公告。不足5日的，应当顺延首次提交磋商响应文件截止之日。</w:t>
      </w:r>
    </w:p>
    <w:p>
      <w:pPr>
        <w:wordWrap w:val="0"/>
        <w:spacing w:line="360" w:lineRule="auto"/>
        <w:ind w:firstLine="480" w:firstLineChars="200"/>
        <w:rPr>
          <w:rFonts w:ascii="宋体" w:hAnsi="宋体" w:cs="宋体"/>
          <w:sz w:val="24"/>
        </w:rPr>
      </w:pPr>
      <w:r>
        <w:rPr>
          <w:rFonts w:hint="eastAsia" w:ascii="宋体" w:hAnsi="宋体" w:cs="宋体"/>
          <w:sz w:val="24"/>
        </w:rPr>
        <w:t>4、采购人对采购文件的澄清、修改将构成采购文件的一部分，对供应商具有约束力。</w:t>
      </w:r>
    </w:p>
    <w:p>
      <w:pPr>
        <w:wordWrap w:val="0"/>
        <w:spacing w:line="360" w:lineRule="auto"/>
        <w:ind w:firstLine="480" w:firstLineChars="200"/>
        <w:rPr>
          <w:rFonts w:ascii="宋体" w:hAnsi="宋体" w:cs="宋体"/>
          <w:sz w:val="24"/>
        </w:rPr>
      </w:pPr>
      <w:r>
        <w:rPr>
          <w:rFonts w:hint="eastAsia" w:ascii="宋体" w:hAnsi="宋体" w:cs="宋体"/>
          <w:sz w:val="24"/>
        </w:rPr>
        <w:t>5、除采购人以书面的形式对采购文件作出澄清、修改及补充，供应商对涉及采购文件的任何推论、理解和结论所造成的结果，均由响应磋商的供应商自负。</w:t>
      </w:r>
    </w:p>
    <w:p>
      <w:pPr>
        <w:wordWrap w:val="0"/>
        <w:snapToGrid w:val="0"/>
        <w:spacing w:line="360" w:lineRule="auto"/>
        <w:ind w:firstLine="480" w:firstLineChars="200"/>
        <w:rPr>
          <w:rFonts w:ascii="宋体" w:hAnsi="宋体" w:cs="宋体"/>
          <w:sz w:val="24"/>
        </w:rPr>
      </w:pPr>
      <w:bookmarkStart w:id="16" w:name="_Toc29237"/>
      <w:bookmarkStart w:id="17" w:name="_Toc8163"/>
      <w:bookmarkStart w:id="18" w:name="_Toc12508"/>
      <w:r>
        <w:rPr>
          <w:rFonts w:hint="eastAsia" w:ascii="宋体" w:hAnsi="宋体" w:cs="宋体"/>
          <w:sz w:val="24"/>
        </w:rPr>
        <w:t>6、采购单位视情组织答疑会。</w:t>
      </w:r>
      <w:bookmarkEnd w:id="16"/>
      <w:bookmarkEnd w:id="17"/>
      <w:bookmarkEnd w:id="18"/>
    </w:p>
    <w:p>
      <w:pPr>
        <w:snapToGrid w:val="0"/>
        <w:spacing w:line="360" w:lineRule="auto"/>
        <w:ind w:firstLine="482" w:firstLineChars="200"/>
        <w:outlineLvl w:val="1"/>
        <w:rPr>
          <w:rFonts w:ascii="宋体" w:hAnsi="宋体" w:cs="宋体"/>
          <w:b/>
          <w:sz w:val="24"/>
        </w:rPr>
      </w:pPr>
      <w:bookmarkStart w:id="19" w:name="_Toc28"/>
      <w:bookmarkStart w:id="20" w:name="_Toc14413"/>
      <w:bookmarkStart w:id="21" w:name="_Toc14056"/>
      <w:r>
        <w:rPr>
          <w:rFonts w:hint="eastAsia" w:ascii="宋体" w:hAnsi="宋体" w:cs="宋体"/>
          <w:b/>
          <w:sz w:val="24"/>
        </w:rPr>
        <w:t>三、磋商报价</w:t>
      </w:r>
      <w:bookmarkEnd w:id="19"/>
      <w:bookmarkEnd w:id="20"/>
      <w:bookmarkEnd w:id="21"/>
    </w:p>
    <w:p>
      <w:pPr>
        <w:wordWrap w:val="0"/>
        <w:spacing w:line="360" w:lineRule="auto"/>
        <w:ind w:firstLine="480" w:firstLineChars="200"/>
        <w:rPr>
          <w:rFonts w:ascii="宋体" w:hAnsi="宋体" w:cs="宋体"/>
          <w:sz w:val="24"/>
        </w:rPr>
      </w:pPr>
      <w:r>
        <w:rPr>
          <w:rFonts w:hint="eastAsia" w:ascii="宋体" w:hAnsi="宋体" w:cs="宋体"/>
          <w:sz w:val="24"/>
        </w:rPr>
        <w:t>1、磋商报价均以人民币为报价的币种。</w:t>
      </w:r>
    </w:p>
    <w:p>
      <w:pPr>
        <w:wordWrap w:val="0"/>
        <w:spacing w:line="360" w:lineRule="auto"/>
        <w:ind w:firstLine="480" w:firstLineChars="200"/>
        <w:rPr>
          <w:rFonts w:ascii="宋体" w:hAnsi="宋体" w:cs="宋体"/>
          <w:color w:val="000000"/>
          <w:sz w:val="24"/>
          <w:szCs w:val="24"/>
        </w:rPr>
      </w:pPr>
      <w:r>
        <w:rPr>
          <w:rFonts w:hint="eastAsia" w:ascii="宋体" w:hAnsi="宋体" w:cs="宋体"/>
          <w:sz w:val="24"/>
        </w:rPr>
        <w:t>2、磋商报价表必</w:t>
      </w:r>
      <w:r>
        <w:rPr>
          <w:rFonts w:hint="eastAsia" w:ascii="宋体" w:hAnsi="宋体" w:cs="宋体"/>
          <w:color w:val="000000"/>
          <w:sz w:val="24"/>
          <w:szCs w:val="24"/>
        </w:rPr>
        <w:t>须加盖单位公章且必须经法定代表人或被授权人签字或盖章。报价表中的大写金额与小写金额、总价金额与按单价汇总金额，若有差异，将执行《政府采购货物和服务招标投标管理办法》第59条的规定。</w:t>
      </w:r>
    </w:p>
    <w:p>
      <w:pPr>
        <w:wordWrap w:val="0"/>
        <w:spacing w:line="360" w:lineRule="auto"/>
        <w:ind w:firstLine="480" w:firstLineChars="200"/>
        <w:rPr>
          <w:rFonts w:ascii="宋体" w:hAnsi="宋体" w:cs="宋体"/>
          <w:sz w:val="24"/>
        </w:rPr>
      </w:pPr>
      <w:r>
        <w:rPr>
          <w:rFonts w:hint="eastAsia" w:ascii="宋体" w:hAnsi="宋体" w:cs="宋体"/>
          <w:sz w:val="24"/>
        </w:rPr>
        <w:t>3、供应商应按本竞争性磋商文件内项目需求的全部采购内容报价。</w:t>
      </w:r>
    </w:p>
    <w:p>
      <w:pPr>
        <w:wordWrap w:val="0"/>
        <w:spacing w:line="360" w:lineRule="auto"/>
        <w:ind w:firstLine="480" w:firstLineChars="200"/>
        <w:rPr>
          <w:rFonts w:ascii="宋体" w:hAnsi="宋体" w:cs="宋体"/>
          <w:sz w:val="24"/>
        </w:rPr>
      </w:pPr>
      <w:r>
        <w:rPr>
          <w:rFonts w:hint="eastAsia" w:ascii="宋体" w:hAnsi="宋体" w:cs="宋体"/>
          <w:sz w:val="24"/>
        </w:rPr>
        <w:t>4、本项目采用固定总价报价，且投标总价不得超过项目预算。</w:t>
      </w:r>
    </w:p>
    <w:p>
      <w:pPr>
        <w:wordWrap w:val="0"/>
        <w:spacing w:line="360" w:lineRule="auto"/>
        <w:ind w:firstLine="480" w:firstLineChars="200"/>
        <w:rPr>
          <w:rFonts w:ascii="宋体" w:hAnsi="宋体" w:cs="宋体"/>
          <w:sz w:val="24"/>
        </w:rPr>
      </w:pPr>
      <w:r>
        <w:rPr>
          <w:rFonts w:hint="eastAsia" w:ascii="宋体" w:hAnsi="宋体" w:cs="宋体"/>
          <w:sz w:val="24"/>
        </w:rPr>
        <w:t>5、磋商报价还应包含相关辅助材料费、税费、售后服务与相关劳务支出等工作所发生的全部费用以及企业利润、税金和政策性文件规定及合同包含的所有风险、责任等各项应有费用。同时还包含为完成本项目所必须的其他辅助工作的相关费用及响应磋商文件要求的所有费用。</w:t>
      </w:r>
    </w:p>
    <w:p>
      <w:pPr>
        <w:wordWrap w:val="0"/>
        <w:spacing w:line="360" w:lineRule="auto"/>
        <w:ind w:firstLine="480" w:firstLineChars="200"/>
        <w:rPr>
          <w:rFonts w:ascii="宋体" w:hAnsi="宋体" w:cs="宋体"/>
          <w:sz w:val="24"/>
        </w:rPr>
      </w:pPr>
      <w:r>
        <w:rPr>
          <w:rFonts w:hint="eastAsia" w:ascii="宋体" w:hAnsi="宋体" w:cs="宋体"/>
          <w:sz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wordWrap w:val="0"/>
        <w:spacing w:line="360" w:lineRule="auto"/>
        <w:ind w:firstLine="480" w:firstLineChars="200"/>
        <w:rPr>
          <w:rFonts w:ascii="宋体" w:hAnsi="宋体" w:cs="宋体"/>
          <w:sz w:val="24"/>
        </w:rPr>
      </w:pPr>
      <w:r>
        <w:rPr>
          <w:rFonts w:hint="eastAsia" w:ascii="宋体" w:hAnsi="宋体" w:cs="宋体"/>
          <w:sz w:val="24"/>
        </w:rPr>
        <w:t>7、竞争性磋商的最终报价为成交价。同时，供应商的最终成交价在合同实施期间不因市场变化因素而变动。</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四、磋商响应文件的编写、份数和签署</w:t>
      </w:r>
    </w:p>
    <w:p>
      <w:pPr>
        <w:spacing w:line="360" w:lineRule="auto"/>
        <w:ind w:firstLine="480" w:firstLineChars="200"/>
        <w:rPr>
          <w:rFonts w:ascii="宋体" w:hAnsi="宋体" w:cs="宋体"/>
          <w:sz w:val="24"/>
        </w:rPr>
      </w:pPr>
      <w:r>
        <w:rPr>
          <w:rFonts w:hint="eastAsia" w:ascii="宋体" w:hAnsi="宋体" w:cs="宋体"/>
          <w:sz w:val="24"/>
        </w:rPr>
        <w:t>1、供应商按第八章“响应文件组成”编写磋商响应文件。</w:t>
      </w:r>
      <w:r>
        <w:rPr>
          <w:rFonts w:hint="eastAsia" w:ascii="宋体" w:hAnsi="宋体" w:cs="宋体"/>
          <w:sz w:val="24"/>
          <w:lang w:val="zh-CN"/>
        </w:rPr>
        <w:t>磋商响应文件规格幅面</w:t>
      </w:r>
      <w:r>
        <w:rPr>
          <w:rFonts w:hint="eastAsia" w:ascii="宋体" w:hAnsi="宋体" w:cs="宋体"/>
          <w:sz w:val="24"/>
        </w:rPr>
        <w:t>A4纸（图纸类等除外）；</w:t>
      </w:r>
      <w:r>
        <w:rPr>
          <w:rFonts w:hint="eastAsia" w:ascii="宋体" w:hAnsi="宋体" w:cs="宋体"/>
          <w:sz w:val="24"/>
          <w:lang w:val="zh-CN"/>
        </w:rPr>
        <w:t>按照采购文件所规定的内容顺序，逐页编码，由于编排混乱导致磋商响应文件被误读或查找不到，其责任应当由供应商承担；</w:t>
      </w:r>
      <w:r>
        <w:rPr>
          <w:rFonts w:hint="eastAsia" w:ascii="宋体" w:hAnsi="宋体" w:cs="宋体"/>
          <w:sz w:val="24"/>
        </w:rPr>
        <w:t>牢固装订成册，不允许使用活页夹、拉杆夹、文件夹、塑料方便式书脊（插入式或穿孔式）装订；磋商响应文件不得行间插字、涂改、增删，如需修补错漏处，须经磋商响应文件签署人签字并加盖公章。</w:t>
      </w:r>
    </w:p>
    <w:p>
      <w:pPr>
        <w:wordWrap w:val="0"/>
        <w:spacing w:line="360" w:lineRule="auto"/>
        <w:ind w:firstLine="480" w:firstLineChars="200"/>
        <w:rPr>
          <w:rFonts w:ascii="宋体" w:hAnsi="宋体" w:cs="宋体"/>
          <w:b/>
          <w:sz w:val="24"/>
        </w:rPr>
      </w:pPr>
      <w:r>
        <w:rPr>
          <w:rFonts w:hint="eastAsia" w:ascii="宋体" w:hAnsi="宋体" w:cs="宋体"/>
          <w:sz w:val="24"/>
        </w:rPr>
        <w:t>2、磋商响应文件（资格审查文件、商务技术文件、报价文件）封面上明确标注供应商全称、“正本”、“副本”字样。</w:t>
      </w:r>
      <w:r>
        <w:rPr>
          <w:rFonts w:hint="eastAsia" w:ascii="宋体" w:hAnsi="宋体" w:cs="宋体"/>
          <w:b/>
          <w:sz w:val="24"/>
        </w:rPr>
        <w:t>正本份数：1份，副本份数：2份。</w:t>
      </w:r>
    </w:p>
    <w:p>
      <w:pPr>
        <w:wordWrap w:val="0"/>
        <w:spacing w:line="360" w:lineRule="auto"/>
        <w:ind w:firstLine="480" w:firstLineChars="200"/>
        <w:rPr>
          <w:rFonts w:ascii="宋体" w:hAnsi="宋体" w:cs="宋体"/>
          <w:sz w:val="24"/>
        </w:rPr>
      </w:pPr>
      <w:r>
        <w:rPr>
          <w:rFonts w:hint="eastAsia" w:ascii="宋体" w:hAnsi="宋体" w:cs="宋体"/>
          <w:sz w:val="24"/>
        </w:rPr>
        <w:t>3、磋商响应文件正本须打印并由供应商法定代表人或授权人签字并加盖单位印章。副本可复印，但须加盖单位印章。</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五、磋商响应文件的密封及标记</w:t>
      </w:r>
    </w:p>
    <w:p>
      <w:pPr>
        <w:wordWrap w:val="0"/>
        <w:spacing w:line="360" w:lineRule="auto"/>
        <w:ind w:firstLine="480" w:firstLineChars="200"/>
        <w:rPr>
          <w:rFonts w:ascii="宋体" w:hAnsi="宋体" w:cs="宋体"/>
          <w:sz w:val="24"/>
        </w:rPr>
      </w:pPr>
      <w:r>
        <w:rPr>
          <w:rFonts w:hint="eastAsia" w:ascii="宋体" w:hAnsi="宋体" w:cs="宋体"/>
          <w:sz w:val="24"/>
        </w:rPr>
        <w:t>1、供应商须将本项目磋商响应文件：①资格审查文件、②商务技术文件、③报价文件，分别单独密封提交。</w:t>
      </w:r>
    </w:p>
    <w:p>
      <w:pPr>
        <w:wordWrap w:val="0"/>
        <w:spacing w:line="360" w:lineRule="auto"/>
        <w:ind w:firstLine="480" w:firstLineChars="200"/>
        <w:rPr>
          <w:rFonts w:ascii="宋体" w:hAnsi="宋体" w:cs="宋体"/>
          <w:sz w:val="24"/>
        </w:rPr>
      </w:pPr>
      <w:r>
        <w:rPr>
          <w:rFonts w:hint="eastAsia" w:ascii="宋体" w:hAnsi="宋体" w:cs="宋体"/>
          <w:sz w:val="24"/>
        </w:rPr>
        <w:t>2、密封后，应在每一密封的响应文件密封袋封面上明确标注采购项目名称、对应的磋商响应文件名称、供应商全称及日期。</w:t>
      </w:r>
    </w:p>
    <w:p>
      <w:pPr>
        <w:wordWrap w:val="0"/>
        <w:spacing w:line="360" w:lineRule="auto"/>
        <w:ind w:firstLine="480" w:firstLineChars="200"/>
        <w:rPr>
          <w:rFonts w:ascii="宋体" w:hAnsi="宋体" w:cs="宋体"/>
          <w:sz w:val="24"/>
        </w:rPr>
      </w:pPr>
      <w:r>
        <w:rPr>
          <w:rFonts w:hint="eastAsia" w:ascii="宋体" w:hAnsi="宋体" w:cs="宋体"/>
          <w:sz w:val="24"/>
        </w:rPr>
        <w:t>3、在边缝处加盖单位骑缝章或骑缝签字。</w:t>
      </w:r>
    </w:p>
    <w:p>
      <w:pPr>
        <w:wordWrap w:val="0"/>
        <w:spacing w:line="360" w:lineRule="auto"/>
        <w:ind w:firstLine="482" w:firstLineChars="200"/>
        <w:rPr>
          <w:rFonts w:ascii="宋体" w:hAnsi="宋体" w:cs="宋体"/>
          <w:b/>
          <w:sz w:val="24"/>
        </w:rPr>
      </w:pPr>
      <w:r>
        <w:rPr>
          <w:rFonts w:hint="eastAsia" w:ascii="宋体" w:hAnsi="宋体" w:cs="宋体"/>
          <w:b/>
          <w:sz w:val="24"/>
        </w:rPr>
        <w:t>特别提醒：磋商响应文件中的资格审查文件和商务技术文的“正本”或“副本”中，均不得含有任何报价文件中的报价表（报价单）的内容，否则作无效磋商处理。采购人将拒绝接收未按照磋商文件要求密封的响应文件。</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六、磋商响应文件的递交时间</w:t>
      </w:r>
    </w:p>
    <w:p>
      <w:pPr>
        <w:wordWrap w:val="0"/>
        <w:spacing w:line="360" w:lineRule="auto"/>
        <w:ind w:firstLine="480" w:firstLineChars="200"/>
        <w:rPr>
          <w:rFonts w:ascii="宋体" w:hAnsi="宋体" w:cs="宋体"/>
          <w:sz w:val="24"/>
        </w:rPr>
      </w:pPr>
      <w:r>
        <w:rPr>
          <w:rFonts w:hint="eastAsia" w:ascii="宋体" w:hAnsi="宋体" w:cs="宋体"/>
          <w:sz w:val="24"/>
        </w:rPr>
        <w:t>1、供应商必须在</w:t>
      </w:r>
      <w:r>
        <w:rPr>
          <w:rFonts w:hint="eastAsia" w:ascii="宋体" w:hAnsi="宋体" w:cs="宋体"/>
          <w:sz w:val="24"/>
          <w:u w:val="single"/>
        </w:rPr>
        <w:t>2022</w:t>
      </w:r>
      <w:r>
        <w:rPr>
          <w:rFonts w:hint="eastAsia" w:ascii="宋体" w:hAnsi="宋体" w:cs="宋体"/>
          <w:b/>
          <w:bCs/>
          <w:sz w:val="24"/>
          <w:shd w:val="clear" w:color="auto" w:fill="FFFFFF"/>
        </w:rPr>
        <w:t>年</w:t>
      </w:r>
      <w:r>
        <w:rPr>
          <w:rFonts w:hint="eastAsia" w:ascii="宋体" w:hAnsi="宋体" w:cs="宋体"/>
          <w:b/>
          <w:bCs/>
          <w:sz w:val="24"/>
          <w:u w:val="single"/>
          <w:shd w:val="clear" w:color="auto" w:fill="FFFFFF"/>
        </w:rPr>
        <w:t>8</w:t>
      </w:r>
      <w:r>
        <w:rPr>
          <w:rFonts w:hint="eastAsia" w:ascii="宋体" w:hAnsi="宋体" w:cs="宋体"/>
          <w:b/>
          <w:bCs/>
          <w:sz w:val="24"/>
          <w:shd w:val="clear" w:color="auto" w:fill="FFFFFF"/>
        </w:rPr>
        <w:t>月</w:t>
      </w:r>
      <w:r>
        <w:rPr>
          <w:rFonts w:hint="eastAsia" w:ascii="宋体" w:hAnsi="宋体" w:cs="宋体"/>
          <w:b/>
          <w:bCs/>
          <w:sz w:val="24"/>
          <w:u w:val="single"/>
          <w:shd w:val="clear" w:color="auto" w:fill="FFFFFF"/>
        </w:rPr>
        <w:t>1</w:t>
      </w:r>
      <w:r>
        <w:rPr>
          <w:rFonts w:hint="eastAsia" w:ascii="宋体" w:hAnsi="宋体" w:cs="宋体"/>
          <w:b/>
          <w:bCs/>
          <w:sz w:val="24"/>
          <w:shd w:val="clear" w:color="auto" w:fill="FFFFFF"/>
        </w:rPr>
        <w:t>日</w:t>
      </w:r>
      <w:r>
        <w:rPr>
          <w:rFonts w:hint="eastAsia" w:ascii="宋体" w:hAnsi="宋体" w:cs="宋体"/>
          <w:b/>
          <w:bCs/>
          <w:sz w:val="24"/>
          <w:u w:val="single"/>
          <w:shd w:val="clear" w:color="auto" w:fill="FFFFFF"/>
        </w:rPr>
        <w:t>09</w:t>
      </w:r>
      <w:r>
        <w:rPr>
          <w:rFonts w:hint="eastAsia" w:ascii="宋体" w:hAnsi="宋体" w:cs="宋体"/>
          <w:b/>
          <w:bCs/>
          <w:sz w:val="24"/>
          <w:shd w:val="clear" w:color="auto" w:fill="FFFFFF"/>
        </w:rPr>
        <w:t>时</w:t>
      </w:r>
      <w:r>
        <w:rPr>
          <w:rFonts w:hint="eastAsia" w:ascii="宋体" w:hAnsi="宋体" w:cs="宋体"/>
          <w:b/>
          <w:bCs/>
          <w:sz w:val="24"/>
          <w:u w:val="single"/>
          <w:shd w:val="clear" w:color="auto" w:fill="FFFFFF"/>
        </w:rPr>
        <w:t>30</w:t>
      </w:r>
      <w:r>
        <w:rPr>
          <w:rFonts w:hint="eastAsia" w:ascii="宋体" w:hAnsi="宋体" w:cs="宋体"/>
          <w:b/>
          <w:bCs/>
          <w:sz w:val="24"/>
          <w:shd w:val="clear" w:color="auto" w:fill="FFFFFF"/>
        </w:rPr>
        <w:t>分</w:t>
      </w:r>
      <w:r>
        <w:rPr>
          <w:rFonts w:hint="eastAsia" w:ascii="宋体" w:hAnsi="宋体" w:cs="宋体"/>
          <w:b/>
          <w:bCs/>
          <w:sz w:val="24"/>
        </w:rPr>
        <w:t>前</w:t>
      </w:r>
      <w:r>
        <w:rPr>
          <w:rFonts w:hint="eastAsia" w:ascii="宋体" w:hAnsi="宋体" w:cs="宋体"/>
          <w:sz w:val="24"/>
        </w:rPr>
        <w:t>，将磋商响应文件送达指定地点，拒绝接收在截止时间后递交的磋商响应文件。</w:t>
      </w:r>
    </w:p>
    <w:p>
      <w:pPr>
        <w:wordWrap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sz w:val="24"/>
          <w:szCs w:val="24"/>
        </w:rPr>
        <w:t>地址：</w:t>
      </w:r>
      <w:r>
        <w:rPr>
          <w:rFonts w:hint="eastAsia" w:ascii="宋体" w:hAnsi="宋体"/>
          <w:b/>
          <w:sz w:val="24"/>
          <w:szCs w:val="24"/>
          <w:u w:val="single"/>
        </w:rPr>
        <w:t>江苏省南通市海门区东布洲中路99号江苏省江海博物馆一楼会议室</w:t>
      </w:r>
      <w:r>
        <w:rPr>
          <w:rFonts w:hint="eastAsia" w:ascii="宋体" w:hAnsi="宋体"/>
          <w:sz w:val="24"/>
          <w:szCs w:val="24"/>
        </w:rPr>
        <w:t>，如有变动另行通知。</w:t>
      </w:r>
    </w:p>
    <w:p>
      <w:pPr>
        <w:wordWrap w:val="0"/>
        <w:spacing w:line="360" w:lineRule="auto"/>
        <w:ind w:firstLine="480" w:firstLineChars="200"/>
        <w:rPr>
          <w:rFonts w:ascii="宋体" w:hAnsi="宋体" w:cs="宋体"/>
          <w:sz w:val="24"/>
        </w:rPr>
      </w:pPr>
      <w:r>
        <w:rPr>
          <w:rFonts w:hint="eastAsia" w:ascii="宋体" w:hAnsi="宋体" w:cs="宋体"/>
          <w:sz w:val="24"/>
        </w:rPr>
        <w:t>3、磋商响应文件必须在规定的接收截止时间前送达采购人。采购人将拒绝接收在投标截止时间后递交的磋商响应文件。</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七、磋商保证金</w:t>
      </w:r>
    </w:p>
    <w:p>
      <w:pPr>
        <w:wordWrap w:val="0"/>
        <w:spacing w:line="360" w:lineRule="auto"/>
        <w:ind w:firstLine="480" w:firstLineChars="200"/>
        <w:rPr>
          <w:rFonts w:ascii="宋体" w:hAnsi="宋体" w:cs="宋体"/>
          <w:sz w:val="24"/>
        </w:rPr>
      </w:pPr>
      <w:r>
        <w:rPr>
          <w:rFonts w:hint="eastAsia" w:ascii="宋体" w:hAnsi="宋体" w:cs="宋体"/>
          <w:sz w:val="24"/>
        </w:rPr>
        <w:t>本次项目磋商保证金免收。</w:t>
      </w:r>
    </w:p>
    <w:p>
      <w:pPr>
        <w:snapToGrid w:val="0"/>
        <w:spacing w:line="360" w:lineRule="auto"/>
        <w:ind w:firstLine="482" w:firstLineChars="200"/>
        <w:outlineLvl w:val="1"/>
        <w:rPr>
          <w:rFonts w:ascii="宋体" w:hAnsi="宋体" w:cs="宋体"/>
          <w:b/>
          <w:sz w:val="24"/>
        </w:rPr>
      </w:pPr>
      <w:bookmarkStart w:id="22" w:name="_Toc22858"/>
      <w:bookmarkStart w:id="23" w:name="_Toc28643"/>
      <w:bookmarkStart w:id="24" w:name="_Toc16234"/>
      <w:r>
        <w:rPr>
          <w:rFonts w:hint="eastAsia" w:ascii="宋体" w:hAnsi="宋体" w:cs="宋体"/>
          <w:b/>
          <w:sz w:val="24"/>
        </w:rPr>
        <w:t>八、付款方式</w:t>
      </w:r>
      <w:bookmarkEnd w:id="22"/>
      <w:bookmarkEnd w:id="23"/>
      <w:bookmarkEnd w:id="24"/>
    </w:p>
    <w:p>
      <w:pPr>
        <w:wordWrap w:val="0"/>
        <w:spacing w:line="360" w:lineRule="auto"/>
        <w:ind w:firstLine="480" w:firstLineChars="200"/>
        <w:rPr>
          <w:rFonts w:ascii="宋体" w:hAnsi="宋体" w:cs="宋体"/>
          <w:sz w:val="24"/>
        </w:rPr>
      </w:pPr>
      <w:bookmarkStart w:id="25" w:name="_Toc4357"/>
      <w:bookmarkStart w:id="26" w:name="_Toc26822"/>
      <w:bookmarkStart w:id="27" w:name="_Toc7795"/>
      <w:r>
        <w:rPr>
          <w:rFonts w:hint="eastAsia" w:ascii="宋体" w:hAnsi="宋体" w:cs="宋体"/>
          <w:sz w:val="24"/>
        </w:rPr>
        <w:t>付款方式：合同签订后，立即开始运输准备工作，并在指定时间内完成运输，待布展结束后，支付合同价款至50%，文物安全运回上海中国航海博物馆后，支付全部余款。</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九、投标费用</w:t>
      </w:r>
      <w:bookmarkEnd w:id="25"/>
      <w:bookmarkEnd w:id="26"/>
      <w:bookmarkEnd w:id="27"/>
    </w:p>
    <w:p>
      <w:pPr>
        <w:wordWrap w:val="0"/>
        <w:spacing w:line="360" w:lineRule="auto"/>
        <w:ind w:firstLine="480" w:firstLineChars="200"/>
        <w:rPr>
          <w:rFonts w:ascii="宋体" w:hAnsi="宋体" w:cs="宋体"/>
          <w:sz w:val="24"/>
        </w:rPr>
      </w:pPr>
      <w:r>
        <w:rPr>
          <w:rFonts w:hint="eastAsia" w:ascii="宋体" w:hAnsi="宋体" w:cs="宋体"/>
          <w:sz w:val="24"/>
        </w:rPr>
        <w:t>1、供应商应承担其编制磋商响应文件以及递交磋商响应文件所涉及的一切费用，江苏省江海博物馆在任何情况下均无义务和责任承担这些费用。</w:t>
      </w:r>
    </w:p>
    <w:p>
      <w:pPr>
        <w:snapToGrid w:val="0"/>
        <w:spacing w:line="360" w:lineRule="auto"/>
        <w:ind w:firstLine="480" w:firstLineChars="200"/>
        <w:contextualSpacing/>
        <w:rPr>
          <w:rFonts w:ascii="宋体" w:hAnsi="宋体" w:cs="宋体"/>
          <w:sz w:val="24"/>
        </w:rPr>
      </w:pPr>
      <w:r>
        <w:rPr>
          <w:rFonts w:hint="eastAsia" w:ascii="宋体" w:hAnsi="宋体" w:cs="宋体"/>
          <w:sz w:val="24"/>
        </w:rPr>
        <w:t>2、 江苏省江海博物馆不收取任何费用。</w:t>
      </w:r>
    </w:p>
    <w:p>
      <w:pPr>
        <w:wordWrap w:val="0"/>
        <w:spacing w:line="360" w:lineRule="auto"/>
        <w:ind w:firstLine="482" w:firstLineChars="200"/>
        <w:rPr>
          <w:rFonts w:ascii="宋体" w:hAnsi="宋体" w:cs="宋体"/>
          <w:b/>
          <w:sz w:val="24"/>
        </w:rPr>
      </w:pPr>
      <w:r>
        <w:rPr>
          <w:rFonts w:hint="eastAsia" w:ascii="宋体" w:hAnsi="宋体" w:cs="宋体"/>
          <w:b/>
          <w:sz w:val="24"/>
        </w:rPr>
        <w:t>十、未尽事宜</w:t>
      </w:r>
    </w:p>
    <w:p>
      <w:pPr>
        <w:wordWrap w:val="0"/>
        <w:spacing w:line="360" w:lineRule="auto"/>
        <w:ind w:firstLine="480" w:firstLineChars="200"/>
        <w:rPr>
          <w:rFonts w:ascii="宋体" w:hAnsi="宋体" w:cs="宋体"/>
          <w:sz w:val="24"/>
        </w:rPr>
      </w:pPr>
      <w:r>
        <w:rPr>
          <w:rFonts w:hint="eastAsia" w:ascii="宋体" w:hAnsi="宋体" w:cs="宋体"/>
          <w:sz w:val="24"/>
        </w:rPr>
        <w:t>按《中华人民共和国政府采购法》及《政府采购竞争性磋商采购方式管理暂行办法》与其他有关法律法规的规定执行。</w:t>
      </w:r>
    </w:p>
    <w:p>
      <w:pPr>
        <w:wordWrap w:val="0"/>
        <w:spacing w:line="360" w:lineRule="auto"/>
        <w:ind w:firstLine="480" w:firstLineChars="200"/>
        <w:rPr>
          <w:rFonts w:ascii="宋体" w:hAnsi="宋体" w:cs="宋体"/>
          <w:sz w:val="24"/>
        </w:rPr>
        <w:sectPr>
          <w:headerReference r:id="rId5" w:type="default"/>
          <w:footerReference r:id="rId6" w:type="default"/>
          <w:pgSz w:w="11907" w:h="16839"/>
          <w:pgMar w:top="1440" w:right="1417" w:bottom="873" w:left="1417" w:header="720" w:footer="720" w:gutter="0"/>
          <w:cols w:space="720" w:num="1"/>
          <w:docGrid w:linePitch="286" w:charSpace="0"/>
        </w:sectPr>
      </w:pPr>
    </w:p>
    <w:p>
      <w:pPr>
        <w:pStyle w:val="5"/>
        <w:spacing w:line="360" w:lineRule="auto"/>
        <w:ind w:firstLine="0"/>
        <w:jc w:val="center"/>
        <w:outlineLvl w:val="0"/>
        <w:rPr>
          <w:rFonts w:ascii="宋体" w:hAnsi="宋体" w:eastAsia="宋体" w:cs="宋体"/>
          <w:b/>
          <w:sz w:val="36"/>
          <w:szCs w:val="36"/>
        </w:rPr>
      </w:pPr>
      <w:bookmarkStart w:id="28" w:name="_Toc29238"/>
      <w:bookmarkStart w:id="29" w:name="_Toc6107"/>
      <w:r>
        <w:rPr>
          <w:rFonts w:hint="eastAsia" w:ascii="宋体" w:hAnsi="宋体" w:eastAsia="宋体" w:cs="宋体"/>
          <w:b/>
          <w:sz w:val="36"/>
          <w:szCs w:val="36"/>
        </w:rPr>
        <w:t>第三章  项目需求</w:t>
      </w:r>
      <w:bookmarkEnd w:id="28"/>
      <w:bookmarkEnd w:id="29"/>
    </w:p>
    <w:p>
      <w:pPr>
        <w:adjustRightInd w:val="0"/>
        <w:snapToGrid w:val="0"/>
        <w:spacing w:line="460" w:lineRule="exact"/>
        <w:ind w:firstLine="480" w:firstLineChars="200"/>
        <w:rPr>
          <w:rFonts w:ascii="宋体" w:hAnsi="宋体" w:cs="宋体"/>
          <w:sz w:val="24"/>
          <w:u w:val="single"/>
        </w:rPr>
      </w:pPr>
      <w:r>
        <w:rPr>
          <w:rFonts w:hint="eastAsia" w:ascii="宋体" w:hAnsi="宋体" w:cs="宋体"/>
          <w:sz w:val="24"/>
        </w:rPr>
        <w:t>一、</w:t>
      </w:r>
      <w:r>
        <w:rPr>
          <w:rFonts w:hint="eastAsia" w:ascii="宋体" w:hAnsi="宋体" w:cs="宋体"/>
          <w:b/>
          <w:bCs/>
          <w:sz w:val="24"/>
        </w:rPr>
        <w:t>项目概况</w:t>
      </w:r>
      <w:r>
        <w:rPr>
          <w:rFonts w:hint="eastAsia" w:ascii="宋体" w:hAnsi="宋体" w:cs="宋体"/>
          <w:sz w:val="24"/>
        </w:rPr>
        <w:t>：</w:t>
      </w:r>
      <w:r>
        <w:rPr>
          <w:rFonts w:hint="eastAsia" w:ascii="宋体" w:hAnsi="宋体" w:cs="宋体"/>
          <w:sz w:val="24"/>
          <w:u w:val="single"/>
        </w:rPr>
        <w:t>漾舟信归风：中国古代船模展文物运输服务项目</w:t>
      </w:r>
    </w:p>
    <w:p>
      <w:pPr>
        <w:pStyle w:val="2"/>
        <w:ind w:left="882"/>
        <w:rPr>
          <w:lang w:val="zh-CN"/>
        </w:rPr>
      </w:pPr>
    </w:p>
    <w:p>
      <w:pPr>
        <w:wordWrap w:val="0"/>
        <w:spacing w:line="440" w:lineRule="exact"/>
        <w:ind w:firstLine="482" w:firstLineChars="200"/>
        <w:rPr>
          <w:rFonts w:ascii="宋体" w:hAnsi="宋体" w:cs="宋体"/>
          <w:b/>
          <w:bCs/>
          <w:sz w:val="24"/>
        </w:rPr>
      </w:pPr>
      <w:r>
        <w:rPr>
          <w:rFonts w:hint="eastAsia" w:ascii="宋体" w:hAnsi="宋体" w:cs="宋体"/>
          <w:b/>
          <w:bCs/>
          <w:sz w:val="24"/>
        </w:rPr>
        <w:t>二、项目具体需求说明：</w:t>
      </w:r>
    </w:p>
    <w:p>
      <w:pPr>
        <w:snapToGrid w:val="0"/>
        <w:spacing w:line="360" w:lineRule="auto"/>
        <w:ind w:firstLine="480" w:firstLineChars="200"/>
        <w:contextualSpacing/>
        <w:rPr>
          <w:rFonts w:ascii="宋体" w:hAnsi="宋体" w:cs="宋体"/>
          <w:sz w:val="24"/>
        </w:rPr>
      </w:pPr>
      <w:bookmarkStart w:id="30" w:name="_Toc6451"/>
      <w:r>
        <w:rPr>
          <w:rFonts w:hint="eastAsia" w:ascii="宋体" w:hAnsi="宋体" w:cs="宋体"/>
          <w:sz w:val="24"/>
        </w:rPr>
        <w:t>（一）运输文物共计65件/组。</w:t>
      </w:r>
    </w:p>
    <w:p>
      <w:pPr>
        <w:snapToGrid w:val="0"/>
        <w:spacing w:line="360" w:lineRule="auto"/>
        <w:ind w:firstLine="480" w:firstLineChars="200"/>
        <w:contextualSpacing/>
        <w:rPr>
          <w:rFonts w:ascii="宋体" w:hAnsi="宋体" w:cs="宋体"/>
          <w:sz w:val="24"/>
        </w:rPr>
      </w:pPr>
      <w:r>
        <w:rPr>
          <w:rFonts w:hint="eastAsia" w:ascii="宋体" w:hAnsi="宋体" w:cs="宋体"/>
          <w:sz w:val="24"/>
        </w:rPr>
        <w:t>（二）安排有经验的包装技术人员负责文物包装、装箱、拆包装服务，每次不少于5人。随报价资料提供全部参与此次项目的包装、服务人员姓名、工作年限等基本信息给江海博物馆方。</w:t>
      </w:r>
    </w:p>
    <w:p>
      <w:pPr>
        <w:snapToGrid w:val="0"/>
        <w:spacing w:line="360" w:lineRule="auto"/>
        <w:ind w:firstLine="480" w:firstLineChars="200"/>
        <w:contextualSpacing/>
        <w:rPr>
          <w:rFonts w:ascii="宋体" w:hAnsi="宋体" w:cs="宋体"/>
          <w:sz w:val="24"/>
        </w:rPr>
      </w:pPr>
      <w:r>
        <w:rPr>
          <w:rFonts w:hint="eastAsia" w:ascii="宋体" w:hAnsi="宋体" w:cs="宋体"/>
          <w:sz w:val="24"/>
        </w:rPr>
        <w:t>（三）需在规定时间内到达目的地，并附此次承运项目的运输方案及协助布展。</w:t>
      </w:r>
    </w:p>
    <w:p>
      <w:pPr>
        <w:snapToGrid w:val="0"/>
        <w:spacing w:line="360" w:lineRule="auto"/>
        <w:ind w:firstLine="480" w:firstLineChars="200"/>
        <w:contextualSpacing/>
        <w:rPr>
          <w:rFonts w:ascii="宋体" w:hAnsi="宋体" w:cs="宋体"/>
          <w:sz w:val="24"/>
        </w:rPr>
      </w:pPr>
      <w:r>
        <w:rPr>
          <w:rFonts w:hint="eastAsia" w:ascii="宋体" w:hAnsi="宋体" w:cs="宋体"/>
          <w:sz w:val="24"/>
        </w:rPr>
        <w:t>（四）本次展览文物估价285.8万，需为展品清单中的文物购买保险。</w:t>
      </w:r>
    </w:p>
    <w:p>
      <w:pPr>
        <w:snapToGrid w:val="0"/>
        <w:spacing w:line="360" w:lineRule="auto"/>
        <w:ind w:left="479" w:leftChars="228"/>
        <w:contextualSpacing/>
        <w:rPr>
          <w:rFonts w:ascii="宋体" w:hAnsi="宋体" w:cs="宋体"/>
          <w:sz w:val="24"/>
        </w:rPr>
      </w:pPr>
      <w:r>
        <w:rPr>
          <w:rFonts w:hint="eastAsia" w:ascii="宋体" w:hAnsi="宋体" w:cs="宋体"/>
          <w:sz w:val="24"/>
        </w:rPr>
        <w:t>（五）承担文物运输安全责任，若运输途中文物发生灭失、损坏，需按估价协商赔偿。</w:t>
      </w:r>
    </w:p>
    <w:p>
      <w:pPr>
        <w:snapToGrid w:val="0"/>
        <w:spacing w:line="360" w:lineRule="auto"/>
        <w:ind w:firstLine="480" w:firstLineChars="200"/>
        <w:contextualSpacing/>
        <w:rPr>
          <w:rFonts w:ascii="宋体" w:hAnsi="宋体" w:cs="宋体"/>
          <w:sz w:val="24"/>
        </w:rPr>
      </w:pPr>
      <w:r>
        <w:rPr>
          <w:rFonts w:hint="eastAsia" w:ascii="宋体" w:hAnsi="宋体" w:cs="宋体"/>
          <w:sz w:val="24"/>
        </w:rPr>
        <w:t>（六）文物运输及展览所需全部材料运输（每站根据展览情况待定）。</w:t>
      </w:r>
    </w:p>
    <w:p>
      <w:pPr>
        <w:snapToGrid w:val="0"/>
        <w:spacing w:line="360" w:lineRule="auto"/>
        <w:ind w:firstLine="480" w:firstLineChars="200"/>
        <w:contextualSpacing/>
        <w:rPr>
          <w:rFonts w:ascii="宋体" w:hAnsi="宋体" w:cs="宋体"/>
          <w:sz w:val="24"/>
        </w:rPr>
      </w:pPr>
      <w:r>
        <w:rPr>
          <w:rFonts w:hint="eastAsia" w:ascii="宋体" w:hAnsi="宋体" w:cs="宋体"/>
          <w:sz w:val="24"/>
        </w:rPr>
        <w:t>（七）投标人须拥有文物珍品运输的专业车辆，能够制作文物内外包装箱，具有文物包装和布展、撤展的丰富经验。</w:t>
      </w:r>
    </w:p>
    <w:p>
      <w:pPr>
        <w:snapToGrid w:val="0"/>
        <w:spacing w:line="360" w:lineRule="auto"/>
        <w:ind w:firstLine="480" w:firstLineChars="200"/>
        <w:contextualSpacing/>
        <w:rPr>
          <w:rFonts w:ascii="宋体" w:hAnsi="宋体" w:cs="宋体"/>
          <w:sz w:val="24"/>
        </w:rPr>
      </w:pPr>
      <w:r>
        <w:rPr>
          <w:rFonts w:hint="eastAsia" w:ascii="宋体" w:hAnsi="宋体" w:cs="宋体"/>
          <w:sz w:val="24"/>
        </w:rPr>
        <w:t>（八）具有履行合同所必需的文物珍品运输经验和安全护卫能力，保证文物运输等的迅速和安全。</w:t>
      </w:r>
    </w:p>
    <w:p>
      <w:pPr>
        <w:snapToGrid w:val="0"/>
        <w:spacing w:line="360" w:lineRule="auto"/>
        <w:ind w:firstLine="480" w:firstLineChars="200"/>
        <w:contextualSpacing/>
        <w:rPr>
          <w:rFonts w:ascii="宋体" w:hAnsi="宋体" w:cs="宋体"/>
          <w:sz w:val="24"/>
        </w:rPr>
      </w:pPr>
      <w:r>
        <w:rPr>
          <w:rFonts w:hint="eastAsia" w:ascii="宋体" w:hAnsi="宋体" w:cs="宋体"/>
          <w:sz w:val="24"/>
        </w:rPr>
        <w:t>（九）文物包装要求</w:t>
      </w:r>
      <w:bookmarkStart w:id="31" w:name="_Toc25059"/>
      <w:bookmarkStart w:id="32" w:name="_Toc28286"/>
      <w:bookmarkStart w:id="33" w:name="_Toc22774"/>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1、文物内包装</w:t>
      </w:r>
      <w:bookmarkEnd w:id="31"/>
      <w:bookmarkEnd w:id="32"/>
      <w:bookmarkEnd w:id="33"/>
      <w:r>
        <w:rPr>
          <w:rFonts w:hint="eastAsia" w:ascii="宋体" w:hAnsi="宋体" w:cs="宋体"/>
          <w:sz w:val="24"/>
        </w:rPr>
        <w:t>要求</w:t>
      </w:r>
      <w:bookmarkStart w:id="34" w:name="_Toc8719"/>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1.1 卷轴类包装</w:t>
      </w:r>
      <w:bookmarkEnd w:id="34"/>
      <w:r>
        <w:rPr>
          <w:rFonts w:hint="eastAsia" w:ascii="宋体" w:hAnsi="宋体" w:cs="宋体"/>
          <w:sz w:val="24"/>
        </w:rPr>
        <w:t>要求</w:t>
      </w:r>
    </w:p>
    <w:p>
      <w:pPr>
        <w:snapToGrid w:val="0"/>
        <w:spacing w:line="360" w:lineRule="auto"/>
        <w:ind w:firstLine="480" w:firstLineChars="200"/>
        <w:contextualSpacing/>
        <w:rPr>
          <w:rFonts w:ascii="宋体" w:hAnsi="宋体" w:cs="宋体"/>
          <w:sz w:val="24"/>
        </w:rPr>
      </w:pPr>
      <w:r>
        <w:rPr>
          <w:rFonts w:hint="eastAsia" w:ascii="宋体" w:hAnsi="宋体" w:cs="宋体"/>
          <w:sz w:val="24"/>
        </w:rPr>
        <w:t>本项目中卷轴类文物先用无酸软纸包裹好，平放于为其制作的内包装木盒中，木盒内卷轴之间均衬垫特定的具有防震、缓冲性能的材料。包装完成后，将内包装盒侧立装入外包装木箱内，外包装箱内底部、四周侧立面、上盖及内包装盒之间均衬垫特定的具有防震、缓冲性能的材料，木箱可开面均粘贴防水密封条及防潮纸。</w:t>
      </w:r>
      <w:bookmarkStart w:id="35" w:name="_Toc1319"/>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1.2 瓷器类包装</w:t>
      </w:r>
      <w:bookmarkEnd w:id="35"/>
      <w:r>
        <w:rPr>
          <w:rFonts w:hint="eastAsia" w:ascii="宋体" w:hAnsi="宋体" w:cs="宋体"/>
          <w:sz w:val="24"/>
        </w:rPr>
        <w:t>要求</w:t>
      </w:r>
    </w:p>
    <w:p>
      <w:pPr>
        <w:snapToGrid w:val="0"/>
        <w:spacing w:line="360" w:lineRule="auto"/>
        <w:ind w:firstLine="480" w:firstLineChars="200"/>
        <w:contextualSpacing/>
        <w:rPr>
          <w:rFonts w:ascii="宋体" w:hAnsi="宋体" w:cs="宋体"/>
          <w:sz w:val="24"/>
        </w:rPr>
      </w:pPr>
      <w:r>
        <w:rPr>
          <w:rFonts w:hint="eastAsia" w:ascii="宋体" w:hAnsi="宋体" w:cs="宋体"/>
          <w:sz w:val="24"/>
        </w:rPr>
        <w:t>本次包装文物涵盖瓷器类文物，此类文物要置于囊匣中保藏，囊匣需要内软、外硬，内部可用软泡沫塑料包以绢绸，柔软舒适，最好不用棉花。棉质易吸水发霉长虫，外部可用木质。完整的文物包装程序应该包括接触面包装、缓冲内包装和防震外包装。</w:t>
      </w:r>
    </w:p>
    <w:p>
      <w:pPr>
        <w:snapToGrid w:val="0"/>
        <w:spacing w:line="360" w:lineRule="auto"/>
        <w:ind w:firstLine="480" w:firstLineChars="200"/>
        <w:contextualSpacing/>
        <w:rPr>
          <w:rFonts w:ascii="宋体" w:hAnsi="宋体" w:cs="宋体"/>
          <w:sz w:val="24"/>
        </w:rPr>
      </w:pPr>
      <w:r>
        <w:rPr>
          <w:rFonts w:hint="eastAsia" w:ascii="宋体" w:hAnsi="宋体" w:cs="宋体"/>
          <w:sz w:val="24"/>
        </w:rPr>
        <w:t>在包装之前，首先对文物表面做好清洁工作，防止在包装及运输过程中文物表面的磨损。同时仔细检查，如发现瓷器开裂现象，应对瓷器表面进行保护，以防止在包装的过程中将文物碰碎。</w:t>
      </w:r>
    </w:p>
    <w:p>
      <w:pPr>
        <w:snapToGrid w:val="0"/>
        <w:spacing w:line="360" w:lineRule="auto"/>
        <w:ind w:firstLine="480" w:firstLineChars="200"/>
        <w:contextualSpacing/>
        <w:rPr>
          <w:rFonts w:ascii="宋体" w:hAnsi="宋体" w:cs="宋体"/>
          <w:sz w:val="24"/>
        </w:rPr>
      </w:pPr>
      <w:r>
        <w:rPr>
          <w:rFonts w:hint="eastAsia" w:ascii="宋体" w:hAnsi="宋体" w:cs="宋体"/>
          <w:sz w:val="24"/>
        </w:rPr>
        <w:t>接触面包装材料选用纤维较粗、纤维抱合力较好、质感柔软的材料，这样在包绕器物的过程中就会减少对瓷器表面的摩擦，可以选用无酸纸等。</w:t>
      </w:r>
    </w:p>
    <w:p>
      <w:pPr>
        <w:snapToGrid w:val="0"/>
        <w:spacing w:line="360" w:lineRule="auto"/>
        <w:ind w:firstLine="480" w:firstLineChars="200"/>
        <w:contextualSpacing/>
        <w:rPr>
          <w:rFonts w:ascii="宋体" w:hAnsi="宋体" w:cs="宋体"/>
          <w:sz w:val="24"/>
        </w:rPr>
      </w:pPr>
      <w:r>
        <w:rPr>
          <w:rFonts w:hint="eastAsia" w:ascii="宋体" w:hAnsi="宋体" w:cs="宋体"/>
          <w:sz w:val="24"/>
        </w:rPr>
        <w:t>缓冲内包装如为天然材料制作的裹匣，应在包装之前彻底检查并消毒，同时在裹匣中放入防霉药物。为了更好避免裹匣内发霉或滋生微生物，对制作裹匣的材料也应有所选择，如经过防霉处理的木板、纸板，纸板也可用有孔透气的塑料板代替。裹心内填充的物，可使用天然棉花、人造棉或太空棉。黏合剂使用有防霉效果的人工胶粘剂。</w:t>
      </w:r>
    </w:p>
    <w:p>
      <w:pPr>
        <w:snapToGrid w:val="0"/>
        <w:spacing w:line="360" w:lineRule="auto"/>
        <w:ind w:firstLine="480" w:firstLineChars="200"/>
        <w:contextualSpacing/>
        <w:rPr>
          <w:rFonts w:ascii="宋体" w:hAnsi="宋体" w:cs="宋体"/>
          <w:sz w:val="24"/>
        </w:rPr>
      </w:pPr>
      <w:r>
        <w:rPr>
          <w:rFonts w:hint="eastAsia" w:ascii="宋体" w:hAnsi="宋体" w:cs="宋体"/>
          <w:sz w:val="24"/>
        </w:rPr>
        <w:t xml:space="preserve">器物用无酸软纸包裹好后装入囊匣，空挡部位可用棉纸适当填充。        </w:t>
      </w:r>
    </w:p>
    <w:p>
      <w:pPr>
        <w:snapToGrid w:val="0"/>
        <w:spacing w:line="360" w:lineRule="auto"/>
        <w:ind w:firstLine="480" w:firstLineChars="200"/>
        <w:contextualSpacing/>
        <w:rPr>
          <w:rFonts w:ascii="宋体" w:hAnsi="宋体" w:cs="宋体"/>
          <w:sz w:val="24"/>
        </w:rPr>
      </w:pPr>
      <w:r>
        <w:rPr>
          <w:rFonts w:hint="eastAsia" w:ascii="宋体" w:hAnsi="宋体" w:cs="宋体"/>
          <w:sz w:val="24"/>
        </w:rPr>
        <w:t>裹匣放入制作好的内包装中。</w:t>
      </w:r>
      <w:bookmarkStart w:id="36" w:name="_Toc3450"/>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 xml:space="preserve">1.3 </w:t>
      </w:r>
      <w:bookmarkEnd w:id="36"/>
      <w:r>
        <w:rPr>
          <w:rFonts w:hint="eastAsia" w:ascii="宋体" w:hAnsi="宋体" w:cs="宋体"/>
          <w:sz w:val="24"/>
        </w:rPr>
        <w:t>其他类文物包装要求</w:t>
      </w:r>
    </w:p>
    <w:p>
      <w:pPr>
        <w:snapToGrid w:val="0"/>
        <w:spacing w:line="360" w:lineRule="auto"/>
        <w:ind w:firstLine="480" w:firstLineChars="200"/>
        <w:contextualSpacing/>
        <w:rPr>
          <w:rFonts w:ascii="宋体" w:hAnsi="宋体" w:cs="宋体"/>
          <w:sz w:val="24"/>
        </w:rPr>
      </w:pPr>
      <w:r>
        <w:rPr>
          <w:rFonts w:hint="eastAsia" w:ascii="宋体" w:hAnsi="宋体" w:cs="宋体"/>
          <w:sz w:val="24"/>
        </w:rPr>
        <w:t>对于体态和重量较大、造型较复杂的文物 ,应设计挡板和支撑柱,保证包装箱与文物表面有一定距离，避免文物突出部分（如盆景、茶壶等）、易碎或易损部位受力。</w:t>
      </w:r>
    </w:p>
    <w:p>
      <w:pPr>
        <w:snapToGrid w:val="0"/>
        <w:spacing w:line="360" w:lineRule="auto"/>
        <w:ind w:firstLine="480" w:firstLineChars="200"/>
        <w:contextualSpacing/>
        <w:rPr>
          <w:rFonts w:ascii="宋体" w:hAnsi="宋体" w:cs="宋体"/>
          <w:sz w:val="24"/>
        </w:rPr>
      </w:pPr>
      <w:r>
        <w:rPr>
          <w:rFonts w:hint="eastAsia" w:ascii="宋体" w:hAnsi="宋体" w:cs="宋体"/>
          <w:sz w:val="24"/>
        </w:rPr>
        <w:t>对于形状复杂的器物，周围必须加衬垫，或加与器物轮廓一致的模版，硬泡沐塑料可以修整、成型，做成凹槽或切割成块，以符合雕像的轮廓。然后，再将这些构件固定在包装箱内壁适当高度的狭槽中。才外，特别要注意顶部和底部的固定装置，确保器物被稳定的放置在有减震装置的适当位置，包装箱用分量较重的胶合板和足够结实的木板制造以承载负荷，而且要足够牢固，以避免搬运时造成扭曲，器物放置好后，将上层模版部分置于狭槽中。通过在指定位置安装模板可以限制物品的位移。</w:t>
      </w:r>
      <w:bookmarkStart w:id="37" w:name="_Toc19040"/>
      <w:bookmarkStart w:id="38" w:name="_Toc11543"/>
      <w:bookmarkStart w:id="39" w:name="_Toc28014"/>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2、文物外包装</w:t>
      </w:r>
      <w:bookmarkEnd w:id="37"/>
      <w:bookmarkEnd w:id="38"/>
      <w:bookmarkEnd w:id="39"/>
      <w:r>
        <w:rPr>
          <w:rFonts w:hint="eastAsia" w:ascii="宋体" w:hAnsi="宋体" w:cs="宋体"/>
          <w:sz w:val="24"/>
        </w:rPr>
        <w:t>要求（所有文物都需要）</w:t>
      </w:r>
    </w:p>
    <w:p>
      <w:pPr>
        <w:snapToGrid w:val="0"/>
        <w:spacing w:line="360" w:lineRule="auto"/>
        <w:ind w:firstLine="480" w:firstLineChars="200"/>
        <w:contextualSpacing/>
        <w:rPr>
          <w:rFonts w:ascii="宋体" w:hAnsi="宋体" w:cs="宋体"/>
          <w:sz w:val="24"/>
        </w:rPr>
      </w:pPr>
      <w:r>
        <w:rPr>
          <w:rFonts w:hint="eastAsia" w:ascii="宋体" w:hAnsi="宋体" w:cs="宋体"/>
          <w:sz w:val="24"/>
        </w:rPr>
        <w:t>用于制造包装箱的材料通常是木材、胶合板、瓦楞纸板、纤维板制品、塑料，少数情况下使用金属材料，根据实际情况确定。为方便操作人员搬运，包装箱的重量、尺寸和形状都有限制，同时也要考虑卡车的空间、运输经过的门、走廊和通道大小等因素。</w:t>
      </w:r>
    </w:p>
    <w:p>
      <w:pPr>
        <w:snapToGrid w:val="0"/>
        <w:spacing w:line="360" w:lineRule="auto"/>
        <w:ind w:firstLine="480" w:firstLineChars="200"/>
        <w:contextualSpacing/>
        <w:rPr>
          <w:rFonts w:ascii="宋体" w:hAnsi="宋体" w:cs="宋体"/>
          <w:sz w:val="24"/>
        </w:rPr>
      </w:pPr>
      <w:r>
        <w:rPr>
          <w:rFonts w:hint="eastAsia" w:ascii="宋体" w:hAnsi="宋体" w:cs="宋体"/>
          <w:sz w:val="24"/>
        </w:rPr>
        <w:t>包装箱严格密封并十分坚固，以保护内装器物免遭装卸、堆放和升降等带来的外来冲击。支撑条须交叉钉在长方箱体和重量相当大的包装箱上，避免抬升和移动过程中产生扭曲变形。</w:t>
      </w:r>
    </w:p>
    <w:p>
      <w:pPr>
        <w:snapToGrid w:val="0"/>
        <w:spacing w:line="360" w:lineRule="auto"/>
        <w:ind w:firstLine="480" w:firstLineChars="200"/>
        <w:contextualSpacing/>
        <w:rPr>
          <w:rFonts w:ascii="宋体" w:hAnsi="宋体" w:cs="宋体"/>
          <w:sz w:val="24"/>
        </w:rPr>
      </w:pPr>
      <w:r>
        <w:rPr>
          <w:rFonts w:hint="eastAsia" w:ascii="宋体" w:hAnsi="宋体" w:cs="宋体"/>
          <w:sz w:val="24"/>
        </w:rPr>
        <w:t>箱体外部详细标明包装箱的尺寸、重量，以指导操作，搬运一个包装箱（约重100千克）一般不超过两到三个人，更大的包装箱需要用叉车等搬运工具。较重的包装箱需用金属或纤维带在适当位置沿长宽尺寸捆绑和加固。这样可减少对包装箱的损伤。包装箱内的分隔间或其他分隔物应使用木板或胶合板材料制作。包装箱上应贴有标签和警示标志：易碎防潮、禁用挂钩垂直装载和搬运。</w:t>
      </w:r>
      <w:bookmarkStart w:id="40" w:name="_Toc630"/>
      <w:bookmarkStart w:id="41" w:name="_Toc21703"/>
      <w:bookmarkStart w:id="42" w:name="_Toc4608"/>
    </w:p>
    <w:p>
      <w:pPr>
        <w:snapToGrid w:val="0"/>
        <w:spacing w:line="360" w:lineRule="auto"/>
        <w:ind w:firstLine="480" w:firstLineChars="200"/>
        <w:contextualSpacing/>
        <w:rPr>
          <w:rFonts w:ascii="宋体" w:hAnsi="宋体" w:cs="宋体"/>
          <w:sz w:val="24"/>
        </w:rPr>
      </w:pPr>
      <w:r>
        <w:rPr>
          <w:rFonts w:hint="eastAsia" w:ascii="宋体" w:hAnsi="宋体" w:cs="宋体"/>
          <w:sz w:val="24"/>
        </w:rPr>
        <w:t>（十）文物运输安保</w:t>
      </w:r>
      <w:bookmarkEnd w:id="40"/>
      <w:bookmarkEnd w:id="41"/>
      <w:bookmarkEnd w:id="42"/>
      <w:r>
        <w:rPr>
          <w:rFonts w:hint="eastAsia" w:ascii="宋体" w:hAnsi="宋体" w:cs="宋体"/>
          <w:sz w:val="24"/>
        </w:rPr>
        <w:t>要求</w:t>
      </w:r>
      <w:bookmarkStart w:id="43" w:name="_Toc2029"/>
      <w:bookmarkStart w:id="44" w:name="_Toc88"/>
      <w:bookmarkStart w:id="45" w:name="_Toc24131"/>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1、文物运输</w:t>
      </w:r>
      <w:bookmarkEnd w:id="43"/>
      <w:bookmarkEnd w:id="44"/>
      <w:bookmarkEnd w:id="45"/>
      <w:r>
        <w:rPr>
          <w:rFonts w:hint="eastAsia" w:ascii="宋体" w:hAnsi="宋体" w:cs="宋体"/>
          <w:sz w:val="24"/>
        </w:rPr>
        <w:t>要求</w:t>
      </w:r>
    </w:p>
    <w:p>
      <w:pPr>
        <w:snapToGrid w:val="0"/>
        <w:spacing w:line="360" w:lineRule="auto"/>
        <w:ind w:firstLine="480" w:firstLineChars="200"/>
        <w:contextualSpacing/>
        <w:rPr>
          <w:rFonts w:ascii="宋体" w:hAnsi="宋体" w:cs="宋体"/>
          <w:sz w:val="24"/>
        </w:rPr>
      </w:pPr>
      <w:r>
        <w:rPr>
          <w:rFonts w:hint="eastAsia" w:ascii="宋体" w:hAnsi="宋体" w:cs="宋体"/>
          <w:sz w:val="24"/>
        </w:rPr>
        <w:t>运输为全程陆运，需配备专业文物恒温减震气垫运输车辆，符合国家法律法规要求且未进行私自改装，需派专人押运。在中途停车期间，安保人员轮换值岗做到人不离车、车不离人。承诺司机不疲劳驾驶，高速车辆限速80km/时，国道60km/时，城市道路40km/时。</w:t>
      </w:r>
      <w:bookmarkStart w:id="46" w:name="_Toc14008"/>
      <w:bookmarkStart w:id="47" w:name="_Toc24195"/>
      <w:bookmarkStart w:id="48" w:name="_Toc25082"/>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2、安保</w:t>
      </w:r>
      <w:bookmarkEnd w:id="46"/>
      <w:bookmarkEnd w:id="47"/>
      <w:bookmarkEnd w:id="48"/>
      <w:r>
        <w:rPr>
          <w:rFonts w:hint="eastAsia" w:ascii="宋体" w:hAnsi="宋体" w:cs="宋体"/>
          <w:sz w:val="24"/>
        </w:rPr>
        <w:t>要求</w:t>
      </w:r>
    </w:p>
    <w:p>
      <w:pPr>
        <w:snapToGrid w:val="0"/>
        <w:spacing w:line="360" w:lineRule="auto"/>
        <w:ind w:firstLine="480" w:firstLineChars="200"/>
        <w:contextualSpacing/>
        <w:rPr>
          <w:rFonts w:ascii="宋体" w:hAnsi="宋体" w:cs="宋体"/>
          <w:sz w:val="24"/>
        </w:rPr>
      </w:pPr>
      <w:r>
        <w:rPr>
          <w:rFonts w:hint="eastAsia" w:ascii="宋体" w:hAnsi="宋体" w:cs="宋体"/>
          <w:sz w:val="24"/>
        </w:rPr>
        <w:t>（1）在布展、撤展时，根据文物的形状、材质，包装、重量等不同的特点采取相应的措施，将文物安全、规整、有序地码放到展厅指定位置，并留出相应的应急安全通道。</w:t>
      </w:r>
    </w:p>
    <w:p>
      <w:pPr>
        <w:snapToGrid w:val="0"/>
        <w:spacing w:line="360" w:lineRule="auto"/>
        <w:ind w:firstLine="480" w:firstLineChars="200"/>
        <w:contextualSpacing/>
        <w:rPr>
          <w:rFonts w:ascii="宋体" w:hAnsi="宋体" w:cs="宋体"/>
          <w:sz w:val="24"/>
        </w:rPr>
      </w:pPr>
      <w:r>
        <w:rPr>
          <w:rFonts w:hint="eastAsia" w:ascii="宋体" w:hAnsi="宋体" w:cs="宋体"/>
          <w:sz w:val="24"/>
        </w:rPr>
        <w:t>（2）对于大件文物，配备有减震装置的专用车辆和装卸大件文物的起重及吊装装置，以及过坡道、门槛等障碍物的相关过度工具。</w:t>
      </w:r>
    </w:p>
    <w:p>
      <w:pPr>
        <w:snapToGrid w:val="0"/>
        <w:spacing w:line="360" w:lineRule="auto"/>
        <w:ind w:firstLine="480" w:firstLineChars="200"/>
        <w:contextualSpacing/>
        <w:rPr>
          <w:rFonts w:ascii="宋体" w:hAnsi="宋体" w:cs="宋体"/>
          <w:sz w:val="24"/>
        </w:rPr>
      </w:pPr>
      <w:r>
        <w:rPr>
          <w:rFonts w:hint="eastAsia" w:ascii="宋体" w:hAnsi="宋体" w:cs="宋体"/>
          <w:sz w:val="24"/>
        </w:rPr>
        <w:t>（3）装卸过程中，将文物箱外部做好防雨防水措施，备好充足蓬布，遇下雨等异常天气立即搭成从操作点搬运到车辆装卸点之间所需的工作通道。</w:t>
      </w:r>
    </w:p>
    <w:p>
      <w:pPr>
        <w:snapToGrid w:val="0"/>
        <w:spacing w:line="360" w:lineRule="auto"/>
        <w:ind w:firstLine="480" w:firstLineChars="200"/>
        <w:contextualSpacing/>
        <w:rPr>
          <w:rFonts w:ascii="宋体" w:hAnsi="宋体" w:cs="宋体"/>
          <w:sz w:val="24"/>
        </w:rPr>
      </w:pPr>
      <w:r>
        <w:rPr>
          <w:rFonts w:hint="eastAsia" w:ascii="宋体" w:hAnsi="宋体" w:cs="宋体"/>
          <w:sz w:val="24"/>
        </w:rPr>
        <w:t>（4）在布展工作开始前，与博物馆负责人沟通拆包装布展次序流程后，对实施布展的操作人员安排出合理的工作流程、步骤，并把承诺的服务内容及服务标准，进行详细的说明，让每个操作人员都清楚，做到人人心里有数。</w:t>
      </w:r>
    </w:p>
    <w:p>
      <w:pPr>
        <w:snapToGrid w:val="0"/>
        <w:spacing w:line="360" w:lineRule="auto"/>
        <w:ind w:firstLine="480" w:firstLineChars="200"/>
        <w:contextualSpacing/>
        <w:rPr>
          <w:rFonts w:ascii="宋体" w:hAnsi="宋体" w:cs="宋体"/>
          <w:sz w:val="24"/>
        </w:rPr>
      </w:pPr>
      <w:r>
        <w:rPr>
          <w:rFonts w:hint="eastAsia" w:ascii="宋体" w:hAnsi="宋体" w:cs="宋体"/>
          <w:sz w:val="24"/>
        </w:rPr>
        <w:t>（5）拆包装：操作人员将包装过程详细记录拍照，针对疑难点做出拆包装提示等注意事项，拆包装人员在打开外包装之前应先观察、读懂外包装箱上的工序标识，按箱外标识的步骤开启包装箱。打开后注意观察箱内的工作顺序标识，按照箱内标识的工作顺序取出文物，安全稳妥地完成文物拆包装后，螺丝、全部包装材料和内箱复原回包装箱。</w:t>
      </w:r>
    </w:p>
    <w:p>
      <w:pPr>
        <w:snapToGrid w:val="0"/>
        <w:spacing w:line="360" w:lineRule="auto"/>
        <w:ind w:firstLine="480" w:firstLineChars="200"/>
        <w:contextualSpacing/>
        <w:rPr>
          <w:rFonts w:ascii="宋体" w:hAnsi="宋体" w:cs="宋体"/>
          <w:sz w:val="24"/>
        </w:rPr>
      </w:pPr>
      <w:r>
        <w:rPr>
          <w:rFonts w:hint="eastAsia" w:ascii="宋体" w:hAnsi="宋体" w:cs="宋体"/>
          <w:sz w:val="24"/>
        </w:rPr>
        <w:t>（6）核对文物：从箱内取出文物时认真核对装箱单的文物名称、数量、件数，装箱方式，单物核对无误后拍照存档。</w:t>
      </w:r>
    </w:p>
    <w:p>
      <w:pPr>
        <w:snapToGrid w:val="0"/>
        <w:spacing w:line="360" w:lineRule="auto"/>
        <w:ind w:firstLine="480" w:firstLineChars="200"/>
        <w:contextualSpacing/>
        <w:rPr>
          <w:rFonts w:ascii="宋体" w:hAnsi="宋体" w:cs="宋体"/>
          <w:sz w:val="24"/>
        </w:rPr>
      </w:pPr>
      <w:r>
        <w:rPr>
          <w:rFonts w:hint="eastAsia" w:ascii="宋体" w:hAnsi="宋体" w:cs="宋体"/>
          <w:sz w:val="24"/>
        </w:rPr>
        <w:t>（7）移动文物： 在拿取文物时，只有小型的文物可由一个人搬运；大的文物至少应由两个以上的人来搬运。当抬运大型文物时需要两个人以上操作，前面的人应倒着走。</w:t>
      </w:r>
    </w:p>
    <w:p>
      <w:pPr>
        <w:snapToGrid w:val="0"/>
        <w:spacing w:line="360" w:lineRule="auto"/>
        <w:ind w:firstLine="480" w:firstLineChars="200"/>
        <w:contextualSpacing/>
        <w:rPr>
          <w:rFonts w:ascii="宋体" w:hAnsi="宋体" w:cs="宋体"/>
          <w:sz w:val="24"/>
        </w:rPr>
      </w:pPr>
      <w:r>
        <w:rPr>
          <w:rFonts w:hint="eastAsia" w:ascii="宋体" w:hAnsi="宋体" w:cs="宋体"/>
          <w:sz w:val="24"/>
        </w:rPr>
        <w:t>（8）布展时：文物的布展，都要依照与国家博物馆批准的布展要求。项目经理对布展要求的工艺要求、要求理解后，向操作组人员下达工作指令，由现场项目督导率领操作人员具体实施操作。</w:t>
      </w:r>
    </w:p>
    <w:p>
      <w:pPr>
        <w:snapToGrid w:val="0"/>
        <w:spacing w:line="360" w:lineRule="auto"/>
        <w:ind w:firstLine="480" w:firstLineChars="200"/>
        <w:contextualSpacing/>
        <w:rPr>
          <w:rFonts w:ascii="宋体" w:hAnsi="宋体" w:cs="宋体"/>
          <w:sz w:val="24"/>
        </w:rPr>
      </w:pPr>
      <w:r>
        <w:rPr>
          <w:rFonts w:hint="eastAsia" w:ascii="宋体" w:hAnsi="宋体" w:cs="宋体"/>
          <w:sz w:val="24"/>
        </w:rPr>
        <w:t>（9）进入展柜、展台、展墙：展品进入展位时，大件文物要三人或者三人以上配合工作。如：两人托住文物的底部，一人在上面固定。大件文物要有多人移动，一人控制文物的平衡。</w:t>
      </w:r>
    </w:p>
    <w:p>
      <w:pPr>
        <w:snapToGrid w:val="0"/>
        <w:spacing w:line="360" w:lineRule="auto"/>
        <w:ind w:firstLine="480" w:firstLineChars="200"/>
        <w:contextualSpacing/>
        <w:rPr>
          <w:rFonts w:ascii="宋体" w:hAnsi="宋体" w:cs="宋体"/>
          <w:sz w:val="24"/>
        </w:rPr>
      </w:pPr>
      <w:r>
        <w:rPr>
          <w:rFonts w:hint="eastAsia" w:ascii="宋体" w:hAnsi="宋体" w:cs="宋体"/>
          <w:sz w:val="24"/>
        </w:rPr>
        <w:t>（10）固定文物，摆放在展柜里的文物，如觉得不安稳需要加固的，需按照展场设计人员的建议加以固定，加固时根据文物的情况，选择较牢固的部位固定，注意固定架与文物接触部位的防磨损措施。</w:t>
      </w:r>
    </w:p>
    <w:p>
      <w:pPr>
        <w:snapToGrid w:val="0"/>
        <w:spacing w:line="360" w:lineRule="auto"/>
        <w:ind w:firstLine="480" w:firstLineChars="200"/>
        <w:contextualSpacing/>
        <w:rPr>
          <w:rFonts w:ascii="宋体" w:hAnsi="宋体" w:cs="宋体"/>
          <w:sz w:val="24"/>
        </w:rPr>
      </w:pPr>
      <w:r>
        <w:rPr>
          <w:rFonts w:hint="eastAsia" w:ascii="宋体" w:hAnsi="宋体" w:cs="宋体"/>
          <w:sz w:val="24"/>
        </w:rPr>
        <w:t>（11）根据文物和场馆实际情况准备布展材料及场馆地面保护，布展前要检查展台牢固程度，固定文物所需金属件不会与文物直接接触，会使用相应的防护材料，布展完成后对文物的固定逐一检查并拍照，签署布展确认单。</w:t>
      </w:r>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（十一）其他要求：</w:t>
      </w:r>
    </w:p>
    <w:p>
      <w:pPr>
        <w:snapToGrid w:val="0"/>
        <w:spacing w:line="360" w:lineRule="auto"/>
        <w:ind w:left="479" w:leftChars="228" w:firstLine="240" w:firstLineChars="100"/>
        <w:contextualSpacing/>
        <w:rPr>
          <w:rFonts w:ascii="宋体" w:hAnsi="宋体" w:cs="宋体"/>
          <w:sz w:val="24"/>
        </w:rPr>
      </w:pPr>
      <w:r>
        <w:rPr>
          <w:rFonts w:hint="eastAsia" w:ascii="宋体" w:hAnsi="宋体" w:cs="宋体"/>
          <w:sz w:val="24"/>
        </w:rPr>
        <w:t xml:space="preserve">1、文物运输（详见文物清单）及展览所需全部材料运输（根据展览情况待定） </w:t>
      </w:r>
    </w:p>
    <w:p>
      <w:pPr>
        <w:pStyle w:val="5"/>
        <w:spacing w:line="360" w:lineRule="auto"/>
        <w:ind w:firstLine="720" w:firstLineChars="300"/>
        <w:jc w:val="both"/>
        <w:outlineLvl w:val="0"/>
        <w:rPr>
          <w:rFonts w:ascii="宋体" w:hAnsi="宋体" w:eastAsia="宋体" w:cs="宋体"/>
          <w:szCs w:val="22"/>
        </w:rPr>
      </w:pPr>
      <w:r>
        <w:rPr>
          <w:rFonts w:hint="eastAsia" w:ascii="宋体" w:hAnsi="宋体" w:eastAsia="宋体" w:cs="宋体"/>
          <w:szCs w:val="22"/>
        </w:rPr>
        <w:t>2、本次项目展览文物清单和运输地点请报名投标后，联系安全保卫部王先生，联系方式0513-81263930，网上文件传输领取。</w:t>
      </w:r>
    </w:p>
    <w:p>
      <w:pPr>
        <w:pStyle w:val="5"/>
        <w:spacing w:line="360" w:lineRule="auto"/>
        <w:ind w:firstLine="0"/>
        <w:jc w:val="center"/>
        <w:outlineLvl w:val="0"/>
        <w:rPr>
          <w:rFonts w:ascii="宋体" w:hAnsi="宋体" w:eastAsia="宋体" w:cs="宋体"/>
          <w:b/>
          <w:sz w:val="36"/>
          <w:szCs w:val="36"/>
        </w:rPr>
      </w:pPr>
      <w:bookmarkStart w:id="49" w:name="_Toc20577"/>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p>
    <w:p>
      <w:pPr>
        <w:pStyle w:val="5"/>
        <w:spacing w:line="360" w:lineRule="auto"/>
        <w:ind w:firstLine="0"/>
        <w:jc w:val="both"/>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r>
        <w:rPr>
          <w:rFonts w:hint="eastAsia" w:ascii="宋体" w:hAnsi="宋体" w:eastAsia="宋体" w:cs="宋体"/>
          <w:b/>
          <w:sz w:val="36"/>
          <w:szCs w:val="36"/>
        </w:rPr>
        <w:t>第四章  评审方法和程序</w:t>
      </w:r>
      <w:bookmarkEnd w:id="30"/>
      <w:bookmarkEnd w:id="49"/>
    </w:p>
    <w:p>
      <w:pPr>
        <w:snapToGrid w:val="0"/>
        <w:spacing w:line="360" w:lineRule="auto"/>
        <w:ind w:firstLine="482" w:firstLineChars="200"/>
        <w:outlineLvl w:val="1"/>
        <w:rPr>
          <w:rFonts w:ascii="宋体" w:hAnsi="宋体" w:cs="宋体"/>
          <w:b/>
          <w:sz w:val="24"/>
        </w:rPr>
      </w:pPr>
      <w:r>
        <w:rPr>
          <w:rFonts w:hint="eastAsia" w:ascii="宋体" w:hAnsi="宋体" w:cs="宋体"/>
          <w:b/>
          <w:sz w:val="24"/>
        </w:rPr>
        <w:t>一、采购人组织磋商活动</w:t>
      </w:r>
    </w:p>
    <w:p>
      <w:pPr>
        <w:spacing w:line="360" w:lineRule="auto"/>
        <w:ind w:firstLine="480" w:firstLineChars="200"/>
        <w:rPr>
          <w:rFonts w:ascii="宋体" w:hAnsi="宋体" w:cs="宋体"/>
          <w:sz w:val="24"/>
        </w:rPr>
      </w:pPr>
      <w:r>
        <w:rPr>
          <w:rFonts w:hint="eastAsia" w:ascii="宋体" w:hAnsi="宋体" w:cs="宋体"/>
          <w:sz w:val="24"/>
        </w:rPr>
        <w:t>1、本次竞争性磋商依据《中华人民共和国政府采购法》、《政府采购竞争性磋商采购方式管理暂行办法》及有关法规成立磋商小组。</w:t>
      </w:r>
      <w:r>
        <w:rPr>
          <w:rFonts w:hint="eastAsia" w:ascii="宋体" w:hAnsi="宋体" w:cs="宋体"/>
          <w:sz w:val="24"/>
          <w:lang w:val="zh-CN"/>
        </w:rPr>
        <w:t>竞争性磋商小组由采购人代表和评审专家共3人以上单数组成，其中评审专家人数不得少于竞争性磋商小组成员总数的2/3。采购人不得以评审专家身份参加本单位采购项目的评审。</w:t>
      </w:r>
    </w:p>
    <w:p>
      <w:pPr>
        <w:spacing w:line="360" w:lineRule="auto"/>
        <w:ind w:firstLine="480" w:firstLineChars="200"/>
        <w:rPr>
          <w:rFonts w:ascii="宋体" w:hAnsi="宋体" w:cs="宋体"/>
          <w:sz w:val="24"/>
        </w:rPr>
      </w:pPr>
      <w:r>
        <w:rPr>
          <w:rFonts w:hint="eastAsia" w:ascii="宋体" w:hAnsi="宋体" w:cs="宋体"/>
          <w:sz w:val="24"/>
        </w:rPr>
        <w:t>2、竞争性磋商小组的职责：</w:t>
      </w:r>
    </w:p>
    <w:p>
      <w:pPr>
        <w:spacing w:line="360" w:lineRule="auto"/>
        <w:ind w:firstLine="480" w:firstLineChars="200"/>
        <w:rPr>
          <w:rFonts w:ascii="宋体" w:hAnsi="宋体" w:cs="宋体"/>
          <w:sz w:val="24"/>
        </w:rPr>
      </w:pPr>
      <w:r>
        <w:rPr>
          <w:rFonts w:hint="eastAsia" w:ascii="宋体" w:hAnsi="宋体" w:cs="宋体"/>
          <w:sz w:val="24"/>
        </w:rPr>
        <w:t>评审专家应当遵守评审工作纪律，不得泄露评审情况和评审中获悉的商业秘密。</w:t>
      </w:r>
    </w:p>
    <w:p>
      <w:pPr>
        <w:spacing w:line="360" w:lineRule="auto"/>
        <w:ind w:firstLine="480" w:firstLineChars="200"/>
        <w:rPr>
          <w:rFonts w:ascii="宋体" w:hAnsi="宋体" w:cs="宋体"/>
          <w:sz w:val="24"/>
        </w:rPr>
      </w:pPr>
      <w:r>
        <w:rPr>
          <w:rFonts w:hint="eastAsia" w:ascii="宋体" w:hAnsi="宋体" w:cs="宋体"/>
          <w:sz w:val="24"/>
        </w:rPr>
        <w:t>磋商小组在评审过程中发现供应商有行贿、提供虚假材料或者串通等违法行为的，应当及时向采购人报告。</w:t>
      </w:r>
    </w:p>
    <w:p>
      <w:pPr>
        <w:spacing w:line="360" w:lineRule="auto"/>
        <w:ind w:firstLine="480" w:firstLineChars="200"/>
        <w:rPr>
          <w:rFonts w:ascii="宋体" w:hAnsi="宋体" w:cs="宋体"/>
          <w:sz w:val="24"/>
        </w:rPr>
      </w:pPr>
      <w:r>
        <w:rPr>
          <w:rFonts w:hint="eastAsia" w:ascii="宋体" w:hAnsi="宋体" w:cs="宋体"/>
          <w:sz w:val="24"/>
        </w:rPr>
        <w:t>评审专家在评审过程中受到非法干涉的，应当及时向纪检、监察等部门举报。</w:t>
      </w:r>
    </w:p>
    <w:p>
      <w:pPr>
        <w:spacing w:line="360" w:lineRule="auto"/>
        <w:ind w:firstLine="480" w:firstLineChars="200"/>
        <w:rPr>
          <w:rFonts w:ascii="宋体" w:hAnsi="宋体" w:cs="宋体"/>
          <w:sz w:val="24"/>
        </w:rPr>
      </w:pPr>
      <w:r>
        <w:rPr>
          <w:rFonts w:hint="eastAsia" w:ascii="宋体" w:hAnsi="宋体" w:cs="宋体"/>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17"/>
        <w:snapToGrid w:val="0"/>
        <w:spacing w:line="360" w:lineRule="auto"/>
        <w:ind w:firstLine="480" w:firstLineChars="200"/>
        <w:contextualSpacing/>
        <w:rPr>
          <w:rFonts w:ascii="宋体" w:eastAsia="宋体" w:cs="宋体"/>
          <w:sz w:val="24"/>
          <w:szCs w:val="24"/>
        </w:rPr>
      </w:pPr>
      <w:r>
        <w:rPr>
          <w:rFonts w:hint="eastAsia" w:ascii="宋体" w:eastAsia="宋体" w:cs="宋体"/>
          <w:sz w:val="24"/>
          <w:szCs w:val="24"/>
        </w:rPr>
        <w:t>磋商文件内容违反国家有关强制性规定的，磋商小组应当停止评审并向采购人说明情况。</w:t>
      </w:r>
    </w:p>
    <w:p>
      <w:pPr>
        <w:pStyle w:val="17"/>
        <w:snapToGrid w:val="0"/>
        <w:spacing w:line="360" w:lineRule="auto"/>
        <w:ind w:firstLine="480" w:firstLineChars="200"/>
        <w:contextualSpacing/>
        <w:rPr>
          <w:rFonts w:ascii="宋体" w:eastAsia="宋体" w:cs="宋体"/>
          <w:sz w:val="24"/>
          <w:szCs w:val="24"/>
        </w:rPr>
      </w:pPr>
      <w:r>
        <w:rPr>
          <w:rFonts w:hint="eastAsia" w:ascii="宋体" w:eastAsia="宋体" w:cs="宋体"/>
          <w:sz w:val="24"/>
          <w:szCs w:val="24"/>
        </w:rPr>
        <w:t>3、竞争性磋商小组成员的义务：</w:t>
      </w:r>
    </w:p>
    <w:p>
      <w:pPr>
        <w:pStyle w:val="17"/>
        <w:snapToGrid w:val="0"/>
        <w:spacing w:line="360" w:lineRule="auto"/>
        <w:ind w:firstLine="480" w:firstLineChars="200"/>
        <w:contextualSpacing/>
        <w:rPr>
          <w:rFonts w:ascii="宋体" w:eastAsia="宋体" w:cs="宋体"/>
          <w:sz w:val="24"/>
          <w:szCs w:val="24"/>
        </w:rPr>
      </w:pPr>
      <w:r>
        <w:rPr>
          <w:rFonts w:hint="eastAsia" w:ascii="宋体" w:eastAsia="宋体" w:cs="宋体"/>
          <w:sz w:val="24"/>
          <w:szCs w:val="24"/>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二、供应商的法定代表人或授权人须持本人身份证原件准时参加磋商。</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三、评审程序、内容</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超出响应文件的范围或者改变响应文件的实质性内容。</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2、磋商小组给予所有参加磋商的供应商平等的磋商机会。</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对磋商文件作出的实质性变动是磋商文件的有效组成部分，磋商小组应当及时以书面形式同时通知所有参加磋商的供应商。</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4、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供应商的现场报价不得高于其磋商响应文件中的书面报价。否则，磋商小组有权拒绝该谈判报价并不再给予报价补救机会。提交最后报价的供应商不得少于3家。</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5、最后报价是供应商响应文件的有效组成部分。</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6、已提交响应文件的供应商，在提交最后报价之前，可以根据磋商情况退出磋商。</w:t>
      </w:r>
    </w:p>
    <w:p>
      <w:pPr>
        <w:pStyle w:val="17"/>
        <w:wordWrap w:val="0"/>
        <w:snapToGrid w:val="0"/>
        <w:spacing w:line="360" w:lineRule="auto"/>
        <w:ind w:firstLine="480" w:firstLineChars="200"/>
        <w:rPr>
          <w:rFonts w:ascii="宋体" w:eastAsia="宋体" w:cs="宋体"/>
          <w:sz w:val="24"/>
          <w:szCs w:val="24"/>
        </w:rPr>
      </w:pPr>
      <w:r>
        <w:rPr>
          <w:rFonts w:hint="eastAsia" w:ascii="宋体" w:eastAsia="宋体" w:cs="宋体"/>
          <w:sz w:val="24"/>
          <w:szCs w:val="24"/>
        </w:rPr>
        <w:t>7、磋商时间由磋商小组掌握。</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四、评审方法(综合评分法)</w:t>
      </w:r>
    </w:p>
    <w:p>
      <w:pPr>
        <w:pStyle w:val="17"/>
        <w:wordWrap w:val="0"/>
        <w:snapToGrid w:val="0"/>
        <w:spacing w:line="360" w:lineRule="auto"/>
        <w:ind w:firstLine="480" w:firstLineChars="200"/>
        <w:contextualSpacing/>
        <w:rPr>
          <w:rFonts w:ascii="宋体" w:eastAsia="宋体" w:cs="宋体"/>
          <w:sz w:val="24"/>
          <w:szCs w:val="24"/>
        </w:rPr>
      </w:pPr>
      <w:r>
        <w:rPr>
          <w:rFonts w:hint="eastAsia" w:ascii="宋体" w:eastAsia="宋体" w:cs="宋体"/>
          <w:sz w:val="24"/>
          <w:szCs w:val="24"/>
        </w:rPr>
        <w:t>经磋商确定最终采购需求和提交最后报价的供应商后，由磋商小组采用综合评分法对提交最后报价的供应商的响应文件和最后报价进行综合评分。</w:t>
      </w:r>
    </w:p>
    <w:p>
      <w:pPr>
        <w:pStyle w:val="17"/>
        <w:wordWrap w:val="0"/>
        <w:snapToGrid w:val="0"/>
        <w:spacing w:line="360" w:lineRule="auto"/>
        <w:ind w:firstLine="480" w:firstLineChars="200"/>
        <w:contextualSpacing/>
        <w:rPr>
          <w:rFonts w:ascii="宋体" w:eastAsia="宋体" w:cs="宋体"/>
          <w:sz w:val="24"/>
          <w:szCs w:val="24"/>
        </w:rPr>
      </w:pPr>
      <w:r>
        <w:rPr>
          <w:rFonts w:hint="eastAsia" w:ascii="宋体" w:eastAsia="宋体" w:cs="宋体"/>
          <w:sz w:val="24"/>
          <w:szCs w:val="24"/>
        </w:rPr>
        <w:t>综合评分法，是指响应文件满足磋商文件全部实质性要求且按评审因素的量化指标评审得分最高的供应商为成交候选供应商的评审方法。</w:t>
      </w:r>
    </w:p>
    <w:p>
      <w:pPr>
        <w:pStyle w:val="17"/>
        <w:wordWrap w:val="0"/>
        <w:snapToGrid w:val="0"/>
        <w:spacing w:line="360" w:lineRule="auto"/>
        <w:ind w:firstLine="480" w:firstLineChars="200"/>
        <w:contextualSpacing/>
        <w:rPr>
          <w:rFonts w:ascii="宋体" w:eastAsia="宋体" w:cs="宋体"/>
          <w:sz w:val="24"/>
          <w:szCs w:val="24"/>
        </w:rPr>
      </w:pPr>
      <w:r>
        <w:rPr>
          <w:rFonts w:hint="eastAsia" w:ascii="宋体" w:eastAsia="宋体" w:cs="宋体"/>
          <w:sz w:val="24"/>
          <w:szCs w:val="24"/>
        </w:rPr>
        <w:t>评审时，磋商小组各成员应当独立对每个有效响应的文件进行评价、打分，然后汇总每个供应商每项评分因素的得分。</w:t>
      </w:r>
    </w:p>
    <w:p>
      <w:pPr>
        <w:pStyle w:val="17"/>
        <w:tabs>
          <w:tab w:val="left" w:pos="312"/>
        </w:tabs>
        <w:wordWrap w:val="0"/>
        <w:snapToGrid w:val="0"/>
        <w:spacing w:line="360" w:lineRule="auto"/>
        <w:ind w:firstLine="480" w:firstLineChars="200"/>
        <w:contextualSpacing/>
        <w:rPr>
          <w:rFonts w:ascii="宋体" w:eastAsia="宋体" w:cs="宋体"/>
          <w:sz w:val="24"/>
          <w:szCs w:val="24"/>
        </w:rPr>
      </w:pPr>
      <w:r>
        <w:rPr>
          <w:rFonts w:hint="eastAsia" w:ascii="宋体" w:eastAsia="宋体" w:cs="宋体"/>
          <w:sz w:val="24"/>
          <w:szCs w:val="24"/>
        </w:rPr>
        <w:t>（一）审查响应文件的有效性、完整性、响应程度。</w:t>
      </w:r>
    </w:p>
    <w:p>
      <w:pPr>
        <w:wordWrap w:val="0"/>
        <w:snapToGrid w:val="0"/>
        <w:spacing w:line="360" w:lineRule="auto"/>
        <w:ind w:firstLine="480" w:firstLineChars="200"/>
        <w:rPr>
          <w:rFonts w:ascii="宋体" w:hAnsi="宋体" w:cs="宋体"/>
          <w:sz w:val="24"/>
        </w:rPr>
      </w:pPr>
      <w:r>
        <w:rPr>
          <w:rFonts w:hint="eastAsia" w:ascii="宋体" w:hAnsi="宋体" w:cs="宋体"/>
          <w:sz w:val="24"/>
        </w:rPr>
        <w:t>1、要求的保证金是否已提供；</w:t>
      </w:r>
    </w:p>
    <w:p>
      <w:pPr>
        <w:wordWrap w:val="0"/>
        <w:snapToGrid w:val="0"/>
        <w:spacing w:line="360" w:lineRule="auto"/>
        <w:ind w:firstLine="480" w:firstLineChars="200"/>
        <w:rPr>
          <w:rFonts w:ascii="宋体" w:hAnsi="宋体" w:cs="宋体"/>
          <w:sz w:val="24"/>
        </w:rPr>
      </w:pPr>
      <w:r>
        <w:rPr>
          <w:rFonts w:hint="eastAsia" w:ascii="宋体" w:hAnsi="宋体" w:cs="宋体"/>
          <w:sz w:val="24"/>
        </w:rPr>
        <w:t>2、供应商资格是否符合;</w:t>
      </w:r>
    </w:p>
    <w:p>
      <w:pPr>
        <w:wordWrap w:val="0"/>
        <w:snapToGrid w:val="0"/>
        <w:spacing w:line="360" w:lineRule="auto"/>
        <w:ind w:firstLine="480" w:firstLineChars="200"/>
        <w:rPr>
          <w:rFonts w:ascii="宋体" w:hAnsi="宋体" w:cs="宋体"/>
          <w:sz w:val="24"/>
        </w:rPr>
      </w:pPr>
      <w:r>
        <w:rPr>
          <w:rFonts w:hint="eastAsia" w:ascii="宋体" w:hAnsi="宋体" w:cs="宋体"/>
          <w:sz w:val="24"/>
        </w:rPr>
        <w:t>3、响应文件是否完整；</w:t>
      </w:r>
    </w:p>
    <w:p>
      <w:pPr>
        <w:wordWrap w:val="0"/>
        <w:snapToGrid w:val="0"/>
        <w:spacing w:line="360" w:lineRule="auto"/>
        <w:ind w:firstLine="480" w:firstLineChars="200"/>
        <w:rPr>
          <w:rFonts w:ascii="宋体" w:hAnsi="宋体" w:cs="宋体"/>
          <w:sz w:val="24"/>
        </w:rPr>
      </w:pPr>
      <w:r>
        <w:rPr>
          <w:rFonts w:hint="eastAsia" w:ascii="宋体" w:hAnsi="宋体" w:cs="宋体"/>
          <w:sz w:val="24"/>
        </w:rPr>
        <w:t>4、响应文件是否恰当地签署；</w:t>
      </w:r>
    </w:p>
    <w:p>
      <w:pPr>
        <w:wordWrap w:val="0"/>
        <w:snapToGrid w:val="0"/>
        <w:spacing w:line="360" w:lineRule="auto"/>
        <w:ind w:firstLine="480" w:firstLineChars="200"/>
        <w:rPr>
          <w:rFonts w:ascii="宋体" w:hAnsi="宋体" w:cs="宋体"/>
          <w:sz w:val="24"/>
        </w:rPr>
      </w:pPr>
      <w:r>
        <w:rPr>
          <w:rFonts w:hint="eastAsia" w:ascii="宋体" w:hAnsi="宋体" w:cs="宋体"/>
          <w:sz w:val="24"/>
        </w:rPr>
        <w:t>5、是否作出实质性响应（是否有实质性响应，只根据响应文件本身，而不寻求外部证据）；</w:t>
      </w:r>
    </w:p>
    <w:p>
      <w:pPr>
        <w:wordWrap w:val="0"/>
        <w:snapToGrid w:val="0"/>
        <w:spacing w:line="360" w:lineRule="auto"/>
        <w:ind w:firstLine="480" w:firstLineChars="200"/>
        <w:rPr>
          <w:rFonts w:ascii="宋体" w:hAnsi="宋体" w:cs="宋体"/>
          <w:sz w:val="24"/>
        </w:rPr>
      </w:pPr>
      <w:r>
        <w:rPr>
          <w:rFonts w:hint="eastAsia" w:ascii="宋体" w:hAnsi="宋体" w:cs="宋体"/>
          <w:sz w:val="24"/>
        </w:rPr>
        <w:t>6、是否有计算错误。</w:t>
      </w:r>
    </w:p>
    <w:p>
      <w:pPr>
        <w:wordWrap w:val="0"/>
        <w:snapToGrid w:val="0"/>
        <w:spacing w:line="360" w:lineRule="auto"/>
        <w:ind w:firstLine="480" w:firstLineChars="200"/>
        <w:rPr>
          <w:rFonts w:ascii="宋体" w:hAnsi="宋体" w:cs="宋体"/>
          <w:sz w:val="24"/>
        </w:rPr>
      </w:pPr>
      <w:r>
        <w:rPr>
          <w:rFonts w:hint="eastAsia" w:ascii="宋体" w:hAnsi="宋体" w:cs="宋体"/>
          <w:sz w:val="24"/>
        </w:rPr>
        <w:t>(二)误差纠正</w:t>
      </w:r>
    </w:p>
    <w:p>
      <w:pPr>
        <w:wordWrap w:val="0"/>
        <w:snapToGrid w:val="0"/>
        <w:spacing w:line="360" w:lineRule="auto"/>
        <w:ind w:firstLine="480" w:firstLineChars="200"/>
        <w:rPr>
          <w:rFonts w:ascii="宋体" w:hAnsi="宋体" w:cs="宋体"/>
          <w:sz w:val="24"/>
        </w:rPr>
      </w:pPr>
      <w:r>
        <w:rPr>
          <w:rFonts w:hint="eastAsia" w:ascii="宋体" w:hAnsi="宋体" w:cs="宋体"/>
          <w:sz w:val="24"/>
        </w:rPr>
        <w:t>1、如果单价汇总金额与总价金额有出入，以单价金额计算结果为准；</w:t>
      </w:r>
    </w:p>
    <w:p>
      <w:pPr>
        <w:wordWrap w:val="0"/>
        <w:snapToGrid w:val="0"/>
        <w:spacing w:line="360" w:lineRule="auto"/>
        <w:ind w:firstLine="480" w:firstLineChars="200"/>
        <w:rPr>
          <w:rFonts w:ascii="宋体" w:hAnsi="宋体" w:cs="宋体"/>
          <w:sz w:val="24"/>
        </w:rPr>
      </w:pPr>
      <w:r>
        <w:rPr>
          <w:rFonts w:hint="eastAsia" w:ascii="宋体" w:hAnsi="宋体" w:cs="宋体"/>
          <w:sz w:val="24"/>
        </w:rPr>
        <w:t>2、单价金额小数点有明显错位的，应以总价为准；</w:t>
      </w:r>
    </w:p>
    <w:p>
      <w:pPr>
        <w:wordWrap w:val="0"/>
        <w:snapToGrid w:val="0"/>
        <w:spacing w:line="360" w:lineRule="auto"/>
        <w:ind w:firstLine="480" w:firstLineChars="200"/>
        <w:rPr>
          <w:rFonts w:ascii="宋体" w:hAnsi="宋体" w:cs="宋体"/>
          <w:sz w:val="24"/>
        </w:rPr>
      </w:pPr>
      <w:r>
        <w:rPr>
          <w:rFonts w:hint="eastAsia" w:ascii="宋体" w:hAnsi="宋体" w:cs="宋体"/>
          <w:sz w:val="24"/>
        </w:rPr>
        <w:t>3、正本与副本有矛盾的，以正本为准；</w:t>
      </w:r>
    </w:p>
    <w:p>
      <w:pPr>
        <w:wordWrap w:val="0"/>
        <w:snapToGrid w:val="0"/>
        <w:spacing w:line="360" w:lineRule="auto"/>
        <w:ind w:firstLine="480" w:firstLineChars="200"/>
        <w:rPr>
          <w:rFonts w:ascii="宋体" w:hAnsi="宋体" w:cs="宋体"/>
          <w:sz w:val="24"/>
        </w:rPr>
      </w:pPr>
      <w:r>
        <w:rPr>
          <w:rFonts w:hint="eastAsia" w:ascii="宋体" w:hAnsi="宋体" w:cs="宋体"/>
          <w:sz w:val="24"/>
        </w:rPr>
        <w:t>4、若文件大写表示的数据与数字表示的有差别，以大写表示的数据为准。</w:t>
      </w:r>
    </w:p>
    <w:p>
      <w:pPr>
        <w:tabs>
          <w:tab w:val="left" w:pos="6555"/>
          <w:tab w:val="right" w:pos="8306"/>
        </w:tabs>
        <w:wordWrap w:val="0"/>
        <w:snapToGrid w:val="0"/>
        <w:spacing w:line="360" w:lineRule="auto"/>
        <w:ind w:firstLine="480" w:firstLineChars="200"/>
        <w:rPr>
          <w:rFonts w:ascii="宋体" w:hAnsi="宋体" w:cs="宋体"/>
          <w:sz w:val="24"/>
        </w:rPr>
      </w:pPr>
      <w:r>
        <w:rPr>
          <w:rFonts w:hint="eastAsia" w:ascii="宋体" w:hAnsi="宋体" w:cs="宋体"/>
          <w:sz w:val="24"/>
        </w:rPr>
        <w:t>(三)出现下列情形之一的，作无效响应处理：</w:t>
      </w:r>
    </w:p>
    <w:p>
      <w:pPr>
        <w:tabs>
          <w:tab w:val="left" w:pos="6555"/>
          <w:tab w:val="right" w:pos="8306"/>
        </w:tabs>
        <w:wordWrap w:val="0"/>
        <w:snapToGrid w:val="0"/>
        <w:spacing w:line="360" w:lineRule="auto"/>
        <w:ind w:firstLine="480" w:firstLineChars="200"/>
        <w:rPr>
          <w:rFonts w:ascii="宋体" w:hAnsi="宋体" w:cs="宋体"/>
          <w:sz w:val="24"/>
        </w:rPr>
      </w:pPr>
      <w:r>
        <w:rPr>
          <w:rFonts w:hint="eastAsia" w:ascii="宋体" w:hAnsi="宋体" w:cs="宋体"/>
          <w:sz w:val="24"/>
        </w:rPr>
        <w:t>1、未按照磋商文件规定要求装订、密封、签署、盖章的；</w:t>
      </w:r>
    </w:p>
    <w:p>
      <w:pPr>
        <w:tabs>
          <w:tab w:val="left" w:pos="6555"/>
          <w:tab w:val="right" w:pos="8306"/>
        </w:tabs>
        <w:wordWrap w:val="0"/>
        <w:snapToGrid w:val="0"/>
        <w:spacing w:line="360" w:lineRule="auto"/>
        <w:ind w:firstLine="480" w:firstLineChars="200"/>
        <w:rPr>
          <w:rFonts w:ascii="宋体" w:hAnsi="宋体" w:cs="宋体"/>
          <w:sz w:val="24"/>
        </w:rPr>
      </w:pPr>
      <w:r>
        <w:rPr>
          <w:rFonts w:hint="eastAsia" w:ascii="宋体" w:hAnsi="宋体" w:cs="宋体"/>
          <w:sz w:val="24"/>
        </w:rPr>
        <w:t>2、不具备磋商文件中规定的资格要求的；</w:t>
      </w:r>
    </w:p>
    <w:p>
      <w:pPr>
        <w:tabs>
          <w:tab w:val="left" w:pos="6555"/>
        </w:tabs>
        <w:wordWrap w:val="0"/>
        <w:snapToGrid w:val="0"/>
        <w:spacing w:line="360" w:lineRule="auto"/>
        <w:ind w:firstLine="480" w:firstLineChars="200"/>
        <w:rPr>
          <w:rFonts w:ascii="宋体" w:hAnsi="宋体" w:cs="宋体"/>
          <w:sz w:val="24"/>
        </w:rPr>
      </w:pPr>
      <w:r>
        <w:rPr>
          <w:rFonts w:hint="eastAsia" w:ascii="宋体" w:hAnsi="宋体" w:cs="宋体"/>
          <w:sz w:val="24"/>
        </w:rPr>
        <w:t>3、响应报价超出预算的；</w:t>
      </w:r>
    </w:p>
    <w:p>
      <w:pPr>
        <w:tabs>
          <w:tab w:val="left" w:pos="6555"/>
        </w:tabs>
        <w:wordWrap w:val="0"/>
        <w:snapToGrid w:val="0"/>
        <w:spacing w:line="360" w:lineRule="auto"/>
        <w:ind w:firstLine="480" w:firstLineChars="200"/>
        <w:rPr>
          <w:rFonts w:ascii="宋体" w:hAnsi="宋体" w:cs="宋体"/>
          <w:sz w:val="24"/>
        </w:rPr>
      </w:pPr>
      <w:r>
        <w:rPr>
          <w:rFonts w:hint="eastAsia" w:ascii="宋体" w:hAnsi="宋体" w:cs="宋体"/>
          <w:sz w:val="24"/>
        </w:rPr>
        <w:t>4、不符合法律、法规和磋商文件中规定的其他实质性要求的。</w:t>
      </w:r>
    </w:p>
    <w:p>
      <w:pPr>
        <w:wordWrap w:val="0"/>
        <w:snapToGrid w:val="0"/>
        <w:spacing w:line="360" w:lineRule="auto"/>
        <w:ind w:firstLine="480" w:firstLineChars="200"/>
        <w:rPr>
          <w:rFonts w:ascii="宋体" w:hAnsi="宋体" w:cs="宋体"/>
          <w:sz w:val="24"/>
        </w:rPr>
      </w:pPr>
      <w:r>
        <w:rPr>
          <w:rFonts w:hint="eastAsia" w:ascii="宋体" w:hAnsi="宋体" w:cs="宋体"/>
          <w:sz w:val="24"/>
        </w:rPr>
        <w:t xml:space="preserve"> (四)出现下列情形之一的，磋商失败：</w:t>
      </w:r>
    </w:p>
    <w:p>
      <w:pPr>
        <w:wordWrap w:val="0"/>
        <w:snapToGrid w:val="0"/>
        <w:spacing w:line="360" w:lineRule="auto"/>
        <w:ind w:firstLine="480" w:firstLineChars="200"/>
        <w:rPr>
          <w:rFonts w:ascii="宋体" w:hAnsi="宋体" w:cs="宋体"/>
          <w:sz w:val="24"/>
        </w:rPr>
      </w:pPr>
      <w:r>
        <w:rPr>
          <w:rFonts w:hint="eastAsia" w:ascii="宋体" w:hAnsi="宋体" w:cs="宋体"/>
          <w:sz w:val="24"/>
        </w:rPr>
        <w:t>1、符合条件的供应商或者对磋商文件作实质响应的供应商不足3家的；</w:t>
      </w:r>
    </w:p>
    <w:p>
      <w:pPr>
        <w:wordWrap w:val="0"/>
        <w:snapToGrid w:val="0"/>
        <w:spacing w:line="360" w:lineRule="auto"/>
        <w:ind w:firstLine="480" w:firstLineChars="200"/>
        <w:rPr>
          <w:rFonts w:ascii="宋体" w:hAnsi="宋体" w:cs="宋体"/>
          <w:sz w:val="24"/>
        </w:rPr>
      </w:pPr>
      <w:r>
        <w:rPr>
          <w:rFonts w:hint="eastAsia" w:ascii="宋体" w:hAnsi="宋体" w:cs="宋体"/>
          <w:sz w:val="24"/>
        </w:rPr>
        <w:t>2、出现影响采购公正的违法违规行为的；</w:t>
      </w:r>
    </w:p>
    <w:p>
      <w:pPr>
        <w:wordWrap w:val="0"/>
        <w:snapToGrid w:val="0"/>
        <w:spacing w:line="360" w:lineRule="auto"/>
        <w:ind w:firstLine="480" w:firstLineChars="200"/>
        <w:rPr>
          <w:rFonts w:ascii="宋体" w:hAnsi="宋体" w:cs="宋体"/>
          <w:sz w:val="24"/>
        </w:rPr>
      </w:pPr>
      <w:r>
        <w:rPr>
          <w:rFonts w:hint="eastAsia" w:ascii="宋体" w:hAnsi="宋体" w:cs="宋体"/>
          <w:sz w:val="24"/>
        </w:rPr>
        <w:t>3、供应商的最后报价均低于实际支付金额；</w:t>
      </w:r>
    </w:p>
    <w:p>
      <w:pPr>
        <w:wordWrap w:val="0"/>
        <w:snapToGrid w:val="0"/>
        <w:spacing w:line="360" w:lineRule="auto"/>
        <w:ind w:firstLine="480" w:firstLineChars="200"/>
        <w:rPr>
          <w:rFonts w:ascii="宋体" w:hAnsi="宋体" w:cs="宋体"/>
          <w:sz w:val="24"/>
        </w:rPr>
      </w:pPr>
      <w:r>
        <w:rPr>
          <w:rFonts w:hint="eastAsia" w:ascii="宋体" w:hAnsi="宋体" w:cs="宋体"/>
          <w:sz w:val="24"/>
        </w:rPr>
        <w:t>4、因重大变故，采购任务取消的。</w:t>
      </w:r>
    </w:p>
    <w:p>
      <w:pPr>
        <w:wordWrap w:val="0"/>
        <w:snapToGrid w:val="0"/>
        <w:spacing w:line="360" w:lineRule="auto"/>
        <w:ind w:firstLine="480" w:firstLineChars="200"/>
        <w:rPr>
          <w:rFonts w:ascii="宋体" w:hAnsi="宋体" w:cs="宋体"/>
          <w:sz w:val="24"/>
        </w:rPr>
      </w:pPr>
      <w:r>
        <w:rPr>
          <w:rFonts w:hint="eastAsia" w:ascii="宋体" w:hAnsi="宋体" w:cs="宋体"/>
          <w:sz w:val="24"/>
        </w:rPr>
        <w:t>除资格性检查认定错误、分值汇总计算错误、分项评分超出评分标准范围、客观分评分不一致、经磋商小组一致认定评分畸高、畸低的情形外，采购人不以任何理由组织重新评审。</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五、评审标准</w:t>
      </w:r>
    </w:p>
    <w:p>
      <w:pPr>
        <w:snapToGrid w:val="0"/>
        <w:spacing w:line="360" w:lineRule="auto"/>
        <w:ind w:firstLine="480" w:firstLineChars="200"/>
        <w:rPr>
          <w:rFonts w:ascii="宋体" w:hAnsi="宋体" w:cs="宋体"/>
          <w:b/>
          <w:sz w:val="24"/>
        </w:rPr>
      </w:pPr>
      <w:r>
        <w:rPr>
          <w:rFonts w:hint="eastAsia" w:ascii="宋体" w:hAnsi="宋体" w:cs="宋体"/>
          <w:sz w:val="24"/>
        </w:rPr>
        <w:t>商务技术部分评审结束后，再开启最后报价计算分值。总分值为100分，加分和减分因素除外。</w:t>
      </w:r>
    </w:p>
    <w:p>
      <w:pPr>
        <w:spacing w:line="360" w:lineRule="auto"/>
        <w:ind w:firstLine="482" w:firstLineChars="200"/>
        <w:rPr>
          <w:rFonts w:ascii="宋体" w:hAnsi="宋体" w:cs="宋体"/>
          <w:b/>
          <w:sz w:val="24"/>
        </w:rPr>
      </w:pPr>
      <w:r>
        <w:rPr>
          <w:rFonts w:hint="eastAsia" w:ascii="宋体" w:hAnsi="宋体" w:cs="宋体"/>
          <w:b/>
          <w:sz w:val="24"/>
        </w:rPr>
        <w:t>（1）商务技术标评分标准：（70分）</w:t>
      </w:r>
    </w:p>
    <w:p>
      <w:pPr>
        <w:snapToGrid w:val="0"/>
        <w:spacing w:line="480" w:lineRule="exact"/>
        <w:ind w:firstLine="484" w:firstLineChars="202"/>
        <w:outlineLvl w:val="2"/>
      </w:pPr>
      <w:r>
        <w:rPr>
          <w:rFonts w:hint="eastAsia" w:ascii="宋体" w:hAnsi="宋体" w:cs="宋体"/>
          <w:sz w:val="24"/>
        </w:rPr>
        <w:t>供应商得分为磋商小组成员的平均分，请评委根据各条评分内容在设分值区间内评审打分，得分四舍五入保留两位小数。</w:t>
      </w:r>
    </w:p>
    <w:p>
      <w:pPr>
        <w:pStyle w:val="18"/>
      </w:pPr>
    </w:p>
    <w:p>
      <w:pPr>
        <w:pStyle w:val="18"/>
      </w:pPr>
    </w:p>
    <w:p>
      <w:pPr>
        <w:pStyle w:val="18"/>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250"/>
        <w:gridCol w:w="1410"/>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序号</w:t>
            </w:r>
          </w:p>
        </w:tc>
        <w:tc>
          <w:tcPr>
            <w:tcW w:w="225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评分点名称</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分值</w:t>
            </w:r>
          </w:p>
        </w:tc>
        <w:tc>
          <w:tcPr>
            <w:tcW w:w="516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w:t>
            </w:r>
          </w:p>
        </w:tc>
        <w:tc>
          <w:tcPr>
            <w:tcW w:w="2250" w:type="dxa"/>
          </w:tcPr>
          <w:p>
            <w:pPr>
              <w:snapToGrid w:val="0"/>
              <w:spacing w:line="480" w:lineRule="exact"/>
              <w:ind w:firstLine="485"/>
              <w:outlineLvl w:val="2"/>
              <w:rPr>
                <w:rFonts w:ascii="宋体" w:hAnsi="宋体" w:cs="宋体"/>
                <w:sz w:val="24"/>
              </w:rPr>
            </w:pPr>
            <w:r>
              <w:rPr>
                <w:rFonts w:hint="eastAsia" w:ascii="宋体" w:hAnsi="宋体" w:cs="宋体"/>
                <w:sz w:val="24"/>
              </w:rPr>
              <w:t>运输服务方案</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10</w:t>
            </w:r>
          </w:p>
        </w:tc>
        <w:tc>
          <w:tcPr>
            <w:tcW w:w="5167" w:type="dxa"/>
          </w:tcPr>
          <w:p>
            <w:pPr>
              <w:snapToGrid w:val="0"/>
              <w:spacing w:line="480" w:lineRule="exact"/>
              <w:ind w:firstLine="485"/>
              <w:outlineLvl w:val="2"/>
              <w:rPr>
                <w:rFonts w:ascii="宋体" w:hAnsi="宋体" w:cs="宋体"/>
                <w:sz w:val="24"/>
              </w:rPr>
            </w:pPr>
            <w:r>
              <w:rPr>
                <w:rFonts w:hint="eastAsia" w:ascii="宋体" w:hAnsi="宋体" w:cs="宋体"/>
                <w:sz w:val="24"/>
              </w:rPr>
              <w:t>服务方案有针对性、安全性、可行性，服务方案完整、较好得8~10</w:t>
            </w:r>
          </w:p>
          <w:p>
            <w:pPr>
              <w:snapToGrid w:val="0"/>
              <w:spacing w:line="480" w:lineRule="exact"/>
              <w:ind w:firstLine="485"/>
              <w:outlineLvl w:val="2"/>
              <w:rPr>
                <w:rFonts w:ascii="宋体" w:hAnsi="宋体" w:cs="宋体"/>
                <w:sz w:val="24"/>
              </w:rPr>
            </w:pPr>
            <w:r>
              <w:rPr>
                <w:rFonts w:hint="eastAsia" w:ascii="宋体" w:hAnsi="宋体" w:cs="宋体"/>
                <w:sz w:val="24"/>
              </w:rPr>
              <w:t>一般得5~7</w:t>
            </w:r>
          </w:p>
          <w:p>
            <w:pPr>
              <w:snapToGrid w:val="0"/>
              <w:spacing w:line="480" w:lineRule="exact"/>
              <w:ind w:firstLine="485"/>
              <w:outlineLvl w:val="2"/>
              <w:rPr>
                <w:rFonts w:ascii="宋体" w:hAnsi="宋体" w:cs="宋体"/>
                <w:sz w:val="24"/>
              </w:rPr>
            </w:pPr>
            <w:r>
              <w:rPr>
                <w:rFonts w:hint="eastAsia" w:ascii="宋体" w:hAnsi="宋体" w:cs="宋体"/>
                <w:sz w:val="24"/>
              </w:rPr>
              <w:t>较差得2~4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2</w:t>
            </w:r>
          </w:p>
        </w:tc>
        <w:tc>
          <w:tcPr>
            <w:tcW w:w="2250" w:type="dxa"/>
          </w:tcPr>
          <w:p>
            <w:pPr>
              <w:snapToGrid w:val="0"/>
              <w:spacing w:line="480" w:lineRule="exact"/>
              <w:ind w:firstLine="485"/>
              <w:outlineLvl w:val="2"/>
              <w:rPr>
                <w:rFonts w:ascii="宋体" w:hAnsi="宋体" w:cs="宋体"/>
                <w:sz w:val="24"/>
              </w:rPr>
            </w:pPr>
            <w:r>
              <w:rPr>
                <w:rFonts w:hint="eastAsia" w:ascii="宋体" w:hAnsi="宋体" w:cs="宋体"/>
                <w:sz w:val="24"/>
              </w:rPr>
              <w:t>运输工具及配置说明</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10</w:t>
            </w:r>
          </w:p>
        </w:tc>
        <w:tc>
          <w:tcPr>
            <w:tcW w:w="5167" w:type="dxa"/>
          </w:tcPr>
          <w:p>
            <w:pPr>
              <w:snapToGrid w:val="0"/>
              <w:spacing w:line="480" w:lineRule="exact"/>
              <w:ind w:firstLine="485"/>
              <w:outlineLvl w:val="2"/>
              <w:rPr>
                <w:rFonts w:ascii="宋体" w:hAnsi="宋体" w:cs="宋体"/>
                <w:sz w:val="24"/>
              </w:rPr>
            </w:pPr>
            <w:r>
              <w:rPr>
                <w:rFonts w:hint="eastAsia" w:ascii="宋体" w:hAnsi="宋体" w:cs="宋体"/>
                <w:sz w:val="24"/>
              </w:rPr>
              <w:t>根据投标人提供的运输工具的温控、避震、车内消防设备、GPS定位及防盗，以及运输工具数量等进行综合评分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3</w:t>
            </w:r>
          </w:p>
        </w:tc>
        <w:tc>
          <w:tcPr>
            <w:tcW w:w="2250" w:type="dxa"/>
          </w:tcPr>
          <w:p>
            <w:pPr>
              <w:snapToGrid w:val="0"/>
              <w:spacing w:line="480" w:lineRule="exact"/>
              <w:ind w:firstLine="485"/>
              <w:outlineLvl w:val="2"/>
              <w:rPr>
                <w:rFonts w:ascii="宋体" w:hAnsi="宋体" w:cs="宋体"/>
                <w:sz w:val="24"/>
              </w:rPr>
            </w:pPr>
            <w:r>
              <w:rPr>
                <w:rFonts w:hint="eastAsia" w:ascii="宋体" w:hAnsi="宋体" w:cs="宋体"/>
                <w:sz w:val="24"/>
              </w:rPr>
              <w:t>运输时间进度安排</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10</w:t>
            </w:r>
          </w:p>
        </w:tc>
        <w:tc>
          <w:tcPr>
            <w:tcW w:w="5167" w:type="dxa"/>
          </w:tcPr>
          <w:p>
            <w:pPr>
              <w:snapToGrid w:val="0"/>
              <w:spacing w:line="480" w:lineRule="exact"/>
              <w:ind w:firstLine="485"/>
              <w:outlineLvl w:val="2"/>
              <w:rPr>
                <w:rFonts w:ascii="宋体" w:hAnsi="宋体" w:cs="宋体"/>
                <w:sz w:val="24"/>
              </w:rPr>
            </w:pPr>
            <w:r>
              <w:rPr>
                <w:rFonts w:hint="eastAsia" w:ascii="宋体" w:hAnsi="宋体" w:cs="宋体"/>
                <w:sz w:val="24"/>
              </w:rPr>
              <w:t>运输时间进度安排较好得8~10</w:t>
            </w:r>
          </w:p>
          <w:p>
            <w:pPr>
              <w:snapToGrid w:val="0"/>
              <w:spacing w:line="480" w:lineRule="exact"/>
              <w:ind w:firstLine="485"/>
              <w:outlineLvl w:val="2"/>
              <w:rPr>
                <w:rFonts w:ascii="宋体" w:hAnsi="宋体" w:cs="宋体"/>
                <w:sz w:val="24"/>
              </w:rPr>
            </w:pPr>
            <w:r>
              <w:rPr>
                <w:rFonts w:hint="eastAsia" w:ascii="宋体" w:hAnsi="宋体" w:cs="宋体"/>
                <w:sz w:val="24"/>
              </w:rPr>
              <w:t>一般得5~7</w:t>
            </w:r>
          </w:p>
          <w:p>
            <w:pPr>
              <w:snapToGrid w:val="0"/>
              <w:spacing w:line="480" w:lineRule="exact"/>
              <w:ind w:firstLine="485"/>
              <w:outlineLvl w:val="2"/>
              <w:rPr>
                <w:rFonts w:ascii="宋体" w:hAnsi="宋体" w:cs="宋体"/>
                <w:sz w:val="24"/>
              </w:rPr>
            </w:pPr>
            <w:r>
              <w:rPr>
                <w:rFonts w:hint="eastAsia" w:ascii="宋体" w:hAnsi="宋体" w:cs="宋体"/>
                <w:sz w:val="24"/>
              </w:rPr>
              <w:t>较差得2~4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4</w:t>
            </w:r>
          </w:p>
        </w:tc>
        <w:tc>
          <w:tcPr>
            <w:tcW w:w="2250" w:type="dxa"/>
          </w:tcPr>
          <w:p>
            <w:pPr>
              <w:snapToGrid w:val="0"/>
              <w:spacing w:line="480" w:lineRule="exact"/>
              <w:ind w:firstLine="485"/>
              <w:outlineLvl w:val="2"/>
              <w:rPr>
                <w:rFonts w:ascii="宋体" w:hAnsi="宋体" w:cs="宋体"/>
                <w:sz w:val="24"/>
              </w:rPr>
            </w:pPr>
            <w:r>
              <w:rPr>
                <w:rFonts w:hint="eastAsia" w:ascii="宋体" w:hAnsi="宋体" w:cs="宋体"/>
                <w:sz w:val="24"/>
              </w:rPr>
              <w:t>包装方案</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10</w:t>
            </w:r>
          </w:p>
        </w:tc>
        <w:tc>
          <w:tcPr>
            <w:tcW w:w="5167" w:type="dxa"/>
          </w:tcPr>
          <w:p>
            <w:pPr>
              <w:snapToGrid w:val="0"/>
              <w:spacing w:line="480" w:lineRule="exact"/>
              <w:ind w:firstLine="485"/>
              <w:outlineLvl w:val="2"/>
              <w:rPr>
                <w:rFonts w:ascii="宋体" w:hAnsi="宋体" w:cs="宋体"/>
                <w:sz w:val="24"/>
              </w:rPr>
            </w:pPr>
            <w:r>
              <w:rPr>
                <w:rFonts w:hint="eastAsia" w:ascii="宋体" w:hAnsi="宋体" w:cs="宋体"/>
                <w:sz w:val="24"/>
              </w:rPr>
              <w:t>包装方案有针对性、安全性、可行性，服务方案完整较好得8~10</w:t>
            </w:r>
          </w:p>
          <w:p>
            <w:pPr>
              <w:snapToGrid w:val="0"/>
              <w:spacing w:line="480" w:lineRule="exact"/>
              <w:ind w:firstLine="485"/>
              <w:outlineLvl w:val="2"/>
              <w:rPr>
                <w:rFonts w:ascii="宋体" w:hAnsi="宋体" w:cs="宋体"/>
                <w:sz w:val="24"/>
              </w:rPr>
            </w:pPr>
            <w:r>
              <w:rPr>
                <w:rFonts w:hint="eastAsia" w:ascii="宋体" w:hAnsi="宋体" w:cs="宋体"/>
                <w:sz w:val="24"/>
              </w:rPr>
              <w:t>一般得5~7</w:t>
            </w:r>
          </w:p>
          <w:p>
            <w:pPr>
              <w:snapToGrid w:val="0"/>
              <w:spacing w:line="480" w:lineRule="exact"/>
              <w:ind w:firstLine="485"/>
              <w:outlineLvl w:val="2"/>
              <w:rPr>
                <w:rFonts w:ascii="宋体" w:hAnsi="宋体" w:cs="宋体"/>
                <w:sz w:val="24"/>
              </w:rPr>
            </w:pPr>
            <w:r>
              <w:rPr>
                <w:rFonts w:hint="eastAsia" w:ascii="宋体" w:hAnsi="宋体" w:cs="宋体"/>
                <w:sz w:val="24"/>
              </w:rPr>
              <w:t>较差得2~4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5</w:t>
            </w:r>
          </w:p>
        </w:tc>
        <w:tc>
          <w:tcPr>
            <w:tcW w:w="2250" w:type="dxa"/>
          </w:tcPr>
          <w:p>
            <w:pPr>
              <w:snapToGrid w:val="0"/>
              <w:spacing w:line="480" w:lineRule="exact"/>
              <w:ind w:firstLine="485"/>
              <w:outlineLvl w:val="2"/>
              <w:rPr>
                <w:rFonts w:ascii="宋体" w:hAnsi="宋体" w:cs="宋体"/>
                <w:sz w:val="24"/>
              </w:rPr>
            </w:pPr>
            <w:r>
              <w:rPr>
                <w:rFonts w:hint="eastAsia" w:ascii="宋体" w:hAnsi="宋体" w:cs="宋体"/>
                <w:sz w:val="24"/>
              </w:rPr>
              <w:t>应急预案与服务承诺</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10</w:t>
            </w:r>
          </w:p>
        </w:tc>
        <w:tc>
          <w:tcPr>
            <w:tcW w:w="5167" w:type="dxa"/>
          </w:tcPr>
          <w:p>
            <w:pPr>
              <w:snapToGrid w:val="0"/>
              <w:spacing w:line="480" w:lineRule="exact"/>
              <w:ind w:firstLine="485"/>
              <w:outlineLvl w:val="2"/>
              <w:rPr>
                <w:rFonts w:ascii="宋体" w:hAnsi="宋体" w:cs="宋体"/>
                <w:sz w:val="24"/>
              </w:rPr>
            </w:pPr>
            <w:r>
              <w:rPr>
                <w:rFonts w:hint="eastAsia" w:ascii="宋体" w:hAnsi="宋体" w:cs="宋体"/>
                <w:sz w:val="24"/>
              </w:rPr>
              <w:t>应急预案与服务承诺完整、较好得8~10</w:t>
            </w:r>
          </w:p>
          <w:p>
            <w:pPr>
              <w:snapToGrid w:val="0"/>
              <w:spacing w:line="480" w:lineRule="exact"/>
              <w:ind w:firstLine="485"/>
              <w:outlineLvl w:val="2"/>
              <w:rPr>
                <w:rFonts w:ascii="宋体" w:hAnsi="宋体" w:cs="宋体"/>
                <w:sz w:val="24"/>
              </w:rPr>
            </w:pPr>
            <w:r>
              <w:rPr>
                <w:rFonts w:hint="eastAsia" w:ascii="宋体" w:hAnsi="宋体" w:cs="宋体"/>
                <w:sz w:val="24"/>
              </w:rPr>
              <w:t>一般得5~7</w:t>
            </w:r>
          </w:p>
          <w:p>
            <w:pPr>
              <w:snapToGrid w:val="0"/>
              <w:spacing w:line="480" w:lineRule="exact"/>
              <w:ind w:firstLine="485"/>
              <w:outlineLvl w:val="2"/>
              <w:rPr>
                <w:rFonts w:ascii="宋体" w:hAnsi="宋体" w:cs="宋体"/>
                <w:sz w:val="24"/>
              </w:rPr>
            </w:pPr>
            <w:r>
              <w:rPr>
                <w:rFonts w:hint="eastAsia" w:ascii="宋体" w:hAnsi="宋体" w:cs="宋体"/>
                <w:sz w:val="24"/>
              </w:rPr>
              <w:t>较差得2~4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6</w:t>
            </w:r>
          </w:p>
        </w:tc>
        <w:tc>
          <w:tcPr>
            <w:tcW w:w="2250" w:type="dxa"/>
          </w:tcPr>
          <w:p>
            <w:pPr>
              <w:snapToGrid w:val="0"/>
              <w:spacing w:line="480" w:lineRule="exact"/>
              <w:ind w:firstLine="485"/>
              <w:outlineLvl w:val="2"/>
              <w:rPr>
                <w:rFonts w:ascii="宋体" w:hAnsi="宋体" w:cs="宋体"/>
                <w:sz w:val="24"/>
              </w:rPr>
            </w:pPr>
            <w:r>
              <w:rPr>
                <w:rFonts w:hint="eastAsia" w:ascii="宋体" w:hAnsi="宋体" w:cs="宋体"/>
                <w:sz w:val="24"/>
              </w:rPr>
              <w:t>拟派本项目人员情况</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10</w:t>
            </w:r>
          </w:p>
        </w:tc>
        <w:tc>
          <w:tcPr>
            <w:tcW w:w="5167" w:type="dxa"/>
          </w:tcPr>
          <w:p>
            <w:pPr>
              <w:snapToGrid w:val="0"/>
              <w:spacing w:line="480" w:lineRule="exact"/>
              <w:ind w:firstLine="485"/>
              <w:outlineLvl w:val="2"/>
              <w:rPr>
                <w:rFonts w:ascii="宋体" w:hAnsi="宋体" w:cs="宋体"/>
                <w:sz w:val="24"/>
              </w:rPr>
            </w:pPr>
            <w:r>
              <w:rPr>
                <w:rFonts w:hint="eastAsia" w:ascii="宋体" w:hAnsi="宋体" w:cs="宋体"/>
                <w:sz w:val="24"/>
              </w:rPr>
              <w:t>人员配备情况齐全、有针对性8~10</w:t>
            </w:r>
          </w:p>
          <w:p>
            <w:pPr>
              <w:snapToGrid w:val="0"/>
              <w:spacing w:line="480" w:lineRule="exact"/>
              <w:ind w:firstLine="485"/>
              <w:outlineLvl w:val="2"/>
              <w:rPr>
                <w:rFonts w:ascii="宋体" w:hAnsi="宋体" w:cs="宋体"/>
                <w:sz w:val="24"/>
              </w:rPr>
            </w:pPr>
            <w:r>
              <w:rPr>
                <w:rFonts w:hint="eastAsia" w:ascii="宋体" w:hAnsi="宋体" w:cs="宋体"/>
                <w:sz w:val="24"/>
              </w:rPr>
              <w:t>一般得5~7</w:t>
            </w:r>
          </w:p>
          <w:p>
            <w:pPr>
              <w:snapToGrid w:val="0"/>
              <w:spacing w:line="480" w:lineRule="exact"/>
              <w:ind w:firstLine="485"/>
              <w:outlineLvl w:val="2"/>
              <w:rPr>
                <w:rFonts w:ascii="宋体" w:hAnsi="宋体" w:cs="宋体"/>
                <w:sz w:val="24"/>
              </w:rPr>
            </w:pPr>
            <w:r>
              <w:rPr>
                <w:rFonts w:hint="eastAsia" w:ascii="宋体" w:hAnsi="宋体" w:cs="宋体"/>
                <w:sz w:val="24"/>
              </w:rPr>
              <w:t>较差得2~4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7</w:t>
            </w:r>
          </w:p>
        </w:tc>
        <w:tc>
          <w:tcPr>
            <w:tcW w:w="2250" w:type="dxa"/>
          </w:tcPr>
          <w:p>
            <w:pPr>
              <w:snapToGrid w:val="0"/>
              <w:spacing w:line="480" w:lineRule="exact"/>
              <w:ind w:firstLine="485"/>
              <w:outlineLvl w:val="2"/>
              <w:rPr>
                <w:rFonts w:ascii="宋体" w:hAnsi="宋体" w:cs="宋体"/>
                <w:sz w:val="24"/>
              </w:rPr>
            </w:pPr>
            <w:r>
              <w:rPr>
                <w:rFonts w:hint="eastAsia" w:ascii="宋体" w:hAnsi="宋体" w:cs="宋体"/>
                <w:sz w:val="24"/>
              </w:rPr>
              <w:t>2020年以来具有类似文物运输业绩证明</w:t>
            </w:r>
          </w:p>
        </w:tc>
        <w:tc>
          <w:tcPr>
            <w:tcW w:w="1410" w:type="dxa"/>
          </w:tcPr>
          <w:p>
            <w:pPr>
              <w:snapToGrid w:val="0"/>
              <w:spacing w:line="480" w:lineRule="exact"/>
              <w:ind w:firstLine="484" w:firstLineChars="202"/>
              <w:outlineLvl w:val="2"/>
              <w:rPr>
                <w:rFonts w:ascii="宋体" w:hAnsi="宋体" w:cs="宋体"/>
                <w:sz w:val="24"/>
              </w:rPr>
            </w:pPr>
            <w:r>
              <w:rPr>
                <w:rFonts w:hint="eastAsia" w:ascii="宋体" w:hAnsi="宋体" w:cs="宋体"/>
                <w:sz w:val="24"/>
              </w:rPr>
              <w:t>10</w:t>
            </w:r>
          </w:p>
        </w:tc>
        <w:tc>
          <w:tcPr>
            <w:tcW w:w="5167" w:type="dxa"/>
          </w:tcPr>
          <w:p>
            <w:pPr>
              <w:snapToGrid w:val="0"/>
              <w:spacing w:line="480" w:lineRule="exact"/>
              <w:ind w:firstLine="485"/>
              <w:outlineLvl w:val="2"/>
              <w:rPr>
                <w:rFonts w:ascii="宋体" w:hAnsi="宋体" w:cs="宋体"/>
                <w:sz w:val="24"/>
              </w:rPr>
            </w:pPr>
            <w:r>
              <w:rPr>
                <w:rFonts w:hint="eastAsia" w:ascii="宋体" w:hAnsi="宋体" w:cs="宋体"/>
                <w:sz w:val="24"/>
              </w:rPr>
              <w:t>提供中标通知书或合同复印件加盖单位公章，有1个得2分，最高得10分，不提供者不得分。</w:t>
            </w:r>
          </w:p>
        </w:tc>
      </w:tr>
    </w:tbl>
    <w:p>
      <w:pPr>
        <w:spacing w:line="360" w:lineRule="auto"/>
        <w:ind w:firstLine="446" w:firstLineChars="202"/>
        <w:rPr>
          <w:rFonts w:ascii="宋体" w:hAnsi="宋体"/>
          <w:b/>
          <w:bCs/>
          <w:sz w:val="22"/>
          <w:szCs w:val="28"/>
          <w:lang w:val="zh-CN"/>
        </w:rPr>
      </w:pPr>
    </w:p>
    <w:p>
      <w:pPr>
        <w:spacing w:line="360" w:lineRule="auto"/>
        <w:ind w:firstLine="484" w:firstLineChars="202"/>
        <w:rPr>
          <w:rFonts w:ascii="宋体" w:hAnsi="宋体" w:cs="宋体"/>
          <w:sz w:val="24"/>
        </w:rPr>
      </w:pPr>
      <w:r>
        <w:rPr>
          <w:rFonts w:hint="eastAsia" w:ascii="宋体" w:hAnsi="宋体" w:cs="宋体"/>
          <w:sz w:val="24"/>
        </w:rPr>
        <w:t xml:space="preserve">注：①请供应商根据评分标准制作评分索引并放在评审内容的前面，评分索引中应标明每个评分点的页码范围，如投标文件内容顺序混乱，导致评委无法查看，后果自负。 </w:t>
      </w:r>
    </w:p>
    <w:p>
      <w:pPr>
        <w:spacing w:line="360" w:lineRule="auto"/>
        <w:ind w:firstLine="484" w:firstLineChars="202"/>
        <w:rPr>
          <w:rFonts w:ascii="宋体" w:hAnsi="宋体" w:cs="宋体"/>
          <w:sz w:val="24"/>
        </w:rPr>
      </w:pPr>
      <w:r>
        <w:rPr>
          <w:rFonts w:hint="eastAsia" w:ascii="宋体" w:hAnsi="宋体" w:cs="宋体"/>
          <w:sz w:val="24"/>
        </w:rPr>
        <w:t>②请供应商制作磋商响应文件的时保证图片、文字材料的完整、清晰可辨，任何原因导致评委看不清楚或无法查看，后果由供应商自负。</w:t>
      </w:r>
    </w:p>
    <w:p>
      <w:pPr>
        <w:spacing w:line="360" w:lineRule="auto"/>
        <w:ind w:firstLine="468" w:firstLineChars="202"/>
        <w:rPr>
          <w:rFonts w:ascii="宋体" w:hAnsi="宋体" w:cs="宋体"/>
          <w:spacing w:val="-4"/>
          <w:sz w:val="24"/>
        </w:rPr>
      </w:pPr>
      <w:r>
        <w:rPr>
          <w:rFonts w:hint="eastAsia" w:ascii="宋体" w:hAnsi="宋体" w:cs="宋体"/>
          <w:spacing w:val="-4"/>
          <w:sz w:val="24"/>
        </w:rPr>
        <w:t>③供应商制作磋商响应文件时所用的所有原件材料均须准备好成交公告结束后5日内被采购人核查，如核查时供应商不能提供相关原件材料作弄虚作假处理，供应商自行承担相应法律后果。</w:t>
      </w:r>
    </w:p>
    <w:p>
      <w:pPr>
        <w:spacing w:line="360" w:lineRule="auto"/>
        <w:ind w:firstLine="482" w:firstLineChars="200"/>
        <w:rPr>
          <w:rFonts w:ascii="宋体" w:hAnsi="宋体" w:cs="宋体"/>
          <w:b/>
          <w:sz w:val="24"/>
        </w:rPr>
      </w:pPr>
      <w:r>
        <w:rPr>
          <w:rFonts w:hint="eastAsia" w:ascii="宋体" w:hAnsi="宋体" w:cs="宋体"/>
          <w:b/>
          <w:sz w:val="24"/>
        </w:rPr>
        <w:t>（2）价格分：（3</w:t>
      </w:r>
      <w:r>
        <w:rPr>
          <w:rFonts w:ascii="宋体" w:hAnsi="宋体" w:cs="宋体"/>
          <w:b/>
          <w:sz w:val="24"/>
        </w:rPr>
        <w:t>0</w:t>
      </w:r>
      <w:r>
        <w:rPr>
          <w:rFonts w:hint="eastAsia" w:ascii="宋体" w:hAnsi="宋体" w:cs="宋体"/>
          <w:b/>
          <w:sz w:val="24"/>
        </w:rPr>
        <w:t>分）</w:t>
      </w:r>
    </w:p>
    <w:p>
      <w:pPr>
        <w:spacing w:line="360" w:lineRule="auto"/>
        <w:ind w:firstLine="468" w:firstLineChars="202"/>
        <w:rPr>
          <w:rFonts w:ascii="宋体" w:hAnsi="宋体" w:cs="宋体"/>
          <w:spacing w:val="-4"/>
          <w:sz w:val="24"/>
        </w:rPr>
      </w:pPr>
      <w:r>
        <w:rPr>
          <w:rFonts w:hint="eastAsia" w:ascii="宋体" w:hAnsi="宋体" w:cs="宋体"/>
          <w:spacing w:val="-4"/>
          <w:sz w:val="24"/>
        </w:rPr>
        <w:t>综合评分法中的价格分统一采用低价优先法计算，即满足磋商文件要求且最后报价最低的供应商的价格为磋商基准价，其价格分为满分。其他供应商的价格分统一按照下列公式计算：</w:t>
      </w:r>
    </w:p>
    <w:p>
      <w:pPr>
        <w:spacing w:line="360" w:lineRule="auto"/>
        <w:ind w:firstLine="468" w:firstLineChars="202"/>
        <w:rPr>
          <w:rFonts w:ascii="宋体" w:hAnsi="宋体" w:cs="宋体"/>
          <w:spacing w:val="-4"/>
          <w:sz w:val="24"/>
        </w:rPr>
      </w:pPr>
      <w:r>
        <w:rPr>
          <w:rFonts w:hint="eastAsia" w:ascii="宋体" w:hAnsi="宋体" w:cs="宋体"/>
          <w:spacing w:val="-4"/>
          <w:sz w:val="24"/>
        </w:rPr>
        <w:t>磋商报价得分=（磋商基准价/最后磋商报价）×价格权值×100</w:t>
      </w:r>
    </w:p>
    <w:p>
      <w:pPr>
        <w:spacing w:line="360" w:lineRule="auto"/>
        <w:ind w:firstLine="468" w:firstLineChars="202"/>
        <w:rPr>
          <w:rFonts w:ascii="宋体" w:hAnsi="宋体" w:cs="宋体"/>
          <w:spacing w:val="-4"/>
          <w:sz w:val="24"/>
        </w:rPr>
      </w:pPr>
      <w:r>
        <w:rPr>
          <w:rFonts w:hint="eastAsia" w:ascii="宋体" w:hAnsi="宋体" w:cs="宋体"/>
          <w:spacing w:val="-4"/>
          <w:sz w:val="24"/>
        </w:rPr>
        <w:t>项目评审过程中，不得去掉最后报价中的最高报价和最低报价。</w:t>
      </w:r>
    </w:p>
    <w:p>
      <w:pPr>
        <w:pStyle w:val="2"/>
        <w:ind w:left="882"/>
      </w:pPr>
    </w:p>
    <w:p>
      <w:pPr>
        <w:spacing w:line="360" w:lineRule="auto"/>
        <w:ind w:firstLine="464" w:firstLineChars="200"/>
        <w:rPr>
          <w:rFonts w:ascii="宋体" w:hAnsi="宋体" w:cs="宋体"/>
          <w:spacing w:val="-4"/>
          <w:sz w:val="24"/>
        </w:rPr>
      </w:pPr>
      <w:r>
        <w:rPr>
          <w:rFonts w:hint="eastAsia" w:ascii="宋体" w:hAnsi="宋体" w:cs="宋体"/>
          <w:spacing w:val="-4"/>
          <w:sz w:val="24"/>
        </w:rPr>
        <w:t>（3）根据上述评分标准，由评委进行综合打分，最终得分最高的为第一成交候选人，在分数相同的情况下由供应商代表抽签确定成交候选人。若第一成交候选人弃标的，则由第二成交候选人成交。若第二成交候选人弃标的，则由第三成交候选人成交，依次类推。成交价对应各供应商最后报价。</w:t>
      </w:r>
    </w:p>
    <w:p>
      <w:pPr>
        <w:spacing w:line="360" w:lineRule="auto"/>
        <w:ind w:firstLine="464" w:firstLineChars="200"/>
        <w:rPr>
          <w:rFonts w:ascii="宋体" w:hAnsi="宋体" w:cs="宋体"/>
          <w:sz w:val="24"/>
        </w:rPr>
      </w:pPr>
      <w:r>
        <w:rPr>
          <w:rFonts w:hint="eastAsia" w:ascii="宋体" w:hAnsi="宋体" w:cs="宋体"/>
          <w:spacing w:val="-4"/>
          <w:sz w:val="24"/>
        </w:rPr>
        <w:t>（4）磋商小组在磋商工作完成后，当场宣布磋商结果，采购人将视情况对成交候选人进行进一步核实，核实结束后，在</w:t>
      </w:r>
      <w:r>
        <w:rPr>
          <w:rFonts w:hint="eastAsia" w:ascii="宋体" w:hAnsi="宋体" w:cs="宋体"/>
          <w:sz w:val="24"/>
        </w:rPr>
        <w:t>“南通市海门区政府网站”</w:t>
      </w:r>
      <w:r>
        <w:rPr>
          <w:rFonts w:hint="eastAsia" w:ascii="宋体" w:hAnsi="宋体" w:cs="宋体"/>
          <w:spacing w:val="-4"/>
          <w:sz w:val="24"/>
        </w:rPr>
        <w:t>上对成交候</w:t>
      </w:r>
      <w:r>
        <w:rPr>
          <w:rFonts w:hint="eastAsia" w:ascii="宋体" w:hAnsi="宋体" w:cs="宋体"/>
          <w:sz w:val="24"/>
        </w:rPr>
        <w:t>选人进行公示，时间为一个工作日。</w:t>
      </w:r>
    </w:p>
    <w:p>
      <w:pPr>
        <w:spacing w:line="360" w:lineRule="auto"/>
        <w:ind w:firstLine="480" w:firstLineChars="200"/>
        <w:rPr>
          <w:rFonts w:ascii="宋体" w:hAnsi="宋体" w:cs="宋体"/>
          <w:sz w:val="24"/>
        </w:rPr>
      </w:pPr>
      <w:r>
        <w:rPr>
          <w:rFonts w:hint="eastAsia" w:ascii="宋体" w:hAnsi="宋体" w:cs="宋体"/>
          <w:sz w:val="24"/>
        </w:rPr>
        <w:t>（5）若在成交结果公示期间，第一成交候选人被查实存在影响成交结果的违法违规行为等情形，不符合成交条件的，采购人可以按照磋商小组提出的成交候选人名单排序依次确定其他成交候选人为成交人，也可以依法重新招标。</w:t>
      </w:r>
    </w:p>
    <w:p>
      <w:pPr>
        <w:spacing w:line="360" w:lineRule="auto"/>
        <w:ind w:firstLine="480" w:firstLineChars="200"/>
        <w:rPr>
          <w:rFonts w:ascii="宋体" w:hAnsi="宋体" w:cs="宋体"/>
          <w:sz w:val="24"/>
        </w:rPr>
      </w:pPr>
      <w:r>
        <w:rPr>
          <w:rFonts w:hint="eastAsia" w:ascii="宋体" w:hAnsi="宋体" w:cs="宋体"/>
          <w:sz w:val="24"/>
        </w:rPr>
        <w:t>（6）采购人将在公示结束后的3个工作日内，向成交人发出成交通知书。</w:t>
      </w:r>
    </w:p>
    <w:p>
      <w:pPr>
        <w:spacing w:line="360" w:lineRule="auto"/>
        <w:ind w:firstLine="480" w:firstLineChars="200"/>
        <w:rPr>
          <w:rFonts w:ascii="宋体" w:hAnsi="宋体" w:cs="宋体"/>
          <w:sz w:val="24"/>
        </w:rPr>
      </w:pPr>
      <w:r>
        <w:rPr>
          <w:rFonts w:hint="eastAsia" w:ascii="宋体" w:hAnsi="宋体" w:cs="宋体"/>
          <w:sz w:val="24"/>
        </w:rPr>
        <w:t>（7）成交人在收到成交通知书后，应按采购人的安排，与采购人签订合同。</w:t>
      </w:r>
    </w:p>
    <w:p>
      <w:pPr>
        <w:snapToGrid w:val="0"/>
        <w:spacing w:line="360" w:lineRule="auto"/>
        <w:ind w:firstLine="482" w:firstLineChars="200"/>
        <w:outlineLvl w:val="1"/>
        <w:rPr>
          <w:rFonts w:ascii="宋体" w:hAnsi="宋体" w:cs="宋体"/>
          <w:b/>
          <w:sz w:val="24"/>
        </w:rPr>
      </w:pPr>
    </w:p>
    <w:p>
      <w:pPr>
        <w:pStyle w:val="2"/>
        <w:ind w:left="882"/>
      </w:pPr>
    </w:p>
    <w:p>
      <w:pPr>
        <w:snapToGrid w:val="0"/>
        <w:spacing w:line="360" w:lineRule="auto"/>
        <w:ind w:firstLine="482" w:firstLineChars="200"/>
        <w:outlineLvl w:val="1"/>
        <w:rPr>
          <w:rFonts w:cs="宋体"/>
        </w:rPr>
      </w:pPr>
      <w:r>
        <w:rPr>
          <w:rFonts w:hint="eastAsia" w:ascii="宋体" w:hAnsi="宋体" w:cs="宋体"/>
          <w:b/>
          <w:sz w:val="24"/>
        </w:rPr>
        <w:t>六、有下列情形之一的，视为供应商串通投标，其投标无效：</w:t>
      </w:r>
    </w:p>
    <w:p>
      <w:pPr>
        <w:autoSpaceDE w:val="0"/>
        <w:autoSpaceDN w:val="0"/>
        <w:spacing w:line="360" w:lineRule="auto"/>
        <w:ind w:firstLine="480" w:firstLineChars="200"/>
        <w:rPr>
          <w:rFonts w:ascii="宋体" w:hAnsi="宋体" w:cs="宋体"/>
        </w:rPr>
      </w:pPr>
      <w:r>
        <w:rPr>
          <w:rFonts w:hint="eastAsia" w:ascii="宋体" w:hAnsi="宋体" w:cs="宋体"/>
          <w:sz w:val="24"/>
        </w:rPr>
        <w:t>（一）不同供应商的磋商响应文件由同一单位或者个人编制；</w:t>
      </w:r>
    </w:p>
    <w:p>
      <w:pPr>
        <w:autoSpaceDE w:val="0"/>
        <w:autoSpaceDN w:val="0"/>
        <w:spacing w:line="360" w:lineRule="auto"/>
        <w:ind w:firstLine="480" w:firstLineChars="200"/>
        <w:rPr>
          <w:rFonts w:ascii="宋体" w:hAnsi="宋体" w:cs="宋体"/>
          <w:sz w:val="24"/>
        </w:rPr>
      </w:pPr>
      <w:r>
        <w:rPr>
          <w:rFonts w:hint="eastAsia" w:ascii="宋体" w:hAnsi="宋体" w:cs="宋体"/>
          <w:sz w:val="24"/>
        </w:rPr>
        <w:t>（二）不同供应商委托同一单位或者个人办理投标事宜；</w:t>
      </w:r>
    </w:p>
    <w:p>
      <w:pPr>
        <w:autoSpaceDE w:val="0"/>
        <w:autoSpaceDN w:val="0"/>
        <w:spacing w:line="360" w:lineRule="auto"/>
        <w:ind w:firstLine="480" w:firstLineChars="200"/>
        <w:rPr>
          <w:rFonts w:ascii="宋体" w:hAnsi="宋体" w:cs="宋体"/>
          <w:sz w:val="24"/>
        </w:rPr>
      </w:pPr>
      <w:r>
        <w:rPr>
          <w:rFonts w:hint="eastAsia" w:ascii="宋体" w:hAnsi="宋体" w:cs="宋体"/>
          <w:sz w:val="24"/>
        </w:rPr>
        <w:t>（三）不同供应商的磋商响应文件载明的项目管理成员或者联系人员为同一人；</w:t>
      </w:r>
    </w:p>
    <w:p>
      <w:pPr>
        <w:autoSpaceDE w:val="0"/>
        <w:autoSpaceDN w:val="0"/>
        <w:spacing w:line="360" w:lineRule="auto"/>
        <w:ind w:firstLine="480" w:firstLineChars="200"/>
        <w:rPr>
          <w:rFonts w:ascii="宋体" w:hAnsi="宋体" w:cs="宋体"/>
          <w:sz w:val="24"/>
        </w:rPr>
      </w:pPr>
      <w:r>
        <w:rPr>
          <w:rFonts w:hint="eastAsia" w:ascii="宋体" w:hAnsi="宋体" w:cs="宋体"/>
          <w:sz w:val="24"/>
        </w:rPr>
        <w:t>（四）不同供应商的磋商响应文件异常一致或者投标报价呈规律性差异；</w:t>
      </w:r>
    </w:p>
    <w:p>
      <w:pPr>
        <w:autoSpaceDE w:val="0"/>
        <w:autoSpaceDN w:val="0"/>
        <w:spacing w:line="360" w:lineRule="auto"/>
        <w:ind w:firstLine="480" w:firstLineChars="200"/>
        <w:rPr>
          <w:rFonts w:ascii="宋体" w:hAnsi="宋体" w:cs="宋体"/>
          <w:sz w:val="24"/>
        </w:rPr>
      </w:pPr>
      <w:r>
        <w:rPr>
          <w:rFonts w:hint="eastAsia" w:ascii="宋体" w:hAnsi="宋体" w:cs="宋体"/>
          <w:sz w:val="24"/>
        </w:rPr>
        <w:t>（五）不同供应商的磋商响应文件相互混装；</w:t>
      </w:r>
    </w:p>
    <w:p>
      <w:pPr>
        <w:autoSpaceDE w:val="0"/>
        <w:autoSpaceDN w:val="0"/>
        <w:spacing w:line="360" w:lineRule="auto"/>
        <w:ind w:firstLine="480" w:firstLineChars="200"/>
        <w:rPr>
          <w:rFonts w:ascii="宋体" w:hAnsi="宋体" w:cs="宋体"/>
          <w:sz w:val="24"/>
        </w:rPr>
      </w:pPr>
      <w:r>
        <w:rPr>
          <w:rFonts w:hint="eastAsia" w:ascii="宋体" w:hAnsi="宋体" w:cs="宋体"/>
          <w:sz w:val="24"/>
        </w:rPr>
        <w:t>（六）不同供应商的投标保证金从同一单位或者个人的账户转出。</w:t>
      </w:r>
    </w:p>
    <w:p>
      <w:pPr>
        <w:snapToGrid w:val="0"/>
        <w:spacing w:line="360" w:lineRule="auto"/>
        <w:ind w:firstLine="482" w:firstLineChars="200"/>
        <w:outlineLvl w:val="1"/>
        <w:rPr>
          <w:rFonts w:ascii="宋体" w:hAnsi="宋体" w:cs="宋体"/>
          <w:b/>
          <w:sz w:val="24"/>
        </w:rPr>
      </w:pPr>
      <w:r>
        <w:rPr>
          <w:rFonts w:hint="eastAsia" w:ascii="宋体" w:hAnsi="宋体" w:cs="宋体"/>
          <w:b/>
          <w:sz w:val="24"/>
        </w:rPr>
        <w:t>七、其他注意事项</w:t>
      </w:r>
    </w:p>
    <w:p>
      <w:pPr>
        <w:spacing w:line="360" w:lineRule="auto"/>
        <w:ind w:firstLine="480" w:firstLineChars="200"/>
        <w:rPr>
          <w:rStyle w:val="20"/>
        </w:rPr>
      </w:pPr>
      <w:r>
        <w:rPr>
          <w:rStyle w:val="20"/>
          <w:rFonts w:hint="eastAsia"/>
        </w:rPr>
        <w:t>1</w:t>
      </w:r>
      <w:r>
        <w:rPr>
          <w:rStyle w:val="20"/>
          <w:rFonts w:hint="eastAsia"/>
          <w:lang w:eastAsia="zh-CN"/>
        </w:rPr>
        <w:t>.</w:t>
      </w:r>
      <w:r>
        <w:rPr>
          <w:rStyle w:val="20"/>
          <w:rFonts w:hint="eastAsia"/>
        </w:rPr>
        <w:t>磋商小组不向未</w:t>
      </w:r>
      <w:r>
        <w:rPr>
          <w:rStyle w:val="20"/>
          <w:rFonts w:hint="eastAsia"/>
          <w:lang w:eastAsia="zh-CN"/>
        </w:rPr>
        <w:t>成交</w:t>
      </w:r>
      <w:r>
        <w:rPr>
          <w:rStyle w:val="20"/>
          <w:rFonts w:hint="eastAsia"/>
        </w:rPr>
        <w:t>方解释未</w:t>
      </w:r>
      <w:r>
        <w:rPr>
          <w:rStyle w:val="20"/>
          <w:rFonts w:hint="eastAsia"/>
          <w:lang w:eastAsia="zh-CN"/>
        </w:rPr>
        <w:t>成交</w:t>
      </w:r>
      <w:r>
        <w:rPr>
          <w:rStyle w:val="20"/>
          <w:rFonts w:hint="eastAsia"/>
        </w:rPr>
        <w:t>原因，不退还</w:t>
      </w:r>
      <w:r>
        <w:rPr>
          <w:rStyle w:val="20"/>
          <w:rFonts w:hint="eastAsia"/>
          <w:lang w:eastAsia="zh-CN"/>
        </w:rPr>
        <w:t>磋商响应文件</w:t>
      </w:r>
      <w:r>
        <w:rPr>
          <w:rStyle w:val="20"/>
          <w:rFonts w:hint="eastAsia"/>
        </w:rPr>
        <w:t>。</w:t>
      </w:r>
    </w:p>
    <w:p>
      <w:pPr>
        <w:spacing w:line="360" w:lineRule="auto"/>
        <w:ind w:firstLine="480" w:firstLineChars="200"/>
        <w:rPr>
          <w:rStyle w:val="20"/>
        </w:rPr>
      </w:pPr>
      <w:r>
        <w:rPr>
          <w:rStyle w:val="20"/>
          <w:rFonts w:hint="eastAsia"/>
        </w:rPr>
        <w:t>2</w:t>
      </w:r>
      <w:r>
        <w:rPr>
          <w:rStyle w:val="20"/>
          <w:rFonts w:hint="eastAsia"/>
          <w:lang w:eastAsia="zh-CN"/>
        </w:rPr>
        <w:t>.</w:t>
      </w:r>
      <w:r>
        <w:rPr>
          <w:rStyle w:val="20"/>
          <w:rFonts w:hint="eastAsia"/>
        </w:rPr>
        <w:t>若出现少于三家</w:t>
      </w:r>
      <w:r>
        <w:rPr>
          <w:rStyle w:val="20"/>
          <w:rFonts w:hint="eastAsia"/>
          <w:lang w:eastAsia="zh-CN"/>
        </w:rPr>
        <w:t>供应商</w:t>
      </w:r>
      <w:r>
        <w:rPr>
          <w:rStyle w:val="20"/>
          <w:rFonts w:hint="eastAsia"/>
        </w:rPr>
        <w:t>进行</w:t>
      </w:r>
      <w:r>
        <w:rPr>
          <w:rStyle w:val="20"/>
          <w:rFonts w:hint="eastAsia"/>
          <w:lang w:eastAsia="zh-CN"/>
        </w:rPr>
        <w:t>磋商</w:t>
      </w:r>
      <w:r>
        <w:rPr>
          <w:rStyle w:val="20"/>
          <w:rFonts w:hint="eastAsia"/>
        </w:rPr>
        <w:t>需要的或有效投标供应商不足三家的，将重新采购。</w:t>
      </w:r>
    </w:p>
    <w:p>
      <w:pPr>
        <w:spacing w:line="360" w:lineRule="auto"/>
        <w:ind w:firstLine="480" w:firstLineChars="200"/>
        <w:rPr>
          <w:rStyle w:val="20"/>
        </w:rPr>
      </w:pPr>
      <w:r>
        <w:rPr>
          <w:rStyle w:val="20"/>
          <w:rFonts w:hint="eastAsia"/>
        </w:rPr>
        <w:t>3</w:t>
      </w:r>
      <w:r>
        <w:rPr>
          <w:rStyle w:val="20"/>
          <w:rFonts w:hint="eastAsia"/>
          <w:lang w:eastAsia="zh-CN"/>
        </w:rPr>
        <w:t>.供应商</w:t>
      </w:r>
      <w:r>
        <w:rPr>
          <w:rStyle w:val="20"/>
          <w:rFonts w:hint="eastAsia"/>
        </w:rPr>
        <w:t>应承担所有与准备和参加</w:t>
      </w:r>
      <w:r>
        <w:rPr>
          <w:rStyle w:val="20"/>
          <w:rFonts w:hint="eastAsia"/>
          <w:lang w:eastAsia="zh-CN"/>
        </w:rPr>
        <w:t>磋商</w:t>
      </w:r>
      <w:r>
        <w:rPr>
          <w:rStyle w:val="20"/>
          <w:rFonts w:hint="eastAsia"/>
        </w:rPr>
        <w:t>响应有关的费用，不论</w:t>
      </w:r>
      <w:r>
        <w:rPr>
          <w:rStyle w:val="20"/>
          <w:rFonts w:hint="eastAsia"/>
          <w:lang w:eastAsia="zh-CN"/>
        </w:rPr>
        <w:t>磋商</w:t>
      </w:r>
      <w:r>
        <w:rPr>
          <w:rStyle w:val="20"/>
          <w:rFonts w:hint="eastAsia"/>
        </w:rPr>
        <w:t>的结果如何，</w:t>
      </w:r>
      <w:r>
        <w:rPr>
          <w:rStyle w:val="20"/>
          <w:rFonts w:hint="eastAsia"/>
          <w:lang w:eastAsia="zh-CN"/>
        </w:rPr>
        <w:t>采购人</w:t>
      </w:r>
      <w:r>
        <w:rPr>
          <w:rStyle w:val="20"/>
          <w:rFonts w:hint="eastAsia"/>
        </w:rPr>
        <w:t>均无义务和责任承担相关费用。</w:t>
      </w:r>
    </w:p>
    <w:p>
      <w:pPr>
        <w:spacing w:line="360" w:lineRule="auto"/>
        <w:ind w:firstLine="480" w:firstLineChars="200"/>
        <w:rPr>
          <w:rStyle w:val="20"/>
        </w:rPr>
      </w:pPr>
      <w:r>
        <w:rPr>
          <w:rStyle w:val="20"/>
          <w:rFonts w:hint="eastAsia"/>
        </w:rPr>
        <w:t>4</w:t>
      </w:r>
      <w:r>
        <w:rPr>
          <w:rStyle w:val="20"/>
          <w:rFonts w:hint="eastAsia"/>
          <w:lang w:eastAsia="zh-CN"/>
        </w:rPr>
        <w:t>.</w:t>
      </w:r>
      <w:r>
        <w:rPr>
          <w:rStyle w:val="20"/>
          <w:rFonts w:hint="eastAsia"/>
        </w:rPr>
        <w:t>不符合</w:t>
      </w:r>
      <w:r>
        <w:rPr>
          <w:rStyle w:val="20"/>
          <w:rFonts w:hint="eastAsia"/>
          <w:lang w:eastAsia="zh-CN"/>
        </w:rPr>
        <w:t>磋商</w:t>
      </w:r>
      <w:r>
        <w:rPr>
          <w:rStyle w:val="20"/>
          <w:rFonts w:hint="eastAsia"/>
        </w:rPr>
        <w:t>文件中规定的实质性要求，作</w:t>
      </w:r>
      <w:r>
        <w:rPr>
          <w:rStyle w:val="20"/>
          <w:rFonts w:hint="eastAsia"/>
          <w:lang w:eastAsia="zh-CN"/>
        </w:rPr>
        <w:t>无效</w:t>
      </w:r>
      <w:r>
        <w:rPr>
          <w:rStyle w:val="20"/>
          <w:rFonts w:hint="eastAsia"/>
        </w:rPr>
        <w:t>磋商响应处理。</w:t>
      </w:r>
    </w:p>
    <w:p>
      <w:pPr>
        <w:spacing w:line="360" w:lineRule="auto"/>
        <w:ind w:firstLine="480" w:firstLineChars="200"/>
        <w:rPr>
          <w:rFonts w:ascii="宋体" w:hAnsi="宋体" w:cs="宋体"/>
          <w:b/>
          <w:sz w:val="36"/>
          <w:szCs w:val="36"/>
        </w:rPr>
      </w:pPr>
      <w:r>
        <w:rPr>
          <w:rStyle w:val="20"/>
          <w:rFonts w:hint="eastAsia"/>
          <w:lang w:val="en-US" w:eastAsia="zh-CN"/>
        </w:rPr>
        <w:t>5</w:t>
      </w:r>
      <w:r>
        <w:rPr>
          <w:rStyle w:val="20"/>
          <w:rFonts w:hint="eastAsia"/>
          <w:lang w:eastAsia="zh-CN"/>
        </w:rPr>
        <w:t>.</w:t>
      </w:r>
      <w:r>
        <w:rPr>
          <w:rStyle w:val="20"/>
          <w:rFonts w:hint="eastAsia"/>
        </w:rPr>
        <w:t>供应商不遵守《中华人民共和国招标投标法》、《中华人民共和国招标投标法实施条例》、《政府采购货物和服务招投标管理办法》有关规定，或有串通投标、弄虚作假行为的，其投标一律无效。</w:t>
      </w:r>
    </w:p>
    <w:p>
      <w:pPr>
        <w:pStyle w:val="5"/>
        <w:spacing w:line="360" w:lineRule="auto"/>
        <w:ind w:firstLine="0"/>
        <w:jc w:val="both"/>
        <w:outlineLvl w:val="0"/>
        <w:rPr>
          <w:rFonts w:ascii="宋体" w:hAnsi="宋体" w:eastAsia="宋体" w:cs="宋体"/>
          <w:b/>
          <w:sz w:val="36"/>
          <w:szCs w:val="36"/>
        </w:rPr>
      </w:pPr>
    </w:p>
    <w:p>
      <w:pPr>
        <w:pStyle w:val="5"/>
        <w:spacing w:line="360" w:lineRule="auto"/>
        <w:ind w:firstLine="0"/>
        <w:jc w:val="center"/>
        <w:outlineLvl w:val="0"/>
        <w:rPr>
          <w:rFonts w:ascii="宋体" w:hAnsi="宋体" w:eastAsia="宋体" w:cs="宋体"/>
          <w:b/>
          <w:sz w:val="36"/>
          <w:szCs w:val="36"/>
        </w:rPr>
      </w:pPr>
      <w:r>
        <w:rPr>
          <w:rFonts w:hint="eastAsia" w:ascii="宋体" w:hAnsi="宋体" w:eastAsia="宋体" w:cs="宋体"/>
          <w:b/>
          <w:sz w:val="36"/>
          <w:szCs w:val="36"/>
        </w:rPr>
        <w:br w:type="page"/>
      </w:r>
      <w:bookmarkStart w:id="50" w:name="_Toc28557"/>
      <w:r>
        <w:rPr>
          <w:rFonts w:hint="eastAsia" w:ascii="宋体" w:hAnsi="宋体" w:eastAsia="宋体" w:cs="宋体"/>
          <w:b/>
          <w:sz w:val="36"/>
          <w:szCs w:val="36"/>
        </w:rPr>
        <w:t>第</w:t>
      </w:r>
      <w:r>
        <w:rPr>
          <w:rFonts w:ascii="宋体" w:hAnsi="宋体" w:eastAsia="宋体" w:cs="宋体"/>
          <w:b/>
          <w:sz w:val="36"/>
          <w:szCs w:val="36"/>
        </w:rPr>
        <w:t>五</w:t>
      </w:r>
      <w:r>
        <w:rPr>
          <w:rFonts w:hint="eastAsia" w:ascii="宋体" w:hAnsi="宋体" w:eastAsia="宋体" w:cs="宋体"/>
          <w:b/>
          <w:sz w:val="36"/>
          <w:szCs w:val="36"/>
        </w:rPr>
        <w:t xml:space="preserve">章  </w:t>
      </w:r>
      <w:r>
        <w:rPr>
          <w:rFonts w:ascii="宋体" w:hAnsi="宋体" w:eastAsia="宋体" w:cs="宋体"/>
          <w:b/>
          <w:sz w:val="36"/>
          <w:szCs w:val="36"/>
        </w:rPr>
        <w:t>签定合同</w:t>
      </w:r>
      <w:bookmarkEnd w:id="50"/>
    </w:p>
    <w:p>
      <w:pPr>
        <w:pStyle w:val="17"/>
        <w:snapToGrid w:val="0"/>
        <w:spacing w:line="360" w:lineRule="auto"/>
        <w:ind w:firstLine="480" w:firstLineChars="200"/>
        <w:contextualSpacing/>
        <w:rPr>
          <w:rStyle w:val="20"/>
        </w:rPr>
      </w:pPr>
    </w:p>
    <w:p>
      <w:pPr>
        <w:pStyle w:val="17"/>
        <w:snapToGrid w:val="0"/>
        <w:spacing w:line="360" w:lineRule="auto"/>
        <w:ind w:firstLine="480" w:firstLineChars="200"/>
        <w:contextualSpacing/>
        <w:rPr>
          <w:rStyle w:val="20"/>
        </w:rPr>
      </w:pPr>
      <w:r>
        <w:rPr>
          <w:rStyle w:val="20"/>
          <w:rFonts w:hint="eastAsia"/>
        </w:rPr>
        <w:t>一、成交供应商和采购人在接到《成交通知书》后10个工作日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bookmarkStart w:id="51" w:name="_Toc363573858"/>
      <w:bookmarkStart w:id="52" w:name="_Toc94585343"/>
    </w:p>
    <w:p>
      <w:pPr>
        <w:spacing w:line="360" w:lineRule="auto"/>
        <w:ind w:firstLine="480" w:firstLineChars="200"/>
        <w:rPr>
          <w:rStyle w:val="20"/>
        </w:rPr>
      </w:pPr>
      <w:r>
        <w:rPr>
          <w:rStyle w:val="20"/>
          <w:rFonts w:hint="eastAsia"/>
        </w:rPr>
        <w:t>二、磋商文件、成交人的磋商响应文件及评审过程中有关书面澄清、承诺等均应作为合同附件，具有同等的法律效力。</w:t>
      </w:r>
    </w:p>
    <w:p>
      <w:pPr>
        <w:spacing w:line="360" w:lineRule="auto"/>
        <w:ind w:firstLine="480" w:firstLineChars="200"/>
        <w:rPr>
          <w:rStyle w:val="20"/>
        </w:rPr>
      </w:pPr>
      <w:r>
        <w:rPr>
          <w:rStyle w:val="20"/>
          <w:rFonts w:hint="eastAsia"/>
        </w:rPr>
        <w:t>三、成交人不得采用转包、分包的形式履行合同，否则，采购人有权终止合同，造成采购人损失的，成交人应承担相应赔偿责任。</w:t>
      </w:r>
      <w:bookmarkEnd w:id="51"/>
      <w:bookmarkEnd w:id="52"/>
    </w:p>
    <w:p>
      <w:pPr>
        <w:spacing w:line="360" w:lineRule="auto"/>
        <w:ind w:firstLine="480" w:firstLineChars="200"/>
        <w:rPr>
          <w:rStyle w:val="20"/>
        </w:rPr>
      </w:pPr>
      <w:r>
        <w:rPr>
          <w:rStyle w:val="20"/>
          <w:rFonts w:hint="eastAsia"/>
        </w:rPr>
        <w:t>四、采购人和成交人应相互配合，按采购合同约定积极组织本项目的实施。</w:t>
      </w:r>
    </w:p>
    <w:p>
      <w:pPr>
        <w:spacing w:line="360" w:lineRule="auto"/>
        <w:ind w:firstLine="480" w:firstLineChars="200"/>
        <w:rPr>
          <w:rStyle w:val="20"/>
        </w:rPr>
      </w:pPr>
      <w:r>
        <w:rPr>
          <w:rStyle w:val="20"/>
          <w:rFonts w:hint="eastAsia"/>
        </w:rPr>
        <w:t>五、成交人履约到位后，应以书面形式向采购人提出验收申请。采购人接到申请后应及时组织验收。</w:t>
      </w:r>
    </w:p>
    <w:p>
      <w:pPr>
        <w:spacing w:line="360" w:lineRule="auto"/>
        <w:ind w:firstLine="480" w:firstLineChars="200"/>
        <w:rPr>
          <w:rStyle w:val="20"/>
        </w:rPr>
      </w:pPr>
      <w:r>
        <w:rPr>
          <w:rStyle w:val="20"/>
          <w:rFonts w:hint="eastAsia"/>
        </w:rPr>
        <w:t>六、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6"/>
        <w:spacing w:line="360" w:lineRule="auto"/>
        <w:ind w:firstLine="480" w:firstLineChars="200"/>
        <w:rPr>
          <w:rStyle w:val="20"/>
        </w:rPr>
      </w:pPr>
      <w:r>
        <w:rPr>
          <w:rStyle w:val="20"/>
          <w:rFonts w:hint="eastAsia"/>
        </w:rPr>
        <w:t>七、按采购合同约定支付的项目合同价款。</w:t>
      </w:r>
    </w:p>
    <w:p>
      <w:pPr>
        <w:spacing w:line="360" w:lineRule="auto"/>
        <w:ind w:firstLine="480" w:firstLineChars="200"/>
        <w:rPr>
          <w:rStyle w:val="20"/>
        </w:rPr>
      </w:pPr>
    </w:p>
    <w:p>
      <w:pPr>
        <w:tabs>
          <w:tab w:val="left" w:pos="900"/>
        </w:tabs>
        <w:spacing w:line="460" w:lineRule="exact"/>
        <w:ind w:firstLine="482" w:firstLineChars="200"/>
        <w:jc w:val="center"/>
        <w:rPr>
          <w:rStyle w:val="20"/>
          <w:b/>
        </w:rPr>
      </w:pPr>
    </w:p>
    <w:p>
      <w:pPr>
        <w:tabs>
          <w:tab w:val="left" w:pos="900"/>
        </w:tabs>
        <w:spacing w:line="460" w:lineRule="exact"/>
        <w:ind w:firstLine="482" w:firstLineChars="200"/>
        <w:jc w:val="center"/>
        <w:rPr>
          <w:rStyle w:val="20"/>
          <w:b/>
        </w:rPr>
      </w:pPr>
    </w:p>
    <w:p>
      <w:pPr>
        <w:tabs>
          <w:tab w:val="left" w:pos="900"/>
        </w:tabs>
        <w:spacing w:line="460" w:lineRule="exact"/>
        <w:ind w:firstLine="482" w:firstLineChars="200"/>
        <w:jc w:val="center"/>
        <w:rPr>
          <w:rStyle w:val="20"/>
          <w:b/>
        </w:rPr>
      </w:pPr>
    </w:p>
    <w:p>
      <w:pPr>
        <w:tabs>
          <w:tab w:val="left" w:pos="900"/>
        </w:tabs>
        <w:spacing w:line="460" w:lineRule="exact"/>
        <w:ind w:firstLine="482" w:firstLineChars="200"/>
        <w:jc w:val="center"/>
        <w:rPr>
          <w:rStyle w:val="20"/>
          <w:b/>
        </w:rPr>
      </w:pPr>
    </w:p>
    <w:p>
      <w:pPr>
        <w:tabs>
          <w:tab w:val="left" w:pos="900"/>
        </w:tabs>
        <w:spacing w:line="460" w:lineRule="exact"/>
        <w:ind w:firstLine="482" w:firstLineChars="200"/>
        <w:jc w:val="center"/>
        <w:rPr>
          <w:rStyle w:val="20"/>
          <w:b/>
        </w:rPr>
      </w:pPr>
    </w:p>
    <w:p>
      <w:pPr>
        <w:tabs>
          <w:tab w:val="left" w:pos="900"/>
        </w:tabs>
        <w:spacing w:line="460" w:lineRule="exact"/>
        <w:ind w:firstLine="482" w:firstLineChars="200"/>
        <w:jc w:val="center"/>
        <w:rPr>
          <w:rStyle w:val="20"/>
          <w:b/>
        </w:rPr>
      </w:pPr>
    </w:p>
    <w:p>
      <w:pPr>
        <w:tabs>
          <w:tab w:val="left" w:pos="900"/>
        </w:tabs>
        <w:spacing w:line="460" w:lineRule="exact"/>
        <w:ind w:firstLine="482" w:firstLineChars="200"/>
        <w:jc w:val="center"/>
        <w:rPr>
          <w:rStyle w:val="20"/>
          <w:b/>
        </w:rPr>
      </w:pPr>
    </w:p>
    <w:p>
      <w:pPr>
        <w:tabs>
          <w:tab w:val="left" w:pos="900"/>
        </w:tabs>
        <w:spacing w:line="460" w:lineRule="exact"/>
        <w:ind w:firstLine="482" w:firstLineChars="200"/>
        <w:jc w:val="center"/>
        <w:rPr>
          <w:rStyle w:val="20"/>
          <w:b/>
        </w:rPr>
      </w:pPr>
    </w:p>
    <w:p>
      <w:pPr>
        <w:pStyle w:val="5"/>
        <w:spacing w:line="360" w:lineRule="auto"/>
        <w:ind w:firstLine="0"/>
        <w:jc w:val="center"/>
        <w:outlineLvl w:val="0"/>
        <w:rPr>
          <w:rFonts w:ascii="宋体" w:hAnsi="宋体" w:eastAsia="宋体" w:cs="宋体"/>
          <w:b/>
          <w:sz w:val="36"/>
          <w:szCs w:val="36"/>
        </w:rPr>
      </w:pPr>
      <w:bookmarkStart w:id="53" w:name="_Toc10123"/>
      <w:r>
        <w:rPr>
          <w:rFonts w:hint="eastAsia" w:ascii="宋体" w:hAnsi="宋体" w:eastAsia="宋体" w:cs="宋体"/>
          <w:b/>
          <w:sz w:val="36"/>
          <w:szCs w:val="36"/>
        </w:rPr>
        <w:br w:type="page"/>
      </w:r>
      <w:bookmarkStart w:id="54" w:name="_Toc13425"/>
      <w:r>
        <w:rPr>
          <w:rFonts w:hint="eastAsia" w:ascii="宋体" w:hAnsi="宋体" w:eastAsia="宋体" w:cs="宋体"/>
          <w:b/>
          <w:sz w:val="36"/>
          <w:szCs w:val="36"/>
        </w:rPr>
        <w:t>第六章  质疑提出和处理</w:t>
      </w:r>
      <w:bookmarkEnd w:id="53"/>
      <w:bookmarkEnd w:id="54"/>
    </w:p>
    <w:p>
      <w:pPr>
        <w:autoSpaceDE w:val="0"/>
        <w:autoSpaceDN w:val="0"/>
        <w:snapToGrid w:val="0"/>
        <w:spacing w:line="360" w:lineRule="auto"/>
        <w:ind w:firstLine="482" w:firstLineChars="200"/>
        <w:contextualSpacing/>
        <w:rPr>
          <w:rFonts w:ascii="宋体" w:hAnsi="宋体" w:cs="宋体"/>
          <w:b/>
          <w:sz w:val="24"/>
        </w:rPr>
      </w:pPr>
      <w:r>
        <w:rPr>
          <w:rFonts w:hint="eastAsia" w:ascii="宋体" w:hAnsi="宋体" w:cs="宋体"/>
          <w:b/>
          <w:sz w:val="24"/>
        </w:rPr>
        <w:t>一、质疑的提出</w:t>
      </w:r>
    </w:p>
    <w:p>
      <w:pPr>
        <w:autoSpaceDE w:val="0"/>
        <w:autoSpaceDN w:val="0"/>
        <w:snapToGrid w:val="0"/>
        <w:spacing w:line="360" w:lineRule="auto"/>
        <w:ind w:firstLine="480" w:firstLineChars="200"/>
        <w:contextualSpacing/>
        <w:rPr>
          <w:rStyle w:val="20"/>
          <w:lang w:val="zh-CN"/>
        </w:rPr>
      </w:pPr>
      <w:r>
        <w:rPr>
          <w:rStyle w:val="20"/>
          <w:rFonts w:hint="eastAsia"/>
          <w:lang w:val="zh-CN"/>
        </w:rPr>
        <w:t>1、质疑人必须是直接参加本次磋商活动的当事人。</w:t>
      </w:r>
    </w:p>
    <w:p>
      <w:pPr>
        <w:autoSpaceDE w:val="0"/>
        <w:autoSpaceDN w:val="0"/>
        <w:snapToGrid w:val="0"/>
        <w:spacing w:line="360" w:lineRule="auto"/>
        <w:ind w:firstLine="480" w:firstLineChars="200"/>
        <w:contextualSpacing/>
        <w:rPr>
          <w:rStyle w:val="20"/>
          <w:lang w:val="zh-CN"/>
        </w:rPr>
      </w:pPr>
      <w:bookmarkStart w:id="55" w:name="_Toc17927"/>
      <w:bookmarkStart w:id="56" w:name="_Toc25436"/>
      <w:r>
        <w:rPr>
          <w:rStyle w:val="20"/>
          <w:rFonts w:hint="eastAsia"/>
          <w:lang w:val="zh-CN"/>
        </w:rPr>
        <w:t>2、下载磋商文件的供应商应根据第二部分“磋商须知”中第一点第1项的约定提出疑问；质疑提出的有效时限，见《中华人民共和国政府采购法实施条例》第五十三条。</w:t>
      </w:r>
      <w:bookmarkEnd w:id="55"/>
      <w:bookmarkEnd w:id="56"/>
    </w:p>
    <w:p>
      <w:pPr>
        <w:autoSpaceDE w:val="0"/>
        <w:autoSpaceDN w:val="0"/>
        <w:snapToGrid w:val="0"/>
        <w:spacing w:line="360" w:lineRule="auto"/>
        <w:ind w:firstLine="480" w:firstLineChars="200"/>
        <w:contextualSpacing/>
        <w:rPr>
          <w:rStyle w:val="20"/>
          <w:lang w:val="zh-CN"/>
        </w:rPr>
      </w:pPr>
      <w:bookmarkStart w:id="57" w:name="_Toc1469"/>
      <w:bookmarkStart w:id="58" w:name="_Toc3689"/>
      <w:r>
        <w:rPr>
          <w:rStyle w:val="20"/>
          <w:rFonts w:hint="eastAsia"/>
          <w:lang w:val="zh-CN"/>
        </w:rPr>
        <w:t>在磋商过程中，凡主持人或磋商小组明确提出须由供应商确认的事项，供应商当场无异议的，事后不得提出质疑。</w:t>
      </w:r>
      <w:bookmarkEnd w:id="57"/>
      <w:bookmarkEnd w:id="58"/>
    </w:p>
    <w:p>
      <w:pPr>
        <w:autoSpaceDE w:val="0"/>
        <w:autoSpaceDN w:val="0"/>
        <w:snapToGrid w:val="0"/>
        <w:spacing w:line="360" w:lineRule="auto"/>
        <w:ind w:firstLine="480" w:firstLineChars="200"/>
        <w:contextualSpacing/>
        <w:rPr>
          <w:rStyle w:val="20"/>
          <w:lang w:val="zh-CN"/>
        </w:rPr>
      </w:pPr>
      <w:r>
        <w:rPr>
          <w:rStyle w:val="20"/>
          <w:rFonts w:hint="eastAsia"/>
        </w:rPr>
        <w:t>3</w:t>
      </w:r>
      <w:r>
        <w:rPr>
          <w:rStyle w:val="20"/>
          <w:rFonts w:hint="eastAsia"/>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snapToGrid w:val="0"/>
        <w:spacing w:line="360" w:lineRule="auto"/>
        <w:ind w:firstLine="480" w:firstLineChars="200"/>
        <w:contextualSpacing/>
        <w:rPr>
          <w:rStyle w:val="20"/>
        </w:rPr>
      </w:pPr>
      <w:r>
        <w:rPr>
          <w:rStyle w:val="20"/>
          <w:rFonts w:hint="eastAsia"/>
        </w:rPr>
        <w:t>4、对本次磋商有质疑的，实行实名制，不得进行虚假、恶意质疑。质疑人应在质疑有效期内以书面形式</w:t>
      </w:r>
      <w:r>
        <w:rPr>
          <w:rStyle w:val="20"/>
          <w:rFonts w:hint="eastAsia"/>
          <w:lang w:val="zh-CN"/>
        </w:rPr>
        <w:t>提出《质疑函》（格式请下载）</w:t>
      </w:r>
      <w:r>
        <w:rPr>
          <w:rStyle w:val="20"/>
          <w:rFonts w:hint="eastAsia"/>
        </w:rPr>
        <w:t>，《质疑函》内容应</w:t>
      </w:r>
      <w:r>
        <w:rPr>
          <w:rStyle w:val="20"/>
          <w:rFonts w:hint="eastAsia"/>
          <w:lang w:val="zh-CN"/>
        </w:rPr>
        <w:t>包括</w:t>
      </w:r>
      <w:r>
        <w:rPr>
          <w:rStyle w:val="20"/>
          <w:rFonts w:hint="eastAsia"/>
        </w:rPr>
        <w:t>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contextualSpacing/>
        <w:rPr>
          <w:rStyle w:val="20"/>
        </w:rPr>
      </w:pPr>
      <w:r>
        <w:rPr>
          <w:rStyle w:val="20"/>
          <w:rFonts w:hint="eastAsia"/>
          <w:lang w:val="zh-CN"/>
        </w:rPr>
        <w:t>对不能提供</w:t>
      </w:r>
      <w:r>
        <w:rPr>
          <w:rStyle w:val="20"/>
          <w:rFonts w:hint="eastAsia"/>
        </w:rPr>
        <w:t>相关佐证材料的、涉及商业秘密的、非书面形式的、非送达的、匿名的《质疑函》将不予受理。</w:t>
      </w:r>
    </w:p>
    <w:p>
      <w:pPr>
        <w:snapToGrid w:val="0"/>
        <w:spacing w:line="360" w:lineRule="auto"/>
        <w:ind w:firstLine="480" w:firstLineChars="200"/>
        <w:contextualSpacing/>
        <w:rPr>
          <w:rStyle w:val="20"/>
        </w:rPr>
      </w:pPr>
      <w:r>
        <w:rPr>
          <w:rStyle w:val="20"/>
          <w:rFonts w:hint="eastAsia"/>
        </w:rPr>
        <w:t>相关佐证材料要具备客观性、关联性、合法性，无法查实的（如宣传册、媒体报道、猜测、推理等）不能作为佐证材料。</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采购人不负责搜集相关佐证材料等工作。</w:t>
      </w:r>
    </w:p>
    <w:p>
      <w:pPr>
        <w:autoSpaceDE w:val="0"/>
        <w:autoSpaceDN w:val="0"/>
        <w:snapToGrid w:val="0"/>
        <w:spacing w:line="360" w:lineRule="auto"/>
        <w:ind w:firstLine="482" w:firstLineChars="200"/>
        <w:contextualSpacing/>
        <w:rPr>
          <w:rFonts w:ascii="宋体" w:hAnsi="宋体" w:cs="宋体"/>
          <w:b/>
          <w:sz w:val="24"/>
        </w:rPr>
      </w:pPr>
      <w:r>
        <w:rPr>
          <w:rFonts w:hint="eastAsia" w:ascii="宋体" w:hAnsi="宋体" w:cs="宋体"/>
          <w:b/>
          <w:sz w:val="24"/>
        </w:rPr>
        <w:t>二、《质疑函》的受理和回复</w:t>
      </w:r>
    </w:p>
    <w:p>
      <w:pPr>
        <w:autoSpaceDE w:val="0"/>
        <w:autoSpaceDN w:val="0"/>
        <w:snapToGrid w:val="0"/>
        <w:spacing w:line="360" w:lineRule="auto"/>
        <w:ind w:firstLine="480" w:firstLineChars="200"/>
        <w:contextualSpacing/>
        <w:rPr>
          <w:rStyle w:val="20"/>
          <w:lang w:val="zh-CN"/>
        </w:rPr>
      </w:pPr>
      <w:r>
        <w:rPr>
          <w:rStyle w:val="20"/>
          <w:rFonts w:hint="eastAsia"/>
          <w:lang w:val="zh-CN"/>
        </w:rPr>
        <w:t>1、《质疑函》须由质疑人的法定代表人或参加本次磋商授权人送达采购人。</w:t>
      </w:r>
    </w:p>
    <w:p>
      <w:pPr>
        <w:autoSpaceDE w:val="0"/>
        <w:autoSpaceDN w:val="0"/>
        <w:snapToGrid w:val="0"/>
        <w:spacing w:line="360" w:lineRule="auto"/>
        <w:ind w:firstLine="480" w:firstLineChars="200"/>
        <w:contextualSpacing/>
        <w:rPr>
          <w:rStyle w:val="20"/>
          <w:lang w:val="zh-CN"/>
        </w:rPr>
      </w:pPr>
      <w:r>
        <w:rPr>
          <w:rStyle w:val="20"/>
          <w:rFonts w:hint="eastAsia"/>
          <w:lang w:val="zh-CN"/>
        </w:rPr>
        <w:t>2、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snapToGrid w:val="0"/>
        <w:spacing w:line="360" w:lineRule="auto"/>
        <w:ind w:firstLine="480" w:firstLineChars="200"/>
        <w:contextualSpacing/>
        <w:rPr>
          <w:rStyle w:val="20"/>
          <w:lang w:val="zh-CN"/>
        </w:rPr>
      </w:pPr>
      <w:r>
        <w:rPr>
          <w:rStyle w:val="20"/>
          <w:rFonts w:hint="eastAsia"/>
          <w:lang w:val="zh-CN"/>
        </w:rPr>
        <w:t>3、对不符合提出质疑要求的，出具《质疑退回通知书》并提出相关补充材料要求，质疑人未在规定的时间内提供补充佐证材料的，视同放弃质疑。</w:t>
      </w:r>
    </w:p>
    <w:p>
      <w:pPr>
        <w:autoSpaceDE w:val="0"/>
        <w:autoSpaceDN w:val="0"/>
        <w:snapToGrid w:val="0"/>
        <w:spacing w:line="360" w:lineRule="auto"/>
        <w:ind w:firstLine="480" w:firstLineChars="200"/>
        <w:contextualSpacing/>
        <w:rPr>
          <w:rStyle w:val="20"/>
          <w:lang w:val="zh-CN"/>
        </w:rPr>
      </w:pPr>
      <w:r>
        <w:rPr>
          <w:rStyle w:val="20"/>
          <w:rFonts w:hint="eastAsia"/>
          <w:lang w:val="zh-CN"/>
        </w:rPr>
        <w:t>4、采购人负责将质疑人提出的质疑相关材料提供给相关专家或磋商小组审核，并将审核意见回复质疑人。</w:t>
      </w:r>
    </w:p>
    <w:p>
      <w:pPr>
        <w:autoSpaceDE w:val="0"/>
        <w:autoSpaceDN w:val="0"/>
        <w:snapToGrid w:val="0"/>
        <w:spacing w:line="356" w:lineRule="auto"/>
        <w:ind w:firstLine="480" w:firstLineChars="200"/>
        <w:contextualSpacing/>
        <w:rPr>
          <w:rStyle w:val="20"/>
          <w:lang w:val="zh-CN"/>
        </w:rPr>
      </w:pPr>
      <w:r>
        <w:rPr>
          <w:rStyle w:val="20"/>
          <w:rFonts w:hint="eastAsia"/>
          <w:lang w:val="zh-CN"/>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snapToGrid w:val="0"/>
        <w:spacing w:line="356" w:lineRule="auto"/>
        <w:ind w:firstLine="480" w:firstLineChars="200"/>
        <w:contextualSpacing/>
        <w:rPr>
          <w:rStyle w:val="20"/>
          <w:lang w:val="zh-CN"/>
        </w:rPr>
      </w:pPr>
      <w:r>
        <w:rPr>
          <w:rStyle w:val="20"/>
          <w:rFonts w:hint="eastAsia"/>
          <w:lang w:val="zh-CN"/>
        </w:rPr>
        <w:t>5、因质疑情况复杂，组织论证或审查时间较长的，采购人以书面形式通知质疑人，可适当延长质疑回复处理时间。</w:t>
      </w:r>
    </w:p>
    <w:p>
      <w:pPr>
        <w:snapToGrid w:val="0"/>
        <w:spacing w:line="356" w:lineRule="auto"/>
        <w:ind w:firstLine="482" w:firstLineChars="200"/>
        <w:contextualSpacing/>
        <w:rPr>
          <w:rFonts w:ascii="宋体" w:hAnsi="宋体" w:cs="宋体"/>
          <w:b/>
          <w:sz w:val="24"/>
          <w:lang w:val="zh-CN"/>
        </w:rPr>
      </w:pPr>
      <w:r>
        <w:rPr>
          <w:rFonts w:hint="eastAsia" w:ascii="宋体" w:hAnsi="宋体" w:cs="宋体"/>
          <w:b/>
          <w:sz w:val="24"/>
          <w:lang w:val="zh-CN"/>
        </w:rPr>
        <w:t>三、质疑处理</w:t>
      </w:r>
    </w:p>
    <w:p>
      <w:pPr>
        <w:snapToGrid w:val="0"/>
        <w:spacing w:line="356" w:lineRule="auto"/>
        <w:ind w:firstLine="482" w:firstLineChars="200"/>
        <w:contextualSpacing/>
        <w:rPr>
          <w:rFonts w:ascii="宋体" w:hAnsi="宋体" w:cs="宋体"/>
          <w:b/>
          <w:sz w:val="24"/>
          <w:lang w:val="zh-CN"/>
        </w:rPr>
      </w:pPr>
      <w:r>
        <w:rPr>
          <w:rFonts w:hint="eastAsia" w:ascii="宋体" w:hAnsi="宋体" w:cs="宋体"/>
          <w:b/>
          <w:sz w:val="24"/>
          <w:lang w:val="zh-CN"/>
        </w:rPr>
        <w:t>1、质疑成立的处理</w:t>
      </w:r>
    </w:p>
    <w:p>
      <w:pPr>
        <w:autoSpaceDE w:val="0"/>
        <w:autoSpaceDN w:val="0"/>
        <w:snapToGrid w:val="0"/>
        <w:spacing w:line="356" w:lineRule="auto"/>
        <w:ind w:firstLine="480" w:firstLineChars="200"/>
        <w:contextualSpacing/>
        <w:rPr>
          <w:rFonts w:ascii="宋体" w:hAnsi="宋体" w:cs="宋体"/>
          <w:sz w:val="24"/>
          <w:lang w:val="zh-CN"/>
        </w:rPr>
      </w:pPr>
      <w:r>
        <w:rPr>
          <w:rStyle w:val="20"/>
          <w:rFonts w:hint="eastAsia"/>
          <w:lang w:val="zh-CN"/>
        </w:rPr>
        <w:t>采购人终止采购，并建议有关部门给相关当事人予以处理。</w:t>
      </w:r>
    </w:p>
    <w:p>
      <w:pPr>
        <w:snapToGrid w:val="0"/>
        <w:spacing w:line="356" w:lineRule="auto"/>
        <w:ind w:firstLine="482" w:firstLineChars="200"/>
        <w:contextualSpacing/>
        <w:rPr>
          <w:rFonts w:ascii="宋体" w:hAnsi="宋体" w:cs="宋体"/>
          <w:b/>
          <w:sz w:val="24"/>
          <w:lang w:val="zh-CN"/>
        </w:rPr>
      </w:pPr>
      <w:r>
        <w:rPr>
          <w:rFonts w:hint="eastAsia" w:ascii="宋体" w:hAnsi="宋体" w:cs="宋体"/>
          <w:b/>
          <w:sz w:val="24"/>
          <w:lang w:val="zh-CN"/>
        </w:rPr>
        <w:t>2、质疑不成立的处理</w:t>
      </w:r>
    </w:p>
    <w:p>
      <w:pPr>
        <w:autoSpaceDE w:val="0"/>
        <w:autoSpaceDN w:val="0"/>
        <w:snapToGrid w:val="0"/>
        <w:spacing w:line="356" w:lineRule="auto"/>
        <w:ind w:firstLine="480" w:firstLineChars="200"/>
        <w:contextualSpacing/>
        <w:rPr>
          <w:rStyle w:val="20"/>
          <w:lang w:val="zh-CN"/>
        </w:rPr>
      </w:pPr>
      <w:r>
        <w:rPr>
          <w:rStyle w:val="20"/>
          <w:rFonts w:hint="eastAsia"/>
          <w:lang w:val="zh-CN"/>
        </w:rPr>
        <w:t>1）质疑人书面《申请撤回质疑函》的，不作违约处理。</w:t>
      </w:r>
    </w:p>
    <w:p>
      <w:pPr>
        <w:autoSpaceDE w:val="0"/>
        <w:autoSpaceDN w:val="0"/>
        <w:snapToGrid w:val="0"/>
        <w:spacing w:line="356" w:lineRule="auto"/>
        <w:ind w:firstLine="480" w:firstLineChars="200"/>
        <w:contextualSpacing/>
        <w:rPr>
          <w:rStyle w:val="20"/>
          <w:lang w:val="zh-CN"/>
        </w:rPr>
      </w:pPr>
      <w:r>
        <w:rPr>
          <w:rStyle w:val="20"/>
          <w:rFonts w:hint="eastAsia"/>
          <w:lang w:val="zh-CN"/>
        </w:rPr>
        <w:t>2）质疑人在规定的时间内不配合进行质疑调查处理的，按自动撤回《质疑函》处理。</w:t>
      </w:r>
    </w:p>
    <w:p>
      <w:pPr>
        <w:autoSpaceDE w:val="0"/>
        <w:autoSpaceDN w:val="0"/>
        <w:snapToGrid w:val="0"/>
        <w:spacing w:line="356" w:lineRule="auto"/>
        <w:ind w:firstLine="480" w:firstLineChars="200"/>
        <w:contextualSpacing/>
        <w:rPr>
          <w:rStyle w:val="20"/>
          <w:lang w:val="zh-CN"/>
        </w:rPr>
      </w:pPr>
      <w:r>
        <w:rPr>
          <w:rStyle w:val="20"/>
          <w:rFonts w:hint="eastAsia"/>
          <w:lang w:val="zh-CN"/>
        </w:rPr>
        <w:t>3）质疑人不按《质疑函》格式就提出质疑的，作违约处理。</w:t>
      </w:r>
    </w:p>
    <w:p>
      <w:pPr>
        <w:autoSpaceDE w:val="0"/>
        <w:autoSpaceDN w:val="0"/>
        <w:snapToGrid w:val="0"/>
        <w:spacing w:line="356" w:lineRule="auto"/>
        <w:ind w:firstLine="480" w:firstLineChars="200"/>
        <w:contextualSpacing/>
        <w:rPr>
          <w:rStyle w:val="20"/>
          <w:lang w:val="zh-CN"/>
        </w:rPr>
      </w:pPr>
      <w:r>
        <w:rPr>
          <w:rStyle w:val="20"/>
          <w:rFonts w:hint="eastAsia"/>
          <w:lang w:val="zh-CN"/>
        </w:rPr>
        <w:t>4）质疑人虽提供了相关佐证材料，但不能证明其质疑成立的，采购人请质疑人补充相关佐证材料，仍不能证明其质疑成立的，作违约处理。采购人有权将其列入不良供应商名单。</w:t>
      </w:r>
    </w:p>
    <w:p>
      <w:pPr>
        <w:autoSpaceDE w:val="0"/>
        <w:autoSpaceDN w:val="0"/>
        <w:snapToGrid w:val="0"/>
        <w:spacing w:line="356" w:lineRule="auto"/>
        <w:ind w:firstLine="480" w:firstLineChars="200"/>
        <w:contextualSpacing/>
        <w:rPr>
          <w:rStyle w:val="20"/>
          <w:lang w:val="zh-CN"/>
        </w:rPr>
      </w:pPr>
      <w:r>
        <w:rPr>
          <w:rStyle w:val="20"/>
          <w:rFonts w:hint="eastAsia"/>
          <w:lang w:val="zh-CN"/>
        </w:rPr>
        <w:t>5）质疑人不能提供相关佐证材料的，采购人已指出，质疑人仍然坚持提出质疑的，作违约处理。</w:t>
      </w:r>
    </w:p>
    <w:p>
      <w:pPr>
        <w:autoSpaceDE w:val="0"/>
        <w:autoSpaceDN w:val="0"/>
        <w:snapToGrid w:val="0"/>
        <w:spacing w:line="356" w:lineRule="auto"/>
        <w:ind w:firstLine="480" w:firstLineChars="200"/>
        <w:contextualSpacing/>
        <w:rPr>
          <w:rStyle w:val="20"/>
          <w:lang w:val="zh-CN"/>
        </w:rPr>
      </w:pPr>
      <w:r>
        <w:rPr>
          <w:rStyle w:val="20"/>
          <w:rFonts w:hint="eastAsia"/>
          <w:lang w:val="zh-CN"/>
        </w:rPr>
        <w:t>6）对明显有违事实的、经相关专家或磋商小组认定无依据的、经其他供应商举证无依据的质疑，作违约处理，采购人有权将其列入不良供应商名单；同时，对其中每一项不成立的质疑给予质疑人1年内禁入由采购人组织的政府采购活动的违约处理，依次类推；视情在相关媒体予以披露。</w:t>
      </w:r>
    </w:p>
    <w:p>
      <w:pPr>
        <w:autoSpaceDE w:val="0"/>
        <w:autoSpaceDN w:val="0"/>
        <w:snapToGrid w:val="0"/>
        <w:spacing w:line="356" w:lineRule="auto"/>
        <w:ind w:firstLine="480" w:firstLineChars="200"/>
        <w:contextualSpacing/>
        <w:rPr>
          <w:rFonts w:ascii="宋体" w:hAnsi="宋体" w:cs="宋体"/>
          <w:sz w:val="24"/>
          <w:lang w:val="zh-CN"/>
        </w:rPr>
      </w:pPr>
      <w:r>
        <w:rPr>
          <w:rStyle w:val="20"/>
          <w:rFonts w:hint="eastAsia"/>
          <w:lang w:val="zh-CN"/>
        </w:rPr>
        <w:t>7）质疑人承担使用虚假材料或恶意方式质疑的法律责任。</w:t>
      </w:r>
    </w:p>
    <w:p>
      <w:pPr>
        <w:autoSpaceDE w:val="0"/>
        <w:autoSpaceDN w:val="0"/>
        <w:snapToGrid w:val="0"/>
        <w:spacing w:line="356" w:lineRule="auto"/>
        <w:ind w:firstLine="482" w:firstLineChars="200"/>
        <w:contextualSpacing/>
        <w:rPr>
          <w:rStyle w:val="20"/>
          <w:lang w:val="zh-CN"/>
        </w:rPr>
      </w:pPr>
      <w:r>
        <w:rPr>
          <w:rFonts w:hint="eastAsia" w:ascii="宋体" w:hAnsi="宋体" w:cs="宋体"/>
          <w:b/>
          <w:sz w:val="24"/>
          <w:lang w:val="zh-CN"/>
        </w:rPr>
        <w:t>四、无佐证材料的举报作违约处理。</w:t>
      </w:r>
      <w:r>
        <w:rPr>
          <w:rStyle w:val="20"/>
          <w:rFonts w:hint="eastAsia"/>
          <w:lang w:val="zh-CN"/>
        </w:rPr>
        <w:t>供应商不得进行不提供相关佐证材料（含无法查实的如宣传册、媒体报道、猜测、推理等）向有关部门的举报，否则作违约处理。采购人有权取消其相应的会员供应商资格，同时对其在1至3年内禁入由采购人组织的政府采购活动的违约处理。</w:t>
      </w:r>
    </w:p>
    <w:p>
      <w:pPr>
        <w:snapToGrid w:val="0"/>
        <w:spacing w:line="356" w:lineRule="auto"/>
        <w:ind w:firstLine="482" w:firstLineChars="200"/>
        <w:contextualSpacing/>
        <w:rPr>
          <w:rStyle w:val="20"/>
          <w:lang w:val="zh-CN"/>
        </w:rPr>
      </w:pPr>
      <w:r>
        <w:rPr>
          <w:rFonts w:hint="eastAsia" w:ascii="宋体" w:hAnsi="宋体" w:cs="宋体"/>
          <w:b/>
          <w:sz w:val="24"/>
          <w:lang w:val="zh-CN"/>
        </w:rPr>
        <w:t>五、投诉不成立的作违约处理</w:t>
      </w:r>
      <w:r>
        <w:rPr>
          <w:rFonts w:hint="eastAsia" w:ascii="宋体" w:hAnsi="宋体" w:cs="宋体"/>
          <w:b/>
          <w:sz w:val="24"/>
        </w:rPr>
        <w:t>。</w:t>
      </w:r>
      <w:r>
        <w:rPr>
          <w:rStyle w:val="20"/>
          <w:rFonts w:hint="eastAsia"/>
          <w:lang w:val="zh-CN"/>
        </w:rPr>
        <w:t>供应商进行质疑后，采购人回复质疑不成立，供应商仍进行投诉的，并最终投诉不成立的，作违约处理。采购人有权取消其相应的会员供应商资格，同时对其做出在1至3年内禁入由采购人组织的政府采购活动的违约处理。</w:t>
      </w:r>
    </w:p>
    <w:p>
      <w:pPr>
        <w:snapToGrid w:val="0"/>
        <w:spacing w:line="356" w:lineRule="auto"/>
        <w:ind w:firstLine="482" w:firstLineChars="200"/>
        <w:contextualSpacing/>
      </w:pPr>
      <w:r>
        <w:rPr>
          <w:rFonts w:hint="eastAsia" w:ascii="宋体" w:hAnsi="宋体" w:cs="宋体"/>
          <w:b/>
          <w:sz w:val="24"/>
          <w:lang w:val="zh-CN"/>
        </w:rPr>
        <w:t>六、《质疑函》、《质疑回复函》，质疑、举报、投诉不成立的</w:t>
      </w:r>
      <w:r>
        <w:rPr>
          <w:rStyle w:val="20"/>
          <w:rFonts w:hint="eastAsia"/>
          <w:lang w:val="zh-CN"/>
        </w:rPr>
        <w:t>等相关情况，视情在相关媒体予以披露。并建议相关政府采购机构对该供应商同步实施1至3年内禁入。</w:t>
      </w:r>
      <w:bookmarkStart w:id="59" w:name="_Toc3155"/>
    </w:p>
    <w:p>
      <w:pPr>
        <w:pStyle w:val="5"/>
        <w:spacing w:line="360" w:lineRule="auto"/>
        <w:ind w:firstLine="0"/>
        <w:jc w:val="center"/>
        <w:outlineLvl w:val="0"/>
        <w:rPr>
          <w:rFonts w:ascii="宋体" w:hAnsi="宋体" w:eastAsia="宋体" w:cs="宋体"/>
          <w:b/>
          <w:sz w:val="36"/>
          <w:szCs w:val="36"/>
        </w:rPr>
      </w:pPr>
      <w:bookmarkStart w:id="60" w:name="_Toc20540"/>
      <w:r>
        <w:rPr>
          <w:rFonts w:hint="eastAsia" w:ascii="宋体" w:hAnsi="宋体" w:eastAsia="宋体" w:cs="宋体"/>
          <w:b/>
          <w:sz w:val="36"/>
          <w:szCs w:val="36"/>
        </w:rPr>
        <w:t>第七章  响应文件组成</w:t>
      </w:r>
      <w:bookmarkEnd w:id="59"/>
      <w:bookmarkEnd w:id="60"/>
    </w:p>
    <w:p>
      <w:pPr>
        <w:snapToGrid w:val="0"/>
        <w:spacing w:line="360" w:lineRule="auto"/>
        <w:ind w:firstLine="482" w:firstLineChars="200"/>
        <w:rPr>
          <w:rFonts w:ascii="宋体" w:hAnsi="宋体" w:cs="宋体"/>
          <w:b/>
          <w:sz w:val="24"/>
        </w:rPr>
      </w:pPr>
      <w:r>
        <w:rPr>
          <w:rFonts w:hint="eastAsia" w:ascii="宋体" w:hAnsi="宋体" w:cs="宋体"/>
          <w:b/>
          <w:sz w:val="24"/>
        </w:rPr>
        <w:t>响应文件由资格审查证明材料、商务技术响应文件、价格响应文件三部分组成。</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一、资格审查证明材料（一正两副，单独密封并牢固装订）：</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 xml:space="preserve"> 法人或者其他组织的营业执照等证明文件，自然人的身份证明（复印件）。</w:t>
      </w:r>
    </w:p>
    <w:p>
      <w:pPr>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 上一年度财务状况报告（复印件，成立不满一年不需提供）。</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 </w:t>
      </w:r>
      <w:r>
        <w:rPr>
          <w:rFonts w:hint="eastAsia" w:ascii="宋体" w:hAnsi="宋体" w:cs="宋体"/>
          <w:sz w:val="24"/>
          <w:szCs w:val="24"/>
        </w:rPr>
        <w:t>依法缴纳税收和社会保障资金的良好记录</w:t>
      </w:r>
      <w:r>
        <w:rPr>
          <w:rFonts w:ascii="宋体" w:hAnsi="宋体" w:cs="宋体"/>
          <w:sz w:val="24"/>
          <w:szCs w:val="24"/>
        </w:rPr>
        <w:t>。</w:t>
      </w:r>
    </w:p>
    <w:p>
      <w:pPr>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4、</w:t>
      </w:r>
      <w:r>
        <w:rPr>
          <w:rFonts w:ascii="宋体" w:hAnsi="宋体" w:cs="宋体"/>
          <w:sz w:val="24"/>
          <w:szCs w:val="24"/>
        </w:rPr>
        <w:t xml:space="preserve"> 具备履行合同所必需的设备和专业技术能力的书面声明（原件,格式见后）</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5、</w:t>
      </w:r>
      <w:r>
        <w:rPr>
          <w:rFonts w:ascii="宋体" w:hAnsi="宋体" w:cs="宋体"/>
          <w:sz w:val="24"/>
          <w:szCs w:val="24"/>
        </w:rPr>
        <w:t xml:space="preserve"> 参加政府采购活动前 3 年内在经营活动中没有重大违法记录的书面声明（原件，格式见后）。</w:t>
      </w:r>
    </w:p>
    <w:p>
      <w:pPr>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6、</w:t>
      </w:r>
      <w:r>
        <w:rPr>
          <w:rFonts w:ascii="宋体" w:hAnsi="宋体" w:cs="宋体"/>
          <w:sz w:val="24"/>
          <w:szCs w:val="24"/>
        </w:rPr>
        <w:t xml:space="preserve"> 法人授权书（原件）。</w:t>
      </w:r>
    </w:p>
    <w:p>
      <w:pPr>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7、《道路运输经营许证》资质证书复印件。</w:t>
      </w:r>
    </w:p>
    <w:p>
      <w:pPr>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8、</w:t>
      </w:r>
      <w:r>
        <w:rPr>
          <w:rFonts w:ascii="宋体" w:hAnsi="宋体" w:cs="宋体"/>
          <w:sz w:val="24"/>
          <w:szCs w:val="24"/>
        </w:rPr>
        <w:t>本项目其他资格条件</w:t>
      </w:r>
      <w:r>
        <w:rPr>
          <w:rFonts w:hint="eastAsia" w:ascii="宋体" w:hAnsi="宋体" w:cs="宋体"/>
          <w:sz w:val="24"/>
          <w:szCs w:val="24"/>
        </w:rPr>
        <w:t>要求提供的资料</w:t>
      </w:r>
      <w:r>
        <w:rPr>
          <w:rFonts w:ascii="宋体" w:hAnsi="宋体" w:cs="宋体"/>
          <w:sz w:val="24"/>
          <w:szCs w:val="24"/>
        </w:rPr>
        <w:t>。</w:t>
      </w:r>
    </w:p>
    <w:p>
      <w:pPr>
        <w:snapToGrid w:val="0"/>
        <w:spacing w:line="460" w:lineRule="exact"/>
        <w:ind w:firstLine="480" w:firstLineChars="200"/>
        <w:jc w:val="left"/>
        <w:rPr>
          <w:rFonts w:ascii="宋体" w:hAnsi="宋体" w:cs="宋体"/>
          <w:sz w:val="24"/>
          <w:szCs w:val="24"/>
        </w:rPr>
      </w:pPr>
      <w:r>
        <w:rPr>
          <w:rFonts w:ascii="宋体" w:hAnsi="宋体" w:cs="宋体"/>
          <w:sz w:val="24"/>
          <w:szCs w:val="24"/>
        </w:rPr>
        <w:t>以上资格证明文件中要求加盖公章的，必须加盖公章；备注：建议供应商将资格证明文件单独装订成册</w:t>
      </w:r>
      <w:r>
        <w:rPr>
          <w:rFonts w:hint="eastAsia" w:ascii="宋体" w:hAnsi="宋体" w:cs="宋体"/>
          <w:sz w:val="24"/>
          <w:szCs w:val="24"/>
        </w:rPr>
        <w:t>。</w:t>
      </w:r>
    </w:p>
    <w:p>
      <w:pPr>
        <w:adjustRightInd w:val="0"/>
        <w:snapToGrid w:val="0"/>
        <w:spacing w:line="360" w:lineRule="auto"/>
        <w:ind w:firstLine="482" w:firstLineChars="200"/>
        <w:rPr>
          <w:rFonts w:ascii="宋体"/>
          <w:b/>
          <w:sz w:val="24"/>
          <w:u w:val="single"/>
        </w:rPr>
      </w:pPr>
      <w:r>
        <w:rPr>
          <w:rFonts w:hint="eastAsia" w:ascii="宋体" w:hAnsi="宋体"/>
          <w:b/>
          <w:sz w:val="24"/>
          <w:u w:val="single"/>
        </w:rPr>
        <w:t>以上资料提供加盖投标单位公章的复印件，同时提供原件备查。</w:t>
      </w:r>
    </w:p>
    <w:p>
      <w:pPr>
        <w:pStyle w:val="17"/>
        <w:snapToGrid w:val="0"/>
        <w:spacing w:line="360" w:lineRule="auto"/>
        <w:ind w:firstLine="482" w:firstLineChars="200"/>
        <w:rPr>
          <w:rFonts w:ascii="宋体" w:eastAsia="宋体" w:cs="宋体"/>
          <w:sz w:val="24"/>
          <w:szCs w:val="24"/>
        </w:rPr>
      </w:pPr>
      <w:r>
        <w:rPr>
          <w:rFonts w:hint="eastAsia" w:ascii="宋体" w:eastAsia="宋体" w:cs="宋体"/>
          <w:b/>
          <w:sz w:val="24"/>
          <w:szCs w:val="24"/>
        </w:rPr>
        <w:t>二、商务技术响应文件（不能出现报价；一正两副，单独密封并牢固装订）：</w:t>
      </w:r>
    </w:p>
    <w:p>
      <w:pPr>
        <w:pStyle w:val="17"/>
        <w:snapToGrid w:val="0"/>
        <w:spacing w:line="360" w:lineRule="auto"/>
        <w:ind w:firstLine="480" w:firstLineChars="200"/>
        <w:rPr>
          <w:rFonts w:ascii="宋体" w:eastAsia="宋体" w:cs="宋体"/>
          <w:sz w:val="24"/>
          <w:szCs w:val="24"/>
        </w:rPr>
      </w:pPr>
      <w:r>
        <w:rPr>
          <w:rFonts w:hint="eastAsia" w:ascii="宋体" w:eastAsia="宋体" w:cs="宋体"/>
          <w:sz w:val="24"/>
          <w:szCs w:val="24"/>
        </w:rPr>
        <w:t>1、根据商务技术评审因素中涉及的事项提供相应材料；</w:t>
      </w:r>
    </w:p>
    <w:p>
      <w:pPr>
        <w:pStyle w:val="17"/>
        <w:snapToGrid w:val="0"/>
        <w:spacing w:line="360" w:lineRule="auto"/>
        <w:ind w:firstLine="480" w:firstLineChars="200"/>
        <w:rPr>
          <w:rFonts w:ascii="宋体" w:eastAsia="宋体" w:cs="宋体"/>
          <w:sz w:val="24"/>
          <w:szCs w:val="24"/>
        </w:rPr>
      </w:pPr>
      <w:r>
        <w:rPr>
          <w:rFonts w:hint="eastAsia" w:ascii="宋体" w:eastAsia="宋体" w:cs="宋体"/>
          <w:sz w:val="24"/>
          <w:szCs w:val="24"/>
        </w:rPr>
        <w:t>2、商务技术评审因素中未涉及的事项，供应商认为需要提交的其他资料</w:t>
      </w:r>
    </w:p>
    <w:p>
      <w:pPr>
        <w:pStyle w:val="17"/>
        <w:snapToGrid w:val="0"/>
        <w:spacing w:line="360" w:lineRule="auto"/>
        <w:ind w:firstLine="480" w:firstLineChars="200"/>
        <w:rPr>
          <w:rFonts w:ascii="宋体" w:eastAsia="宋体" w:cs="宋体"/>
          <w:sz w:val="24"/>
          <w:szCs w:val="24"/>
        </w:rPr>
      </w:pPr>
      <w:r>
        <w:rPr>
          <w:rFonts w:hint="eastAsia" w:ascii="宋体" w:eastAsia="宋体" w:cs="宋体"/>
          <w:sz w:val="24"/>
          <w:szCs w:val="24"/>
        </w:rPr>
        <w:t>为方便磋商评审，请供应商按磋商评审办法中所涉及的事项顺序进行编制，可以补充相关材料。</w:t>
      </w:r>
    </w:p>
    <w:p>
      <w:pPr>
        <w:pStyle w:val="17"/>
        <w:snapToGrid w:val="0"/>
        <w:spacing w:line="360" w:lineRule="auto"/>
        <w:ind w:firstLine="482" w:firstLineChars="200"/>
        <w:rPr>
          <w:rFonts w:ascii="宋体" w:eastAsia="宋体" w:cs="宋体"/>
          <w:b/>
          <w:sz w:val="24"/>
          <w:szCs w:val="24"/>
        </w:rPr>
      </w:pPr>
      <w:r>
        <w:rPr>
          <w:rFonts w:hint="eastAsia" w:ascii="宋体" w:eastAsia="宋体" w:cs="宋体"/>
          <w:b/>
          <w:sz w:val="24"/>
          <w:szCs w:val="24"/>
        </w:rPr>
        <w:t>三、价格响应文件（一正两副，单独密封并牢固装订），不得出现在商务技术响应文件部分：</w:t>
      </w:r>
    </w:p>
    <w:p>
      <w:pPr>
        <w:pStyle w:val="17"/>
        <w:snapToGrid w:val="0"/>
        <w:spacing w:line="360" w:lineRule="auto"/>
        <w:ind w:firstLine="480" w:firstLineChars="200"/>
        <w:rPr>
          <w:rFonts w:ascii="宋体" w:eastAsia="宋体" w:cs="宋体"/>
          <w:sz w:val="24"/>
          <w:szCs w:val="24"/>
        </w:rPr>
      </w:pPr>
      <w:r>
        <w:rPr>
          <w:rFonts w:hint="eastAsia" w:ascii="宋体" w:eastAsia="宋体" w:cs="宋体"/>
          <w:sz w:val="24"/>
          <w:szCs w:val="24"/>
        </w:rPr>
        <w:t>1、竞争性磋商响应函（格式参见第七章）；</w:t>
      </w:r>
    </w:p>
    <w:p>
      <w:pPr>
        <w:pStyle w:val="17"/>
        <w:snapToGrid w:val="0"/>
        <w:spacing w:line="360" w:lineRule="auto"/>
        <w:ind w:firstLine="480" w:firstLineChars="200"/>
        <w:rPr>
          <w:rFonts w:ascii="宋体" w:eastAsia="宋体" w:cs="宋体"/>
          <w:sz w:val="24"/>
          <w:szCs w:val="24"/>
        </w:rPr>
      </w:pPr>
      <w:r>
        <w:rPr>
          <w:rFonts w:hint="eastAsia" w:ascii="宋体" w:eastAsia="宋体" w:cs="宋体"/>
          <w:sz w:val="24"/>
          <w:szCs w:val="24"/>
        </w:rPr>
        <w:t>2、报价总表（格式参见第七章）；</w:t>
      </w:r>
    </w:p>
    <w:p>
      <w:pPr>
        <w:pStyle w:val="17"/>
        <w:snapToGrid w:val="0"/>
        <w:spacing w:line="360" w:lineRule="auto"/>
        <w:ind w:firstLine="480" w:firstLineChars="200"/>
        <w:rPr>
          <w:rFonts w:ascii="宋体" w:eastAsia="宋体" w:cs="宋体"/>
          <w:sz w:val="24"/>
          <w:szCs w:val="24"/>
        </w:rPr>
        <w:sectPr>
          <w:pgSz w:w="11907" w:h="16839"/>
          <w:pgMar w:top="1440" w:right="1417" w:bottom="873" w:left="1417" w:header="720" w:footer="720" w:gutter="0"/>
          <w:cols w:space="720" w:num="1"/>
          <w:docGrid w:linePitch="286" w:charSpace="0"/>
        </w:sectPr>
      </w:pPr>
      <w:r>
        <w:rPr>
          <w:rFonts w:hint="eastAsia" w:ascii="宋体" w:eastAsia="宋体" w:cs="宋体"/>
          <w:sz w:val="24"/>
          <w:szCs w:val="24"/>
        </w:rPr>
        <w:t>3、磋商响应报价明细表（格式自拟）</w:t>
      </w:r>
    </w:p>
    <w:p>
      <w:pPr>
        <w:pStyle w:val="17"/>
        <w:snapToGrid w:val="0"/>
        <w:spacing w:line="300" w:lineRule="auto"/>
        <w:ind w:firstLine="0"/>
        <w:contextualSpacing/>
        <w:rPr>
          <w:rFonts w:ascii="宋体" w:eastAsia="宋体" w:cs="宋体"/>
          <w:b/>
          <w:sz w:val="24"/>
          <w:szCs w:val="24"/>
        </w:rPr>
      </w:pPr>
      <w:bookmarkStart w:id="61" w:name="_Toc27640"/>
      <w:bookmarkStart w:id="62" w:name="_Toc12666"/>
    </w:p>
    <w:p>
      <w:pPr>
        <w:pStyle w:val="17"/>
        <w:snapToGrid w:val="0"/>
        <w:spacing w:line="300" w:lineRule="auto"/>
        <w:ind w:firstLine="0"/>
        <w:contextualSpacing/>
        <w:rPr>
          <w:rFonts w:ascii="宋体" w:eastAsia="宋体" w:cs="宋体"/>
          <w:b/>
          <w:sz w:val="28"/>
          <w:szCs w:val="28"/>
        </w:rPr>
      </w:pPr>
      <w:r>
        <w:rPr>
          <w:rFonts w:ascii="宋体" w:eastAsia="宋体" w:cs="宋体"/>
          <w:b/>
          <w:sz w:val="24"/>
          <w:szCs w:val="24"/>
        </w:rPr>
        <w:t>A</w:t>
      </w:r>
      <w:r>
        <w:rPr>
          <w:rFonts w:hint="eastAsia" w:ascii="宋体" w:eastAsia="宋体" w:cs="宋体"/>
          <w:b/>
          <w:sz w:val="24"/>
          <w:szCs w:val="24"/>
        </w:rPr>
        <w:t>、资格审查文件（一个密封包，含一正二副文件）</w:t>
      </w:r>
    </w:p>
    <w:p>
      <w:pPr>
        <w:pStyle w:val="17"/>
        <w:snapToGrid w:val="0"/>
        <w:spacing w:line="300" w:lineRule="auto"/>
        <w:ind w:firstLine="0"/>
        <w:contextualSpacing/>
        <w:jc w:val="center"/>
        <w:rPr>
          <w:rFonts w:ascii="宋体" w:eastAsia="宋体" w:cs="宋体"/>
          <w:b/>
          <w:sz w:val="28"/>
          <w:szCs w:val="28"/>
        </w:rPr>
      </w:pPr>
    </w:p>
    <w:p>
      <w:pPr>
        <w:spacing w:line="360" w:lineRule="auto"/>
        <w:jc w:val="center"/>
        <w:outlineLvl w:val="2"/>
        <w:rPr>
          <w:rFonts w:ascii="宋体" w:hAnsi="宋体" w:cs="宋体"/>
          <w:b/>
          <w:sz w:val="28"/>
        </w:rPr>
      </w:pPr>
      <w:r>
        <w:rPr>
          <w:rFonts w:hint="eastAsia" w:ascii="宋体" w:hAnsi="宋体" w:cs="宋体"/>
          <w:b/>
          <w:sz w:val="28"/>
        </w:rPr>
        <w:t>一、关于资格的声明函</w:t>
      </w:r>
    </w:p>
    <w:p>
      <w:pPr>
        <w:snapToGrid w:val="0"/>
        <w:spacing w:line="360" w:lineRule="auto"/>
        <w:contextualSpacing/>
        <w:rPr>
          <w:rFonts w:ascii="宋体" w:hAnsi="宋体" w:cs="宋体"/>
          <w:b/>
          <w:sz w:val="24"/>
        </w:rPr>
      </w:pPr>
    </w:p>
    <w:p>
      <w:pPr>
        <w:snapToGrid w:val="0"/>
        <w:spacing w:line="360" w:lineRule="auto"/>
        <w:contextualSpacing/>
        <w:rPr>
          <w:rFonts w:ascii="宋体" w:hAnsi="宋体" w:cs="宋体"/>
          <w:b/>
          <w:sz w:val="24"/>
        </w:rPr>
      </w:pPr>
      <w:r>
        <w:rPr>
          <w:rFonts w:hint="eastAsia" w:ascii="宋体" w:hAnsi="宋体" w:cs="宋体"/>
          <w:b/>
          <w:sz w:val="24"/>
          <w:lang w:val="zh-CN"/>
        </w:rPr>
        <w:t>江苏省江海博物馆</w:t>
      </w:r>
      <w:r>
        <w:rPr>
          <w:rFonts w:hint="eastAsia" w:ascii="宋体" w:hAnsi="宋体" w:cs="宋体"/>
          <w:b/>
          <w:sz w:val="24"/>
        </w:rPr>
        <w:t>：</w:t>
      </w:r>
    </w:p>
    <w:p>
      <w:pPr>
        <w:snapToGrid w:val="0"/>
        <w:spacing w:line="360" w:lineRule="auto"/>
        <w:ind w:firstLine="480" w:firstLineChars="200"/>
        <w:contextualSpacing/>
        <w:rPr>
          <w:rFonts w:ascii="宋体" w:hAnsi="宋体" w:cs="宋体"/>
          <w:sz w:val="24"/>
        </w:rPr>
      </w:pPr>
      <w:r>
        <w:rPr>
          <w:rFonts w:hint="eastAsia" w:ascii="宋体" w:hAnsi="宋体" w:cs="宋体"/>
          <w:sz w:val="24"/>
        </w:rPr>
        <w:t>我公司认真对照磋商公告，符合贵方提出的资格要求，自愿参加磋商响应，并保证提供的资料文件是准确的和真实的。提供虚假材料的愿意承担相应的法律责任。</w:t>
      </w:r>
    </w:p>
    <w:p>
      <w:pPr>
        <w:pStyle w:val="7"/>
        <w:snapToGrid w:val="0"/>
        <w:spacing w:line="360" w:lineRule="auto"/>
        <w:ind w:firstLine="480" w:firstLineChars="200"/>
        <w:contextualSpacing/>
        <w:jc w:val="left"/>
        <w:rPr>
          <w:rFonts w:hAnsi="宋体" w:cs="宋体"/>
          <w:sz w:val="24"/>
        </w:rPr>
      </w:pPr>
      <w:r>
        <w:rPr>
          <w:rFonts w:hint="eastAsia" w:hAnsi="宋体" w:cs="宋体"/>
          <w:sz w:val="24"/>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pPr>
        <w:pStyle w:val="5"/>
        <w:snapToGrid w:val="0"/>
        <w:spacing w:line="300" w:lineRule="auto"/>
        <w:contextualSpacing/>
        <w:rPr>
          <w:rFonts w:ascii="宋体" w:hAnsi="宋体" w:eastAsia="宋体" w:cs="宋体"/>
        </w:rPr>
      </w:pPr>
    </w:p>
    <w:tbl>
      <w:tblPr>
        <w:tblStyle w:val="13"/>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vAlign w:val="center"/>
          </w:tcPr>
          <w:p>
            <w:pPr>
              <w:pStyle w:val="5"/>
              <w:snapToGrid w:val="0"/>
              <w:spacing w:line="300" w:lineRule="auto"/>
              <w:ind w:firstLine="0"/>
              <w:contextualSpacing/>
              <w:jc w:val="center"/>
              <w:rPr>
                <w:rFonts w:ascii="宋体" w:hAnsi="宋体" w:eastAsia="宋体" w:cs="宋体"/>
                <w:b/>
              </w:rPr>
            </w:pPr>
            <w:r>
              <w:rPr>
                <w:rFonts w:hint="eastAsia" w:ascii="宋体" w:hAnsi="宋体" w:eastAsia="宋体" w:cs="宋体"/>
                <w:b/>
              </w:rPr>
              <w:t>时 间</w:t>
            </w:r>
          </w:p>
        </w:tc>
        <w:tc>
          <w:tcPr>
            <w:tcW w:w="2977" w:type="dxa"/>
            <w:vAlign w:val="center"/>
          </w:tcPr>
          <w:p>
            <w:pPr>
              <w:pStyle w:val="5"/>
              <w:snapToGrid w:val="0"/>
              <w:spacing w:line="300" w:lineRule="auto"/>
              <w:ind w:firstLine="0"/>
              <w:contextualSpacing/>
              <w:jc w:val="center"/>
              <w:rPr>
                <w:rFonts w:ascii="宋体" w:hAnsi="宋体" w:eastAsia="宋体" w:cs="宋体"/>
                <w:b/>
              </w:rPr>
            </w:pPr>
            <w:r>
              <w:rPr>
                <w:rFonts w:hint="eastAsia" w:ascii="宋体" w:hAnsi="宋体" w:eastAsia="宋体" w:cs="宋体"/>
                <w:b/>
              </w:rPr>
              <w:t>受处理的原因</w:t>
            </w:r>
          </w:p>
          <w:p>
            <w:pPr>
              <w:pStyle w:val="5"/>
              <w:snapToGrid w:val="0"/>
              <w:spacing w:line="300" w:lineRule="auto"/>
              <w:ind w:firstLine="0"/>
              <w:contextualSpacing/>
              <w:jc w:val="center"/>
              <w:rPr>
                <w:rFonts w:ascii="宋体" w:hAnsi="宋体" w:eastAsia="宋体" w:cs="宋体"/>
              </w:rPr>
            </w:pPr>
            <w:r>
              <w:rPr>
                <w:rFonts w:hint="eastAsia" w:ascii="宋体" w:hAnsi="宋体" w:eastAsia="宋体" w:cs="宋体"/>
              </w:rPr>
              <w:t>（如在政府采购活动中受处理的，注明采购项目名称及处理原因）</w:t>
            </w:r>
          </w:p>
        </w:tc>
        <w:tc>
          <w:tcPr>
            <w:tcW w:w="2977" w:type="dxa"/>
            <w:vAlign w:val="center"/>
          </w:tcPr>
          <w:p>
            <w:pPr>
              <w:pStyle w:val="5"/>
              <w:snapToGrid w:val="0"/>
              <w:spacing w:line="300" w:lineRule="auto"/>
              <w:ind w:firstLine="0"/>
              <w:contextualSpacing/>
              <w:jc w:val="center"/>
              <w:rPr>
                <w:rFonts w:ascii="宋体" w:hAnsi="宋体" w:eastAsia="宋体" w:cs="宋体"/>
                <w:b/>
              </w:rPr>
            </w:pPr>
            <w:r>
              <w:rPr>
                <w:rFonts w:hint="eastAsia" w:ascii="宋体" w:hAnsi="宋体" w:eastAsia="宋体" w:cs="宋体"/>
                <w:b/>
              </w:rPr>
              <w:t>处理的内容</w:t>
            </w:r>
          </w:p>
          <w:p>
            <w:pPr>
              <w:pStyle w:val="5"/>
              <w:snapToGrid w:val="0"/>
              <w:spacing w:line="300" w:lineRule="auto"/>
              <w:ind w:firstLine="0"/>
              <w:contextualSpacing/>
              <w:jc w:val="center"/>
              <w:rPr>
                <w:rFonts w:ascii="宋体" w:hAnsi="宋体" w:eastAsia="宋体" w:cs="宋体"/>
              </w:rPr>
            </w:pPr>
            <w:r>
              <w:rPr>
                <w:rFonts w:hint="eastAsia" w:ascii="宋体" w:hAnsi="宋体" w:eastAsia="宋体" w:cs="宋体"/>
              </w:rPr>
              <w:t>（如受到禁止一段时期参加某种项目的政府采购活动的，要说明解禁时间）</w:t>
            </w:r>
          </w:p>
        </w:tc>
        <w:tc>
          <w:tcPr>
            <w:tcW w:w="1276" w:type="dxa"/>
            <w:vAlign w:val="center"/>
          </w:tcPr>
          <w:p>
            <w:pPr>
              <w:pStyle w:val="5"/>
              <w:snapToGrid w:val="0"/>
              <w:spacing w:line="300" w:lineRule="auto"/>
              <w:ind w:firstLine="0"/>
              <w:contextualSpacing/>
              <w:jc w:val="center"/>
              <w:rPr>
                <w:rFonts w:ascii="宋体" w:hAnsi="宋体" w:eastAsia="宋体" w:cs="宋体"/>
                <w:b/>
              </w:rPr>
            </w:pPr>
            <w:r>
              <w:rPr>
                <w:rFonts w:hint="eastAsia" w:ascii="宋体" w:hAnsi="宋体" w:eastAsia="宋体" w:cs="宋体"/>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jc w:val="center"/>
        </w:trPr>
        <w:tc>
          <w:tcPr>
            <w:tcW w:w="1242" w:type="dxa"/>
          </w:tcPr>
          <w:p>
            <w:pPr>
              <w:pStyle w:val="5"/>
              <w:snapToGrid w:val="0"/>
              <w:spacing w:line="300" w:lineRule="auto"/>
              <w:ind w:firstLine="0"/>
              <w:contextualSpacing/>
              <w:rPr>
                <w:rFonts w:ascii="宋体" w:hAnsi="宋体" w:eastAsia="宋体" w:cs="宋体"/>
              </w:rPr>
            </w:pPr>
          </w:p>
        </w:tc>
        <w:tc>
          <w:tcPr>
            <w:tcW w:w="2977" w:type="dxa"/>
          </w:tcPr>
          <w:p>
            <w:pPr>
              <w:pStyle w:val="5"/>
              <w:snapToGrid w:val="0"/>
              <w:spacing w:line="300" w:lineRule="auto"/>
              <w:ind w:firstLine="0"/>
              <w:contextualSpacing/>
              <w:rPr>
                <w:rFonts w:ascii="宋体" w:hAnsi="宋体" w:eastAsia="宋体" w:cs="宋体"/>
              </w:rPr>
            </w:pPr>
          </w:p>
        </w:tc>
        <w:tc>
          <w:tcPr>
            <w:tcW w:w="2977" w:type="dxa"/>
          </w:tcPr>
          <w:p>
            <w:pPr>
              <w:pStyle w:val="5"/>
              <w:snapToGrid w:val="0"/>
              <w:spacing w:line="300" w:lineRule="auto"/>
              <w:ind w:firstLine="0"/>
              <w:contextualSpacing/>
              <w:rPr>
                <w:rFonts w:ascii="宋体" w:hAnsi="宋体" w:eastAsia="宋体" w:cs="宋体"/>
              </w:rPr>
            </w:pPr>
          </w:p>
        </w:tc>
        <w:tc>
          <w:tcPr>
            <w:tcW w:w="1276" w:type="dxa"/>
          </w:tcPr>
          <w:p>
            <w:pPr>
              <w:pStyle w:val="5"/>
              <w:snapToGrid w:val="0"/>
              <w:spacing w:line="300" w:lineRule="auto"/>
              <w:ind w:firstLine="0"/>
              <w:contextualSpacing/>
              <w:rPr>
                <w:rFonts w:ascii="宋体" w:hAnsi="宋体" w:eastAsia="宋体" w:cs="宋体"/>
              </w:rPr>
            </w:pPr>
          </w:p>
        </w:tc>
      </w:tr>
    </w:tbl>
    <w:p>
      <w:pPr>
        <w:snapToGrid w:val="0"/>
        <w:spacing w:line="360" w:lineRule="auto"/>
        <w:ind w:firstLine="480" w:firstLineChars="200"/>
        <w:contextualSpacing/>
        <w:rPr>
          <w:rFonts w:ascii="宋体" w:hAnsi="宋体" w:cs="宋体"/>
          <w:sz w:val="24"/>
        </w:rPr>
      </w:pPr>
    </w:p>
    <w:p>
      <w:pPr>
        <w:snapToGrid w:val="0"/>
        <w:spacing w:line="360" w:lineRule="auto"/>
        <w:ind w:firstLine="480" w:firstLineChars="200"/>
        <w:contextualSpacing/>
        <w:rPr>
          <w:rFonts w:ascii="宋体" w:hAnsi="宋体" w:cs="宋体"/>
          <w:sz w:val="24"/>
        </w:rPr>
      </w:pPr>
    </w:p>
    <w:p>
      <w:pPr>
        <w:snapToGrid w:val="0"/>
        <w:spacing w:line="360" w:lineRule="auto"/>
        <w:ind w:firstLine="480" w:firstLineChars="200"/>
        <w:contextualSpacing/>
        <w:rPr>
          <w:rFonts w:ascii="宋体" w:hAnsi="宋体" w:cs="宋体"/>
          <w:sz w:val="24"/>
        </w:rPr>
      </w:pPr>
    </w:p>
    <w:p>
      <w:pPr>
        <w:snapToGrid w:val="0"/>
        <w:spacing w:line="480" w:lineRule="auto"/>
        <w:ind w:right="720" w:firstLine="4800" w:firstLineChars="2000"/>
        <w:contextualSpacing/>
        <w:rPr>
          <w:rFonts w:ascii="宋体" w:hAnsi="宋体" w:cs="宋体"/>
          <w:sz w:val="24"/>
        </w:rPr>
      </w:pPr>
      <w:r>
        <w:rPr>
          <w:rFonts w:hint="eastAsia" w:ascii="宋体" w:hAnsi="宋体" w:cs="宋体"/>
          <w:sz w:val="24"/>
        </w:rPr>
        <w:t>供应商名称（盖章）：</w:t>
      </w:r>
    </w:p>
    <w:p>
      <w:pPr>
        <w:snapToGrid w:val="0"/>
        <w:spacing w:line="480" w:lineRule="auto"/>
        <w:ind w:right="720" w:firstLine="480" w:firstLineChars="200"/>
        <w:contextualSpacing/>
        <w:jc w:val="center"/>
        <w:rPr>
          <w:rFonts w:ascii="宋体" w:hAnsi="宋体" w:cs="宋体"/>
          <w:sz w:val="24"/>
        </w:rPr>
      </w:pPr>
      <w:r>
        <w:rPr>
          <w:rFonts w:hint="eastAsia" w:ascii="宋体" w:hAnsi="宋体" w:cs="宋体"/>
          <w:sz w:val="24"/>
        </w:rPr>
        <w:t xml:space="preserve">               时间：</w:t>
      </w:r>
    </w:p>
    <w:p>
      <w:pPr>
        <w:snapToGrid w:val="0"/>
        <w:spacing w:line="360" w:lineRule="auto"/>
        <w:ind w:firstLine="480" w:firstLineChars="200"/>
        <w:contextualSpacing/>
        <w:rPr>
          <w:rFonts w:ascii="宋体" w:hAnsi="宋体" w:cs="宋体"/>
          <w:sz w:val="24"/>
        </w:rPr>
      </w:pPr>
    </w:p>
    <w:p>
      <w:pPr>
        <w:snapToGrid w:val="0"/>
        <w:spacing w:line="360" w:lineRule="auto"/>
        <w:ind w:firstLine="480" w:firstLineChars="200"/>
        <w:contextualSpacing/>
        <w:rPr>
          <w:rFonts w:ascii="宋体" w:hAnsi="宋体" w:cs="宋体"/>
          <w:sz w:val="24"/>
        </w:rPr>
      </w:pPr>
    </w:p>
    <w:p>
      <w:pPr>
        <w:snapToGrid w:val="0"/>
        <w:spacing w:line="360" w:lineRule="auto"/>
        <w:ind w:firstLine="480" w:firstLineChars="200"/>
        <w:contextualSpacing/>
        <w:rPr>
          <w:rFonts w:ascii="宋体" w:hAnsi="宋体" w:cs="宋体"/>
          <w:sz w:val="24"/>
        </w:rPr>
      </w:pPr>
    </w:p>
    <w:p>
      <w:pPr>
        <w:spacing w:line="360" w:lineRule="auto"/>
        <w:jc w:val="center"/>
        <w:outlineLvl w:val="2"/>
        <w:rPr>
          <w:rFonts w:ascii="宋体" w:hAnsi="宋体" w:cs="宋体"/>
          <w:b/>
          <w:sz w:val="28"/>
        </w:rPr>
      </w:pPr>
      <w:r>
        <w:rPr>
          <w:rFonts w:hint="eastAsia" w:ascii="宋体" w:hAnsi="宋体" w:cs="宋体"/>
          <w:b/>
          <w:sz w:val="28"/>
        </w:rPr>
        <w:t>二、法定代表人身份证明书</w:t>
      </w:r>
    </w:p>
    <w:p>
      <w:pPr>
        <w:snapToGrid w:val="0"/>
        <w:spacing w:line="360" w:lineRule="auto"/>
        <w:ind w:firstLine="480" w:firstLineChars="200"/>
        <w:contextualSpacing/>
        <w:rPr>
          <w:rFonts w:ascii="宋体" w:hAnsi="宋体" w:cs="宋体"/>
          <w:sz w:val="24"/>
        </w:rPr>
      </w:pPr>
    </w:p>
    <w:p>
      <w:pPr>
        <w:snapToGrid w:val="0"/>
        <w:spacing w:line="360" w:lineRule="auto"/>
        <w:ind w:firstLine="480" w:firstLineChars="200"/>
        <w:contextualSpacing/>
        <w:rPr>
          <w:rFonts w:ascii="宋体" w:hAnsi="宋体" w:cs="宋体"/>
          <w:sz w:val="24"/>
        </w:rPr>
      </w:pPr>
      <w:r>
        <w:rPr>
          <w:rFonts w:hint="eastAsia" w:ascii="宋体" w:hAnsi="宋体" w:cs="宋体"/>
          <w:sz w:val="24"/>
          <w:u w:val="single"/>
        </w:rPr>
        <w:t xml:space="preserve">          </w:t>
      </w:r>
      <w:r>
        <w:rPr>
          <w:rFonts w:hint="eastAsia" w:ascii="宋体" w:hAnsi="宋体" w:cs="宋体"/>
          <w:sz w:val="24"/>
        </w:rPr>
        <w:t>先生／女士：</w:t>
      </w:r>
      <w:r>
        <w:rPr>
          <w:rFonts w:hint="eastAsia" w:ascii="宋体" w:hAnsi="宋体" w:cs="宋体"/>
          <w:sz w:val="24"/>
          <w:u w:val="single"/>
        </w:rPr>
        <w:t>现任</w:t>
      </w:r>
      <w:r>
        <w:rPr>
          <w:rFonts w:hint="eastAsia" w:ascii="宋体" w:hAnsi="宋体" w:cs="宋体"/>
          <w:sz w:val="24"/>
        </w:rPr>
        <w:t>我单位</w:t>
      </w:r>
      <w:r>
        <w:rPr>
          <w:rFonts w:hint="eastAsia" w:ascii="宋体" w:hAnsi="宋体" w:cs="宋体"/>
          <w:sz w:val="24"/>
          <w:u w:val="single"/>
        </w:rPr>
        <w:t>　　　　　　　</w:t>
      </w:r>
      <w:r>
        <w:rPr>
          <w:rFonts w:hint="eastAsia" w:ascii="宋体" w:hAnsi="宋体" w:cs="宋体"/>
          <w:sz w:val="24"/>
        </w:rPr>
        <w:t>职务，为法定代表人，特此证明。</w:t>
      </w:r>
    </w:p>
    <w:p>
      <w:pPr>
        <w:snapToGrid w:val="0"/>
        <w:spacing w:line="360" w:lineRule="auto"/>
        <w:ind w:firstLine="480" w:firstLineChars="200"/>
        <w:contextualSpacing/>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snapToGrid w:val="0"/>
        <w:spacing w:line="360" w:lineRule="auto"/>
        <w:ind w:firstLine="482" w:firstLineChars="200"/>
        <w:contextualSpacing/>
        <w:rPr>
          <w:rFonts w:ascii="宋体" w:hAnsi="宋体" w:cs="宋体"/>
          <w:b/>
          <w:sz w:val="24"/>
        </w:rPr>
      </w:pPr>
    </w:p>
    <w:p>
      <w:pPr>
        <w:snapToGrid w:val="0"/>
        <w:spacing w:line="360" w:lineRule="auto"/>
        <w:ind w:firstLine="482" w:firstLineChars="200"/>
        <w:contextualSpacing/>
        <w:rPr>
          <w:rFonts w:ascii="宋体" w:hAnsi="宋体" w:cs="宋体"/>
          <w:b/>
          <w:sz w:val="24"/>
        </w:rPr>
      </w:pP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注：提供法定代表人的身份证复印件盖公章</w:t>
      </w:r>
    </w:p>
    <w:p>
      <w:pPr>
        <w:pStyle w:val="18"/>
        <w:spacing w:line="360" w:lineRule="auto"/>
        <w:ind w:firstLine="482" w:firstLineChars="200"/>
        <w:jc w:val="both"/>
        <w:rPr>
          <w:rFonts w:ascii="宋体" w:hAnsi="宋体" w:eastAsia="宋体" w:cs="宋体"/>
          <w:b/>
        </w:rPr>
      </w:pPr>
    </w:p>
    <w:p>
      <w:pPr>
        <w:pStyle w:val="18"/>
        <w:spacing w:line="360" w:lineRule="auto"/>
        <w:ind w:firstLine="482" w:firstLineChars="200"/>
        <w:jc w:val="both"/>
        <w:rPr>
          <w:rFonts w:ascii="宋体" w:hAnsi="宋体" w:eastAsia="宋体" w:cs="宋体"/>
          <w:b/>
        </w:rPr>
      </w:pP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供应商名称（盖章）：</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时间：</w:t>
      </w:r>
    </w:p>
    <w:p>
      <w:pPr>
        <w:pStyle w:val="18"/>
        <w:spacing w:line="360" w:lineRule="auto"/>
        <w:ind w:firstLine="482" w:firstLineChars="200"/>
        <w:jc w:val="both"/>
        <w:rPr>
          <w:rFonts w:ascii="宋体" w:hAnsi="宋体" w:eastAsia="宋体" w:cs="宋体"/>
          <w:b/>
        </w:rPr>
      </w:pPr>
    </w:p>
    <w:p>
      <w:pPr>
        <w:pStyle w:val="18"/>
        <w:spacing w:line="360" w:lineRule="auto"/>
        <w:ind w:firstLine="482" w:firstLineChars="200"/>
        <w:jc w:val="both"/>
        <w:rPr>
          <w:rFonts w:ascii="宋体" w:hAnsi="宋体" w:eastAsia="宋体" w:cs="宋体"/>
          <w:b/>
        </w:rPr>
      </w:pPr>
    </w:p>
    <w:p>
      <w:pPr>
        <w:pStyle w:val="18"/>
        <w:spacing w:line="360" w:lineRule="auto"/>
        <w:ind w:firstLine="482" w:firstLineChars="200"/>
        <w:jc w:val="both"/>
        <w:rPr>
          <w:rFonts w:ascii="宋体" w:hAnsi="宋体" w:eastAsia="宋体" w:cs="宋体"/>
          <w:b/>
        </w:rPr>
      </w:pPr>
    </w:p>
    <w:p>
      <w:pPr>
        <w:snapToGrid w:val="0"/>
        <w:spacing w:line="300" w:lineRule="auto"/>
        <w:contextualSpacing/>
        <w:jc w:val="center"/>
        <w:rPr>
          <w:rFonts w:ascii="宋体" w:hAnsi="宋体" w:cs="宋体"/>
          <w:b/>
          <w:sz w:val="24"/>
        </w:rPr>
        <w:sectPr>
          <w:pgSz w:w="11906" w:h="16838"/>
          <w:pgMar w:top="1134" w:right="1134" w:bottom="1134" w:left="1621" w:header="851" w:footer="992" w:gutter="0"/>
          <w:pgNumType w:fmt="numberInDash"/>
          <w:cols w:space="720" w:num="1"/>
          <w:docGrid w:linePitch="312" w:charSpace="0"/>
        </w:sectPr>
      </w:pPr>
    </w:p>
    <w:p>
      <w:pPr>
        <w:pStyle w:val="17"/>
        <w:snapToGrid w:val="0"/>
        <w:spacing w:line="300" w:lineRule="auto"/>
        <w:ind w:firstLine="0"/>
        <w:contextualSpacing/>
        <w:jc w:val="center"/>
        <w:rPr>
          <w:rFonts w:ascii="宋体" w:eastAsia="宋体" w:cs="宋体"/>
          <w:b/>
          <w:sz w:val="24"/>
          <w:szCs w:val="24"/>
        </w:rPr>
      </w:pPr>
    </w:p>
    <w:p>
      <w:pPr>
        <w:spacing w:line="360" w:lineRule="auto"/>
        <w:jc w:val="center"/>
        <w:outlineLvl w:val="2"/>
        <w:rPr>
          <w:rFonts w:ascii="宋体" w:hAnsi="宋体" w:cs="宋体"/>
          <w:b/>
          <w:sz w:val="28"/>
        </w:rPr>
      </w:pPr>
      <w:r>
        <w:rPr>
          <w:rFonts w:hint="eastAsia" w:ascii="宋体" w:hAnsi="宋体" w:cs="宋体"/>
          <w:b/>
          <w:sz w:val="28"/>
        </w:rPr>
        <w:t>三、法定代表人授权委托书（如需）</w:t>
      </w:r>
    </w:p>
    <w:p>
      <w:pPr>
        <w:snapToGrid w:val="0"/>
        <w:spacing w:line="300" w:lineRule="auto"/>
        <w:ind w:firstLine="245"/>
        <w:contextualSpacing/>
        <w:jc w:val="center"/>
        <w:rPr>
          <w:rFonts w:ascii="宋体" w:hAnsi="宋体" w:cs="宋体"/>
          <w:b/>
          <w:sz w:val="24"/>
        </w:rPr>
      </w:pPr>
    </w:p>
    <w:p>
      <w:pPr>
        <w:snapToGrid w:val="0"/>
        <w:spacing w:line="360" w:lineRule="auto"/>
        <w:contextualSpacing/>
        <w:rPr>
          <w:rFonts w:ascii="宋体" w:hAnsi="宋体" w:cs="宋体"/>
          <w:b/>
          <w:sz w:val="24"/>
        </w:rPr>
      </w:pPr>
      <w:r>
        <w:rPr>
          <w:rFonts w:hint="eastAsia" w:ascii="宋体" w:hAnsi="宋体" w:cs="宋体"/>
          <w:b/>
          <w:sz w:val="24"/>
          <w:lang w:val="zh-CN"/>
        </w:rPr>
        <w:t>江苏省江海博物馆</w:t>
      </w:r>
      <w:r>
        <w:rPr>
          <w:rFonts w:hint="eastAsia" w:ascii="宋体" w:hAnsi="宋体" w:cs="宋体"/>
          <w:b/>
          <w:sz w:val="24"/>
        </w:rPr>
        <w:t>：</w:t>
      </w:r>
    </w:p>
    <w:p>
      <w:pPr>
        <w:pStyle w:val="7"/>
        <w:snapToGrid w:val="0"/>
        <w:spacing w:line="360" w:lineRule="auto"/>
        <w:ind w:firstLine="480" w:firstLineChars="200"/>
        <w:contextualSpacing/>
        <w:rPr>
          <w:rFonts w:hAnsi="宋体" w:cs="宋体"/>
          <w:sz w:val="24"/>
        </w:rPr>
      </w:pPr>
      <w:r>
        <w:rPr>
          <w:rFonts w:hint="eastAsia" w:hAnsi="宋体" w:cs="宋体"/>
          <w:sz w:val="24"/>
        </w:rPr>
        <w:t xml:space="preserve">  本授权委托书声明：我</w:t>
      </w:r>
      <w:r>
        <w:rPr>
          <w:rFonts w:hint="eastAsia" w:hAnsi="宋体" w:cs="宋体"/>
          <w:sz w:val="24"/>
          <w:u w:val="single"/>
        </w:rPr>
        <w:t>　　   　</w:t>
      </w:r>
      <w:r>
        <w:rPr>
          <w:rFonts w:hint="eastAsia" w:hAnsi="宋体" w:cs="宋体"/>
          <w:sz w:val="24"/>
        </w:rPr>
        <w:t>（姓名）系</w:t>
      </w:r>
      <w:r>
        <w:rPr>
          <w:rFonts w:hint="eastAsia" w:hAnsi="宋体" w:cs="宋体"/>
          <w:sz w:val="24"/>
          <w:u w:val="single"/>
        </w:rPr>
        <w:t>　　  　</w:t>
      </w:r>
      <w:r>
        <w:rPr>
          <w:rFonts w:hint="eastAsia" w:hAnsi="宋体" w:cs="宋体"/>
          <w:sz w:val="24"/>
        </w:rPr>
        <w:t>（响应人名称）的法定代表人，现授权委托</w:t>
      </w:r>
      <w:r>
        <w:rPr>
          <w:rFonts w:hint="eastAsia" w:hAnsi="宋体" w:cs="宋体"/>
          <w:sz w:val="24"/>
          <w:u w:val="single"/>
        </w:rPr>
        <w:t>　　   （</w:t>
      </w:r>
      <w:r>
        <w:rPr>
          <w:rFonts w:hint="eastAsia" w:hAnsi="宋体" w:cs="宋体"/>
          <w:sz w:val="24"/>
        </w:rPr>
        <w:t>姓名）为我公司代理人，以本公司的名义参加本项目的响应活动。代理人在开标、评审、合同谈判过程中所签署的一切文件和处理与之有关的一切事务，我均予以承认。</w:t>
      </w:r>
    </w:p>
    <w:p>
      <w:pPr>
        <w:pStyle w:val="7"/>
        <w:snapToGrid w:val="0"/>
        <w:spacing w:line="360" w:lineRule="auto"/>
        <w:ind w:firstLine="480" w:firstLineChars="200"/>
        <w:contextualSpacing/>
        <w:rPr>
          <w:rFonts w:hAnsi="宋体" w:cs="宋体"/>
          <w:sz w:val="24"/>
        </w:rPr>
      </w:pPr>
      <w:r>
        <w:rPr>
          <w:rFonts w:hint="eastAsia" w:hAnsi="宋体" w:cs="宋体"/>
          <w:sz w:val="24"/>
        </w:rPr>
        <w:t>被委托授权人无转委权。特此委托。</w:t>
      </w:r>
    </w:p>
    <w:p>
      <w:pPr>
        <w:pStyle w:val="7"/>
        <w:snapToGrid w:val="0"/>
        <w:spacing w:line="360" w:lineRule="auto"/>
        <w:ind w:firstLine="480" w:firstLineChars="200"/>
        <w:contextualSpacing/>
        <w:rPr>
          <w:rFonts w:hAnsi="宋体" w:cs="宋体"/>
          <w:sz w:val="24"/>
        </w:rPr>
      </w:pPr>
    </w:p>
    <w:p>
      <w:pPr>
        <w:pStyle w:val="7"/>
        <w:snapToGrid w:val="0"/>
        <w:spacing w:line="360" w:lineRule="auto"/>
        <w:ind w:firstLine="480" w:firstLineChars="200"/>
        <w:contextualSpacing/>
        <w:rPr>
          <w:rFonts w:hAnsi="宋体" w:cs="宋体"/>
          <w:sz w:val="24"/>
        </w:rPr>
      </w:pPr>
      <w:r>
        <w:rPr>
          <w:rFonts w:hint="eastAsia" w:hAnsi="宋体" w:cs="宋体"/>
          <w:sz w:val="24"/>
        </w:rPr>
        <w:t>被委托授权人身份证号：</w:t>
      </w:r>
    </w:p>
    <w:p>
      <w:pPr>
        <w:snapToGrid w:val="0"/>
        <w:spacing w:line="360" w:lineRule="auto"/>
        <w:ind w:firstLine="480" w:firstLineChars="200"/>
        <w:contextualSpacing/>
        <w:rPr>
          <w:rFonts w:ascii="宋体" w:hAnsi="宋体" w:cs="宋体"/>
          <w:sz w:val="24"/>
        </w:rPr>
      </w:pP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法定代表人签字：</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被委托授权人签字：</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供应商名称（盖章）：</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时间：</w:t>
      </w:r>
    </w:p>
    <w:p>
      <w:pPr>
        <w:pStyle w:val="7"/>
        <w:snapToGrid w:val="0"/>
        <w:spacing w:line="300" w:lineRule="auto"/>
        <w:ind w:firstLine="420"/>
        <w:contextualSpacing/>
        <w:rPr>
          <w:rFonts w:hAnsi="宋体" w:cs="宋体"/>
          <w:b/>
          <w:sz w:val="24"/>
        </w:rPr>
      </w:pPr>
    </w:p>
    <w:p>
      <w:pPr>
        <w:pStyle w:val="7"/>
        <w:snapToGrid w:val="0"/>
        <w:spacing w:line="300" w:lineRule="auto"/>
        <w:ind w:firstLine="420"/>
        <w:contextualSpacing/>
        <w:rPr>
          <w:rFonts w:hAnsi="宋体" w:cs="宋体"/>
          <w:b/>
          <w:sz w:val="24"/>
        </w:rPr>
      </w:pPr>
      <w:r>
        <w:rPr>
          <w:rFonts w:hint="eastAsia" w:hAnsi="宋体" w:cs="宋体"/>
          <w:b/>
          <w:sz w:val="24"/>
        </w:rPr>
        <w:t>注：提供被委托授权人的身份证复印件盖公章</w:t>
      </w:r>
    </w:p>
    <w:p>
      <w:pPr>
        <w:pStyle w:val="7"/>
        <w:snapToGrid w:val="0"/>
        <w:spacing w:line="300" w:lineRule="auto"/>
        <w:ind w:firstLine="420"/>
        <w:contextualSpacing/>
        <w:rPr>
          <w:rFonts w:hAnsi="宋体" w:cs="宋体"/>
          <w:b/>
          <w:sz w:val="24"/>
        </w:rPr>
      </w:pPr>
    </w:p>
    <w:p>
      <w:pPr>
        <w:pStyle w:val="7"/>
        <w:snapToGrid w:val="0"/>
        <w:spacing w:line="300" w:lineRule="auto"/>
        <w:ind w:firstLine="420"/>
        <w:contextualSpacing/>
        <w:rPr>
          <w:rFonts w:hAnsi="宋体" w:cs="宋体"/>
          <w:b/>
          <w:sz w:val="24"/>
        </w:rPr>
      </w:pPr>
    </w:p>
    <w:p>
      <w:pPr>
        <w:snapToGrid w:val="0"/>
        <w:spacing w:line="420" w:lineRule="exact"/>
        <w:rPr>
          <w:rFonts w:ascii="宋体" w:hAnsi="宋体" w:cs="宋体"/>
          <w:b/>
          <w:sz w:val="24"/>
        </w:rPr>
        <w:sectPr>
          <w:pgSz w:w="11906" w:h="16838"/>
          <w:pgMar w:top="1134" w:right="1134" w:bottom="1134" w:left="1621" w:header="851" w:footer="992" w:gutter="0"/>
          <w:pgNumType w:fmt="numberInDash"/>
          <w:cols w:space="720" w:num="1"/>
          <w:docGrid w:linePitch="312" w:charSpace="0"/>
        </w:sectPr>
      </w:pPr>
    </w:p>
    <w:p>
      <w:pPr>
        <w:spacing w:line="360" w:lineRule="auto"/>
        <w:rPr>
          <w:rFonts w:ascii="宋体" w:hAnsi="宋体" w:cs="宋体"/>
          <w:b/>
          <w:sz w:val="28"/>
        </w:rPr>
      </w:pPr>
    </w:p>
    <w:p>
      <w:pPr>
        <w:spacing w:line="360" w:lineRule="auto"/>
        <w:jc w:val="center"/>
        <w:outlineLvl w:val="2"/>
        <w:rPr>
          <w:rFonts w:ascii="宋体" w:hAnsi="宋体" w:cs="宋体"/>
          <w:b/>
          <w:sz w:val="24"/>
        </w:rPr>
      </w:pPr>
      <w:r>
        <w:rPr>
          <w:rFonts w:hint="eastAsia" w:ascii="宋体" w:hAnsi="宋体" w:cs="宋体"/>
          <w:b/>
          <w:sz w:val="28"/>
        </w:rPr>
        <w:t>四、具备履行合同所必需的设备和专业技术能力的书面声明</w:t>
      </w:r>
    </w:p>
    <w:p>
      <w:pPr>
        <w:snapToGrid w:val="0"/>
        <w:spacing w:line="360" w:lineRule="auto"/>
        <w:ind w:firstLine="480" w:firstLineChars="200"/>
        <w:rPr>
          <w:rFonts w:ascii="宋体" w:hAnsi="宋体" w:cs="宋体"/>
          <w:sz w:val="24"/>
        </w:rPr>
      </w:pPr>
    </w:p>
    <w:p>
      <w:pPr>
        <w:snapToGrid w:val="0"/>
        <w:spacing w:line="360" w:lineRule="auto"/>
        <w:contextualSpacing/>
        <w:rPr>
          <w:rFonts w:ascii="宋体" w:hAnsi="宋体" w:cs="宋体"/>
          <w:b/>
          <w:sz w:val="24"/>
        </w:rPr>
      </w:pPr>
      <w:r>
        <w:rPr>
          <w:rFonts w:hint="eastAsia" w:ascii="宋体" w:hAnsi="宋体" w:cs="宋体"/>
          <w:b/>
          <w:sz w:val="24"/>
          <w:lang w:val="zh-CN"/>
        </w:rPr>
        <w:t>江苏省江海博物馆</w:t>
      </w:r>
      <w:r>
        <w:rPr>
          <w:rFonts w:hint="eastAsia" w:ascii="宋体" w:hAnsi="宋体" w:cs="宋体"/>
          <w:b/>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我单位</w:t>
      </w:r>
      <w:r>
        <w:rPr>
          <w:rFonts w:hint="eastAsia" w:ascii="宋体" w:hAnsi="宋体" w:cs="宋体"/>
          <w:sz w:val="24"/>
          <w:u w:val="single"/>
        </w:rPr>
        <w:t xml:space="preserve">           </w:t>
      </w:r>
      <w:r>
        <w:rPr>
          <w:rFonts w:hint="eastAsia" w:ascii="宋体" w:hAnsi="宋体" w:cs="宋体"/>
          <w:sz w:val="24"/>
        </w:rPr>
        <w:t>（投标单位名称）郑重承诺：</w:t>
      </w:r>
    </w:p>
    <w:p>
      <w:pPr>
        <w:snapToGrid w:val="0"/>
        <w:spacing w:line="360" w:lineRule="auto"/>
        <w:ind w:firstLine="480" w:firstLineChars="200"/>
        <w:rPr>
          <w:rFonts w:ascii="宋体" w:hAnsi="宋体" w:cs="宋体"/>
          <w:sz w:val="24"/>
        </w:rPr>
      </w:pPr>
      <w:r>
        <w:rPr>
          <w:rFonts w:hint="eastAsia" w:ascii="宋体" w:hAnsi="宋体" w:cs="宋体"/>
          <w:sz w:val="24"/>
        </w:rPr>
        <w:t>贵方组织的</w:t>
      </w:r>
      <w:r>
        <w:rPr>
          <w:rFonts w:hint="eastAsia" w:ascii="宋体" w:hAnsi="宋体" w:cs="宋体"/>
          <w:sz w:val="24"/>
          <w:u w:val="single"/>
        </w:rPr>
        <w:t xml:space="preserve">                                               </w:t>
      </w:r>
      <w:r>
        <w:rPr>
          <w:rFonts w:hint="eastAsia" w:ascii="宋体" w:hAnsi="宋体" w:cs="宋体"/>
          <w:sz w:val="24"/>
        </w:rPr>
        <w:t>(项目名称），我单位</w:t>
      </w:r>
      <w:r>
        <w:rPr>
          <w:rFonts w:hint="eastAsia" w:ascii="宋体" w:hAnsi="宋体" w:cs="宋体"/>
          <w:sz w:val="24"/>
          <w:u w:val="single"/>
        </w:rPr>
        <w:t xml:space="preserve">       </w:t>
      </w:r>
      <w:r>
        <w:rPr>
          <w:rFonts w:hint="eastAsia" w:ascii="宋体" w:hAnsi="宋体" w:cs="宋体"/>
          <w:sz w:val="24"/>
        </w:rPr>
        <w:t>(在下划线上如实填写：有或没有）履行合同所必需的设备和专业技术能力。</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法人或委托授权人签字：</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供应商名称（盖章）：</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时间：</w:t>
      </w:r>
    </w:p>
    <w:p>
      <w:pPr>
        <w:snapToGrid w:val="0"/>
        <w:spacing w:line="360" w:lineRule="auto"/>
        <w:ind w:firstLine="480" w:firstLineChars="200"/>
        <w:rPr>
          <w:rFonts w:ascii="宋体" w:hAnsi="宋体" w:cs="宋体"/>
          <w:sz w:val="24"/>
        </w:rPr>
      </w:pPr>
    </w:p>
    <w:p>
      <w:pPr>
        <w:spacing w:line="480" w:lineRule="auto"/>
        <w:rPr>
          <w:rFonts w:ascii="宋体" w:hAnsi="宋体" w:cs="宋体"/>
          <w:sz w:val="24"/>
        </w:rPr>
        <w:sectPr>
          <w:pgSz w:w="11906" w:h="16838"/>
          <w:pgMar w:top="1440" w:right="1274" w:bottom="1402" w:left="1800" w:header="851" w:footer="992" w:gutter="0"/>
          <w:cols w:space="720" w:num="1"/>
          <w:docGrid w:type="lines" w:linePitch="312" w:charSpace="0"/>
        </w:sectPr>
      </w:pPr>
    </w:p>
    <w:p>
      <w:pPr>
        <w:snapToGrid w:val="0"/>
        <w:spacing w:line="360" w:lineRule="auto"/>
        <w:rPr>
          <w:rFonts w:ascii="宋体" w:hAnsi="宋体" w:cs="宋体"/>
          <w:sz w:val="30"/>
          <w:szCs w:val="30"/>
        </w:rPr>
      </w:pPr>
    </w:p>
    <w:p>
      <w:pPr>
        <w:spacing w:line="360" w:lineRule="auto"/>
        <w:jc w:val="center"/>
        <w:outlineLvl w:val="2"/>
        <w:rPr>
          <w:rFonts w:ascii="宋体" w:hAnsi="宋体" w:cs="宋体"/>
          <w:b/>
          <w:sz w:val="28"/>
        </w:rPr>
      </w:pPr>
      <w:r>
        <w:rPr>
          <w:rFonts w:hint="eastAsia" w:ascii="宋体" w:hAnsi="宋体" w:cs="宋体"/>
          <w:b/>
          <w:sz w:val="28"/>
        </w:rPr>
        <w:t>五、无重大违法记录声明</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r>
        <w:rPr>
          <w:rFonts w:hint="eastAsia" w:ascii="宋体" w:hAnsi="宋体" w:cs="宋体"/>
          <w:sz w:val="24"/>
        </w:rPr>
        <w:t>我公司郑重声明：参加本次政府采购活动前 3 年内，我公司在经营活动中没有因违法经营受到刑事处罚或者责令停止执业、吊销许可证或者执照、较大数额罚款、执业人员没有受到停止执业等行政处罚。</w:t>
      </w:r>
    </w:p>
    <w:p>
      <w:pPr>
        <w:snapToGrid w:val="0"/>
        <w:spacing w:line="360" w:lineRule="auto"/>
        <w:ind w:firstLine="480" w:firstLineChars="200"/>
        <w:rPr>
          <w:rFonts w:ascii="宋体" w:hAnsi="宋体" w:cs="宋体"/>
          <w:sz w:val="24"/>
        </w:rPr>
      </w:pPr>
      <w:r>
        <w:rPr>
          <w:rFonts w:hint="eastAsia" w:ascii="宋体" w:hAnsi="宋体" w:cs="宋体"/>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宋体" w:hAnsi="宋体" w:cs="宋体"/>
          <w:sz w:val="24"/>
        </w:rPr>
      </w:pP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法人或委托授权人签字：</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供应商名称（盖章）：</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时间：</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sectPr>
          <w:pgSz w:w="11906" w:h="16838"/>
          <w:pgMar w:top="1440" w:right="1274" w:bottom="1402" w:left="1800" w:header="851" w:footer="992" w:gutter="0"/>
          <w:cols w:space="720" w:num="1"/>
          <w:docGrid w:type="lines" w:linePitch="312" w:charSpace="0"/>
        </w:sectPr>
      </w:pPr>
    </w:p>
    <w:p>
      <w:pPr>
        <w:pStyle w:val="17"/>
        <w:snapToGrid w:val="0"/>
        <w:spacing w:line="300" w:lineRule="auto"/>
        <w:ind w:firstLine="0"/>
        <w:contextualSpacing/>
        <w:rPr>
          <w:rFonts w:ascii="宋体" w:eastAsia="宋体" w:cs="宋体"/>
          <w:b/>
          <w:sz w:val="24"/>
          <w:szCs w:val="24"/>
        </w:rPr>
      </w:pPr>
    </w:p>
    <w:p>
      <w:pPr>
        <w:pStyle w:val="17"/>
        <w:snapToGrid w:val="0"/>
        <w:spacing w:line="300" w:lineRule="auto"/>
        <w:ind w:firstLine="0"/>
        <w:contextualSpacing/>
        <w:rPr>
          <w:rFonts w:ascii="宋体" w:eastAsia="宋体" w:cs="宋体"/>
          <w:b/>
          <w:sz w:val="28"/>
          <w:szCs w:val="28"/>
        </w:rPr>
      </w:pPr>
      <w:r>
        <w:rPr>
          <w:rFonts w:ascii="宋体" w:eastAsia="宋体" w:cs="宋体"/>
          <w:b/>
          <w:sz w:val="24"/>
          <w:szCs w:val="24"/>
        </w:rPr>
        <w:t>B</w:t>
      </w:r>
      <w:r>
        <w:rPr>
          <w:rFonts w:hint="eastAsia" w:ascii="宋体" w:eastAsia="宋体" w:cs="宋体"/>
          <w:b/>
          <w:sz w:val="24"/>
          <w:szCs w:val="24"/>
        </w:rPr>
        <w:t>、价格响应文件（一个密封包，含一正二副文件）</w:t>
      </w:r>
    </w:p>
    <w:p>
      <w:pPr>
        <w:snapToGrid w:val="0"/>
        <w:spacing w:line="420" w:lineRule="exact"/>
        <w:jc w:val="center"/>
        <w:rPr>
          <w:rFonts w:ascii="宋体" w:hAnsi="宋体" w:cs="宋体"/>
          <w:b/>
          <w:sz w:val="24"/>
        </w:rPr>
      </w:pPr>
    </w:p>
    <w:p>
      <w:pPr>
        <w:spacing w:line="360" w:lineRule="auto"/>
        <w:jc w:val="center"/>
        <w:outlineLvl w:val="2"/>
        <w:rPr>
          <w:rFonts w:ascii="宋体" w:hAnsi="宋体" w:cs="宋体"/>
          <w:b/>
          <w:sz w:val="28"/>
        </w:rPr>
      </w:pPr>
      <w:r>
        <w:rPr>
          <w:rFonts w:hint="eastAsia" w:ascii="宋体" w:hAnsi="宋体" w:cs="宋体"/>
          <w:b/>
          <w:sz w:val="28"/>
        </w:rPr>
        <w:t>一、竞争性磋商响应函（格式不得变动）</w:t>
      </w:r>
    </w:p>
    <w:p>
      <w:pPr>
        <w:snapToGrid w:val="0"/>
        <w:spacing w:line="360" w:lineRule="auto"/>
        <w:ind w:firstLine="482" w:firstLineChars="200"/>
        <w:contextualSpacing/>
        <w:rPr>
          <w:rFonts w:ascii="宋体" w:hAnsi="宋体" w:cs="宋体"/>
          <w:b/>
          <w:sz w:val="24"/>
        </w:rPr>
      </w:pPr>
    </w:p>
    <w:p>
      <w:pPr>
        <w:snapToGrid w:val="0"/>
        <w:spacing w:line="360" w:lineRule="auto"/>
        <w:contextualSpacing/>
        <w:rPr>
          <w:rFonts w:ascii="宋体" w:hAnsi="宋体" w:cs="宋体"/>
          <w:b/>
          <w:sz w:val="24"/>
        </w:rPr>
      </w:pPr>
      <w:r>
        <w:rPr>
          <w:rFonts w:hint="eastAsia" w:ascii="宋体" w:hAnsi="宋体" w:cs="宋体"/>
          <w:b/>
          <w:sz w:val="24"/>
          <w:lang w:val="zh-CN"/>
        </w:rPr>
        <w:t>江苏省江海博物馆</w:t>
      </w:r>
      <w:r>
        <w:rPr>
          <w:rFonts w:hint="eastAsia" w:ascii="宋体" w:hAnsi="宋体" w:cs="宋体"/>
          <w:b/>
          <w:sz w:val="24"/>
        </w:rPr>
        <w:t>：</w:t>
      </w:r>
    </w:p>
    <w:p>
      <w:pPr>
        <w:snapToGrid w:val="0"/>
        <w:spacing w:line="360" w:lineRule="auto"/>
        <w:ind w:firstLine="480" w:firstLineChars="200"/>
        <w:rPr>
          <w:rFonts w:ascii="宋体" w:hAnsi="宋体" w:cs="宋体"/>
          <w:sz w:val="24"/>
        </w:rPr>
      </w:pPr>
      <w:r>
        <w:rPr>
          <w:rFonts w:hint="eastAsia" w:ascii="宋体" w:hAnsi="宋体" w:cs="宋体"/>
          <w:sz w:val="24"/>
        </w:rPr>
        <w:t>依据贵单位组织的</w:t>
      </w:r>
      <w:r>
        <w:rPr>
          <w:rFonts w:hint="eastAsia" w:ascii="宋体" w:hAnsi="宋体" w:cs="宋体"/>
          <w:sz w:val="24"/>
          <w:u w:val="single"/>
        </w:rPr>
        <w:t xml:space="preserve">                         </w:t>
      </w:r>
      <w:r>
        <w:rPr>
          <w:rFonts w:hint="eastAsia" w:ascii="宋体" w:hAnsi="宋体" w:cs="宋体"/>
          <w:sz w:val="24"/>
        </w:rPr>
        <w:t>（磋商项目名称)项目竞争性磋商的邀请，我方授权</w:t>
      </w:r>
      <w:r>
        <w:rPr>
          <w:rFonts w:hint="eastAsia" w:ascii="宋体" w:hAnsi="宋体" w:cs="宋体"/>
          <w:sz w:val="24"/>
          <w:u w:val="single"/>
        </w:rPr>
        <w:t xml:space="preserve">        </w:t>
      </w: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（职务）为全权代表参加该项目的磋商工作，全权处理本次竞争性磋商的有关事宜。同时，我公司声明如下：</w:t>
      </w:r>
    </w:p>
    <w:p>
      <w:pPr>
        <w:snapToGrid w:val="0"/>
        <w:spacing w:line="360" w:lineRule="auto"/>
        <w:ind w:firstLine="480" w:firstLineChars="200"/>
        <w:rPr>
          <w:rFonts w:ascii="宋体" w:hAnsi="宋体" w:cs="宋体"/>
          <w:sz w:val="24"/>
        </w:rPr>
      </w:pPr>
      <w:r>
        <w:rPr>
          <w:rFonts w:hint="eastAsia" w:ascii="宋体" w:hAnsi="宋体" w:cs="宋体"/>
          <w:sz w:val="24"/>
        </w:rPr>
        <w:t>1、同意并接受竞争性磋商文件的各项要求，遵守竞争性磋商文件中的各项规定，按竞争性磋商文件的要求提供报价。</w:t>
      </w:r>
    </w:p>
    <w:p>
      <w:pPr>
        <w:snapToGrid w:val="0"/>
        <w:spacing w:line="360" w:lineRule="auto"/>
        <w:ind w:firstLine="480" w:firstLineChars="200"/>
        <w:rPr>
          <w:rFonts w:ascii="宋体" w:hAnsi="宋体" w:cs="宋体"/>
          <w:sz w:val="24"/>
        </w:rPr>
      </w:pPr>
      <w:r>
        <w:rPr>
          <w:rFonts w:hint="eastAsia" w:ascii="宋体" w:hAnsi="宋体" w:cs="宋体"/>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480" w:firstLineChars="200"/>
        <w:rPr>
          <w:rFonts w:ascii="宋体" w:hAnsi="宋体" w:cs="宋体"/>
          <w:sz w:val="24"/>
        </w:rPr>
      </w:pPr>
      <w:r>
        <w:rPr>
          <w:rFonts w:hint="eastAsia" w:ascii="宋体" w:hAnsi="宋体" w:cs="宋体"/>
          <w:sz w:val="24"/>
        </w:rPr>
        <w:t>3、我公司已毫无保留地向贵方提供一切所需的证明材料。</w:t>
      </w:r>
    </w:p>
    <w:p>
      <w:pPr>
        <w:snapToGrid w:val="0"/>
        <w:spacing w:line="360" w:lineRule="auto"/>
        <w:ind w:firstLine="480" w:firstLineChars="200"/>
        <w:rPr>
          <w:rFonts w:ascii="宋体" w:hAnsi="宋体" w:cs="宋体"/>
          <w:sz w:val="24"/>
        </w:rPr>
      </w:pPr>
      <w:r>
        <w:rPr>
          <w:rFonts w:hint="eastAsia" w:ascii="宋体" w:hAnsi="宋体" w:cs="宋体"/>
          <w:sz w:val="24"/>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b/>
          <w:sz w:val="24"/>
        </w:rPr>
        <w:t>我公司尊重磋商小组所作的评定结果，同时清楚理解到报价最高并非意味着必定获得成交资格。</w:t>
      </w:r>
    </w:p>
    <w:p>
      <w:pPr>
        <w:snapToGrid w:val="0"/>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b/>
          <w:sz w:val="24"/>
        </w:rPr>
        <w:t>一旦成交，我方将根据竞争性磋商文件的规定，严格履行合同规定的责任和义务，并保证在竞争性磋商文件中规定的时间期限内完成合同项目。</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bookmarkEnd w:id="61"/>
    <w:bookmarkEnd w:id="62"/>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法人或委托授权人签字：</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供应商名称（盖章）：</w:t>
      </w:r>
    </w:p>
    <w:p>
      <w:pPr>
        <w:snapToGrid w:val="0"/>
        <w:spacing w:line="480" w:lineRule="auto"/>
        <w:ind w:right="720" w:firstLine="480" w:firstLineChars="200"/>
        <w:contextualSpacing/>
        <w:jc w:val="right"/>
        <w:rPr>
          <w:rFonts w:ascii="宋体" w:hAnsi="宋体" w:cs="宋体"/>
          <w:sz w:val="24"/>
        </w:rPr>
      </w:pPr>
      <w:r>
        <w:rPr>
          <w:rFonts w:hint="eastAsia" w:ascii="宋体" w:hAnsi="宋体" w:cs="宋体"/>
          <w:sz w:val="24"/>
        </w:rPr>
        <w:t>时间：</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jc w:val="right"/>
        <w:rPr>
          <w:rFonts w:ascii="宋体" w:hAnsi="宋体"/>
          <w:sz w:val="24"/>
        </w:rPr>
        <w:sectPr>
          <w:pgSz w:w="11906" w:h="16838"/>
          <w:pgMar w:top="1440" w:right="1274" w:bottom="1402" w:left="1800" w:header="851" w:footer="992" w:gutter="0"/>
          <w:cols w:space="720" w:num="1"/>
          <w:docGrid w:type="lines" w:linePitch="312" w:charSpace="0"/>
        </w:sectPr>
      </w:pPr>
    </w:p>
    <w:p>
      <w:pPr>
        <w:snapToGrid w:val="0"/>
        <w:spacing w:line="440" w:lineRule="atLeast"/>
        <w:jc w:val="center"/>
        <w:rPr>
          <w:rFonts w:ascii="宋体" w:hAnsi="宋体" w:cs="宋体"/>
          <w:b/>
          <w:sz w:val="24"/>
        </w:rPr>
      </w:pPr>
    </w:p>
    <w:p>
      <w:pPr>
        <w:spacing w:line="360" w:lineRule="auto"/>
        <w:jc w:val="center"/>
        <w:outlineLvl w:val="2"/>
        <w:rPr>
          <w:rFonts w:ascii="宋体" w:hAnsi="宋体" w:cs="宋体"/>
          <w:b/>
          <w:sz w:val="28"/>
        </w:rPr>
      </w:pPr>
      <w:bookmarkStart w:id="63" w:name="_Toc23749"/>
      <w:bookmarkStart w:id="64" w:name="_Toc8658"/>
      <w:r>
        <w:rPr>
          <w:rFonts w:hint="eastAsia" w:ascii="宋体" w:hAnsi="宋体" w:cs="宋体"/>
          <w:b/>
          <w:sz w:val="28"/>
        </w:rPr>
        <w:t>二、报价总表（首次）</w:t>
      </w:r>
      <w:bookmarkEnd w:id="63"/>
      <w:bookmarkEnd w:id="64"/>
    </w:p>
    <w:p>
      <w:pPr>
        <w:snapToGrid w:val="0"/>
        <w:spacing w:line="440" w:lineRule="atLeast"/>
        <w:ind w:left="1322" w:hanging="1132"/>
        <w:rPr>
          <w:rFonts w:ascii="宋体" w:hAnsi="宋体" w:cs="宋体"/>
          <w:sz w:val="24"/>
        </w:rPr>
      </w:pPr>
      <w:r>
        <w:rPr>
          <w:rFonts w:hint="eastAsia" w:ascii="宋体" w:hAnsi="宋体" w:cs="宋体"/>
          <w:sz w:val="24"/>
        </w:rPr>
        <w:t>项目名称：</w:t>
      </w:r>
    </w:p>
    <w:tbl>
      <w:tblPr>
        <w:tblStyle w:val="13"/>
        <w:tblW w:w="93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86"/>
        <w:gridCol w:w="1911"/>
        <w:gridCol w:w="2175"/>
        <w:gridCol w:w="1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sz w:val="24"/>
              </w:rPr>
            </w:pPr>
            <w:r>
              <w:rPr>
                <w:rFonts w:hint="eastAsia" w:ascii="宋体" w:hAnsi="宋体" w:cs="宋体"/>
                <w:sz w:val="24"/>
              </w:rPr>
              <w:t>项目名称</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sz w:val="24"/>
              </w:rPr>
            </w:pPr>
            <w:r>
              <w:rPr>
                <w:rFonts w:hint="eastAsia" w:ascii="宋体" w:hAnsi="宋体" w:cs="宋体"/>
                <w:sz w:val="24"/>
              </w:rPr>
              <w:t>报价（元）</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sz w:val="24"/>
              </w:rPr>
            </w:pPr>
            <w:r>
              <w:rPr>
                <w:rFonts w:hint="eastAsia" w:ascii="宋体" w:hAnsi="宋体" w:cs="宋体"/>
                <w:sz w:val="24"/>
              </w:rPr>
              <w:t>项目完成时间</w:t>
            </w:r>
          </w:p>
        </w:tc>
        <w:tc>
          <w:tcPr>
            <w:tcW w:w="1600"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宋体"/>
                <w:sz w:val="24"/>
              </w:rPr>
            </w:pPr>
            <w:r>
              <w:rPr>
                <w:rFonts w:hint="eastAsia" w:ascii="宋体" w:hAnsi="宋体" w:cs="宋体"/>
                <w:sz w:val="24"/>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宋体"/>
                <w:sz w:val="24"/>
              </w:rPr>
            </w:pPr>
            <w:r>
              <w:rPr>
                <w:rFonts w:hint="eastAsia" w:ascii="宋体" w:hAnsi="宋体"/>
                <w:bCs/>
                <w:sz w:val="24"/>
              </w:rPr>
              <w:t>漾舟信归风：中国古代船模展文物运输服务项目</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宋体"/>
                <w:b/>
                <w:sz w:val="24"/>
              </w:rPr>
            </w:pPr>
            <w:r>
              <w:rPr>
                <w:rFonts w:hint="eastAsia" w:ascii="宋体" w:hAnsi="宋体" w:cs="宋体"/>
                <w:b/>
                <w:sz w:val="24"/>
              </w:rPr>
              <w:t>大写：</w:t>
            </w:r>
          </w:p>
          <w:p>
            <w:pPr>
              <w:kinsoku w:val="0"/>
              <w:snapToGrid w:val="0"/>
              <w:spacing w:line="440" w:lineRule="atLeast"/>
              <w:rPr>
                <w:rFonts w:ascii="宋体" w:hAnsi="宋体" w:cs="宋体"/>
                <w:sz w:val="24"/>
              </w:rPr>
            </w:pPr>
            <w:r>
              <w:rPr>
                <w:rFonts w:hint="eastAsia" w:ascii="宋体" w:hAnsi="宋体" w:cs="宋体"/>
                <w:b/>
                <w:sz w:val="24"/>
              </w:rPr>
              <w:t>小写：</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宋体"/>
                <w:sz w:val="24"/>
              </w:rPr>
            </w:pPr>
            <w:r>
              <w:rPr>
                <w:rFonts w:hint="eastAsia" w:ascii="宋体" w:hAnsi="宋体" w:cs="宋体"/>
                <w:sz w:val="24"/>
              </w:rPr>
              <w:t>完全响应磋商文件要求</w:t>
            </w:r>
          </w:p>
        </w:tc>
        <w:tc>
          <w:tcPr>
            <w:tcW w:w="1600"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宋体"/>
                <w:sz w:val="24"/>
              </w:rPr>
            </w:pPr>
            <w:r>
              <w:rPr>
                <w:rFonts w:hint="eastAsia" w:ascii="宋体" w:hAnsi="宋体" w:cs="宋体"/>
                <w:sz w:val="24"/>
              </w:rPr>
              <w:t>完全响应磋商文件要求的付款方式</w:t>
            </w:r>
          </w:p>
        </w:tc>
      </w:tr>
    </w:tbl>
    <w:p>
      <w:pPr>
        <w:snapToGrid w:val="0"/>
        <w:spacing w:line="360" w:lineRule="auto"/>
        <w:ind w:firstLine="480" w:firstLineChars="200"/>
        <w:rPr>
          <w:rFonts w:ascii="宋体" w:hAnsi="宋体" w:cs="宋体"/>
          <w:sz w:val="24"/>
        </w:rPr>
      </w:pPr>
      <w:r>
        <w:rPr>
          <w:rFonts w:hint="eastAsia" w:ascii="宋体" w:hAnsi="宋体" w:cs="宋体"/>
          <w:sz w:val="24"/>
        </w:rPr>
        <w:t xml:space="preserve">磋商人：（盖章）             </w:t>
      </w:r>
    </w:p>
    <w:p>
      <w:pPr>
        <w:snapToGrid w:val="0"/>
        <w:spacing w:line="360" w:lineRule="auto"/>
        <w:ind w:firstLine="480" w:firstLineChars="200"/>
        <w:rPr>
          <w:rFonts w:ascii="宋体" w:hAnsi="宋体" w:cs="宋体"/>
          <w:sz w:val="24"/>
        </w:rPr>
      </w:pPr>
      <w:r>
        <w:rPr>
          <w:rFonts w:hint="eastAsia" w:ascii="宋体" w:hAnsi="宋体" w:cs="宋体"/>
          <w:sz w:val="24"/>
        </w:rPr>
        <w:t>法定代表人或被委托受权人（签字）：</w:t>
      </w:r>
    </w:p>
    <w:p>
      <w:pPr>
        <w:snapToGrid w:val="0"/>
        <w:spacing w:line="360" w:lineRule="auto"/>
        <w:ind w:firstLine="480" w:firstLineChars="200"/>
        <w:rPr>
          <w:rFonts w:ascii="宋体" w:hAnsi="宋体" w:cs="宋体"/>
          <w:sz w:val="24"/>
        </w:rPr>
      </w:pPr>
      <w:r>
        <w:rPr>
          <w:rFonts w:hint="eastAsia" w:ascii="宋体" w:hAnsi="宋体" w:cs="宋体"/>
          <w:sz w:val="24"/>
        </w:rPr>
        <w:t>日期：</w:t>
      </w:r>
    </w:p>
    <w:p>
      <w:pPr>
        <w:snapToGrid w:val="0"/>
        <w:spacing w:line="360" w:lineRule="auto"/>
        <w:ind w:firstLine="480" w:firstLineChars="200"/>
        <w:rPr>
          <w:rFonts w:ascii="宋体" w:hAnsi="宋体" w:cs="宋体"/>
          <w:sz w:val="24"/>
        </w:rPr>
      </w:pPr>
      <w:r>
        <w:rPr>
          <w:rFonts w:hint="eastAsia" w:ascii="宋体" w:hAnsi="宋体" w:cs="宋体"/>
          <w:sz w:val="24"/>
        </w:rPr>
        <w:t>注：</w:t>
      </w:r>
    </w:p>
    <w:p>
      <w:pPr>
        <w:pStyle w:val="21"/>
        <w:snapToGrid w:val="0"/>
        <w:spacing w:line="360" w:lineRule="auto"/>
        <w:ind w:firstLine="480" w:firstLineChars="200"/>
        <w:rPr>
          <w:rFonts w:ascii="宋体" w:hAnsi="宋体" w:cs="宋体"/>
          <w:sz w:val="24"/>
          <w:szCs w:val="24"/>
        </w:rPr>
      </w:pPr>
      <w:r>
        <w:rPr>
          <w:rFonts w:hint="eastAsia" w:ascii="宋体" w:hAnsi="宋体" w:cs="宋体"/>
          <w:sz w:val="24"/>
          <w:szCs w:val="24"/>
        </w:rPr>
        <w:t>（1）本表为格式表，不得自行改动，必须提供，否则视为未实质性响应磋商采购文件。</w:t>
      </w:r>
    </w:p>
    <w:p>
      <w:pPr>
        <w:snapToGrid w:val="0"/>
        <w:spacing w:line="360" w:lineRule="auto"/>
        <w:ind w:firstLine="480" w:firstLineChars="200"/>
        <w:rPr>
          <w:rFonts w:ascii="宋体" w:hAnsi="宋体" w:cs="宋体"/>
          <w:sz w:val="24"/>
        </w:rPr>
      </w:pPr>
      <w:r>
        <w:rPr>
          <w:rFonts w:hint="eastAsia" w:ascii="宋体" w:hAnsi="宋体" w:cs="宋体"/>
          <w:sz w:val="24"/>
        </w:rPr>
        <w:t>（3）磋商总报价应包括：本项目委托服务任务完成所需的全部费用，即</w:t>
      </w:r>
      <w:r>
        <w:rPr>
          <w:rFonts w:hint="eastAsia" w:ascii="宋体" w:hAnsi="宋体" w:cs="宋体"/>
          <w:sz w:val="24"/>
          <w:szCs w:val="24"/>
        </w:rPr>
        <w:t>包含相关辅助材料费、税费、售后服务与相关劳务支出等工作所发生的全部费用以及企业利润、税金和政策性文件规定及合同包含的所有风险、责任等各项应有费用。同时还包含为完成本项目所必须的其他辅助工作的相关费用及响应磋商文件要求的所有费用。</w:t>
      </w:r>
    </w:p>
    <w:p>
      <w:pPr>
        <w:snapToGrid w:val="0"/>
        <w:spacing w:line="360" w:lineRule="auto"/>
        <w:ind w:firstLine="480" w:firstLineChars="200"/>
        <w:rPr>
          <w:rFonts w:ascii="宋体" w:hAnsi="宋体" w:cs="宋体"/>
          <w:sz w:val="24"/>
        </w:rPr>
      </w:pPr>
      <w:bookmarkStart w:id="65" w:name="_Toc20031"/>
      <w:r>
        <w:rPr>
          <w:rFonts w:hint="eastAsia" w:ascii="宋体" w:hAnsi="宋体" w:cs="宋体"/>
          <w:sz w:val="24"/>
        </w:rPr>
        <w:t>（3）本项目为总价合同，响应报价为完成项目需求的所有费用，结算时不作调整。</w:t>
      </w:r>
    </w:p>
    <w:bookmarkEnd w:id="65"/>
    <w:p>
      <w:pPr>
        <w:snapToGrid w:val="0"/>
        <w:spacing w:line="440" w:lineRule="atLeast"/>
        <w:jc w:val="center"/>
        <w:rPr>
          <w:rFonts w:ascii="宋体" w:hAnsi="宋体" w:cs="宋体"/>
          <w:b/>
          <w:sz w:val="24"/>
        </w:rPr>
      </w:pPr>
      <w:bookmarkStart w:id="66" w:name="_Toc31033"/>
      <w:bookmarkEnd w:id="66"/>
    </w:p>
    <w:p>
      <w:pPr>
        <w:snapToGrid w:val="0"/>
        <w:spacing w:line="440" w:lineRule="atLeast"/>
        <w:jc w:val="center"/>
        <w:rPr>
          <w:rFonts w:ascii="宋体" w:hAnsi="宋体" w:cs="宋体"/>
          <w:b/>
          <w:sz w:val="24"/>
        </w:rPr>
      </w:pPr>
    </w:p>
    <w:p>
      <w:pPr>
        <w:snapToGrid w:val="0"/>
        <w:spacing w:line="440" w:lineRule="atLeast"/>
        <w:jc w:val="center"/>
        <w:rPr>
          <w:rFonts w:ascii="宋体" w:hAnsi="宋体" w:cs="宋体"/>
          <w:b/>
          <w:sz w:val="24"/>
        </w:rPr>
      </w:pPr>
    </w:p>
    <w:p>
      <w:pPr>
        <w:snapToGrid w:val="0"/>
        <w:spacing w:line="440" w:lineRule="atLeast"/>
        <w:jc w:val="center"/>
        <w:rPr>
          <w:rFonts w:ascii="宋体" w:hAnsi="宋体" w:cs="宋体"/>
          <w:b/>
          <w:sz w:val="24"/>
        </w:rPr>
      </w:pPr>
    </w:p>
    <w:p>
      <w:pPr>
        <w:snapToGrid w:val="0"/>
        <w:spacing w:line="440" w:lineRule="atLeast"/>
        <w:jc w:val="center"/>
        <w:rPr>
          <w:rFonts w:ascii="宋体" w:hAnsi="宋体" w:cs="宋体"/>
          <w:b/>
          <w:sz w:val="24"/>
        </w:rPr>
      </w:pPr>
    </w:p>
    <w:p>
      <w:pPr>
        <w:snapToGrid w:val="0"/>
        <w:spacing w:line="440" w:lineRule="atLeast"/>
        <w:jc w:val="center"/>
        <w:rPr>
          <w:rFonts w:ascii="宋体" w:hAnsi="宋体" w:cs="宋体"/>
          <w:b/>
          <w:sz w:val="24"/>
        </w:rPr>
      </w:pPr>
    </w:p>
    <w:p>
      <w:pPr>
        <w:snapToGrid w:val="0"/>
        <w:spacing w:line="440" w:lineRule="atLeast"/>
        <w:jc w:val="center"/>
        <w:rPr>
          <w:rFonts w:ascii="宋体" w:hAnsi="宋体" w:cs="宋体"/>
          <w:b/>
          <w:sz w:val="24"/>
        </w:rPr>
      </w:pPr>
    </w:p>
    <w:p>
      <w:pPr>
        <w:snapToGrid w:val="0"/>
        <w:spacing w:line="440" w:lineRule="atLeast"/>
        <w:jc w:val="center"/>
        <w:rPr>
          <w:rFonts w:ascii="宋体" w:hAnsi="宋体" w:cs="宋体"/>
          <w:b/>
          <w:sz w:val="24"/>
        </w:rPr>
      </w:pPr>
    </w:p>
    <w:p>
      <w:pPr>
        <w:pStyle w:val="2"/>
        <w:ind w:left="882"/>
      </w:pPr>
    </w:p>
    <w:p>
      <w:pPr>
        <w:widowControl/>
        <w:spacing w:line="360" w:lineRule="auto"/>
        <w:jc w:val="center"/>
        <w:rPr>
          <w:rFonts w:ascii="宋体" w:hAnsi="宋体" w:cs="宋体"/>
          <w:b/>
          <w:kern w:val="0"/>
          <w:sz w:val="32"/>
          <w:szCs w:val="32"/>
          <w:lang w:bidi="ar"/>
        </w:rPr>
      </w:pPr>
    </w:p>
    <w:p>
      <w:pPr>
        <w:overflowPunct w:val="0"/>
        <w:rPr>
          <w:rFonts w:ascii="宋体" w:hAnsi="宋体"/>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embedRegular r:id="rId1" w:fontKey="{E2EC8FA9-A71F-414A-A853-04EC880ADD23}"/>
  </w:font>
  <w:font w:name="楷体_GB2312">
    <w:panose1 w:val="02010609030101010101"/>
    <w:charset w:val="86"/>
    <w:family w:val="modern"/>
    <w:pitch w:val="default"/>
    <w:sig w:usb0="00000001" w:usb1="080E0000" w:usb2="00000000" w:usb3="00000000" w:csb0="00040000" w:csb1="00000000"/>
    <w:embedRegular r:id="rId2" w:fontKey="{A8B80DFE-AC6F-4F8E-B17C-E8F311703B0E}"/>
  </w:font>
  <w:font w:name="Courier New">
    <w:panose1 w:val="02070309020205020404"/>
    <w:charset w:val="00"/>
    <w:family w:val="modern"/>
    <w:pitch w:val="default"/>
    <w:sig w:usb0="E0002EFF" w:usb1="C0007843" w:usb2="00000009" w:usb3="00000000" w:csb0="400001FF" w:csb1="FFFF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embedRegular r:id="rId3" w:fontKey="{C7CEF25C-E07C-4B3A-B275-5864FD4913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楷体_GB2312" w:hAnsi="Arial"/>
        <w:b/>
        <w:color w:val="000000"/>
      </w:rPr>
    </w:pPr>
  </w:p>
  <w:p>
    <w:pPr>
      <w:snapToGrid w:val="0"/>
      <w:spacing w:line="360" w:lineRule="auto"/>
      <w:jc w:val="right"/>
      <w:rPr>
        <w:rFonts w:ascii="楷体_GB2312" w:hAnsi="Arial"/>
        <w:i/>
        <w:color w:val="000000"/>
        <w:sz w:val="18"/>
        <w:szCs w:val="18"/>
      </w:rPr>
    </w:pPr>
    <w:r>
      <w:rPr>
        <w:rFonts w:hint="eastAsia" w:ascii="楷体_GB2312" w:hAnsi="Arial"/>
        <w:i/>
        <w:color w:val="00000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N2ZlMDk5MGI3MWJmZmVkNjU0MDkzZTVkMzk0NTIifQ=="/>
  </w:docVars>
  <w:rsids>
    <w:rsidRoot w:val="06473C8E"/>
    <w:rsid w:val="000D341B"/>
    <w:rsid w:val="000E46CF"/>
    <w:rsid w:val="000E5826"/>
    <w:rsid w:val="0010563F"/>
    <w:rsid w:val="00156325"/>
    <w:rsid w:val="00293FF0"/>
    <w:rsid w:val="002B5508"/>
    <w:rsid w:val="002F60F3"/>
    <w:rsid w:val="003A0012"/>
    <w:rsid w:val="003A119D"/>
    <w:rsid w:val="004375EF"/>
    <w:rsid w:val="004E4D42"/>
    <w:rsid w:val="004E6A03"/>
    <w:rsid w:val="00506282"/>
    <w:rsid w:val="00515024"/>
    <w:rsid w:val="005A0F38"/>
    <w:rsid w:val="005C6D82"/>
    <w:rsid w:val="00664784"/>
    <w:rsid w:val="006C2A9E"/>
    <w:rsid w:val="00706F4D"/>
    <w:rsid w:val="00755069"/>
    <w:rsid w:val="007D7FB2"/>
    <w:rsid w:val="007E5D81"/>
    <w:rsid w:val="007F156A"/>
    <w:rsid w:val="00814D11"/>
    <w:rsid w:val="00816AF9"/>
    <w:rsid w:val="0085284F"/>
    <w:rsid w:val="00864E8A"/>
    <w:rsid w:val="008A6D89"/>
    <w:rsid w:val="00926620"/>
    <w:rsid w:val="00944D4E"/>
    <w:rsid w:val="009A5271"/>
    <w:rsid w:val="009B1030"/>
    <w:rsid w:val="009E41BB"/>
    <w:rsid w:val="00A5299C"/>
    <w:rsid w:val="00A60145"/>
    <w:rsid w:val="00A75A1B"/>
    <w:rsid w:val="00A911EB"/>
    <w:rsid w:val="00B459AC"/>
    <w:rsid w:val="00B6479D"/>
    <w:rsid w:val="00B66E08"/>
    <w:rsid w:val="00B90EF8"/>
    <w:rsid w:val="00BC6A49"/>
    <w:rsid w:val="00C707E3"/>
    <w:rsid w:val="00C765C8"/>
    <w:rsid w:val="00CA6241"/>
    <w:rsid w:val="00CB2371"/>
    <w:rsid w:val="00CB64FD"/>
    <w:rsid w:val="00CC480B"/>
    <w:rsid w:val="00D2260D"/>
    <w:rsid w:val="00D4052E"/>
    <w:rsid w:val="00DD1A6A"/>
    <w:rsid w:val="00E63C8C"/>
    <w:rsid w:val="00EA3B53"/>
    <w:rsid w:val="00EA7DCD"/>
    <w:rsid w:val="00F34F10"/>
    <w:rsid w:val="00F72A8F"/>
    <w:rsid w:val="00F738F0"/>
    <w:rsid w:val="01B110AA"/>
    <w:rsid w:val="01DF710D"/>
    <w:rsid w:val="03944B92"/>
    <w:rsid w:val="03C32307"/>
    <w:rsid w:val="04EA3C5E"/>
    <w:rsid w:val="05600E1D"/>
    <w:rsid w:val="058029ED"/>
    <w:rsid w:val="0630363E"/>
    <w:rsid w:val="06473C8E"/>
    <w:rsid w:val="06902E1A"/>
    <w:rsid w:val="087D0E27"/>
    <w:rsid w:val="09083327"/>
    <w:rsid w:val="0A737440"/>
    <w:rsid w:val="0B0342F3"/>
    <w:rsid w:val="0C4513C6"/>
    <w:rsid w:val="0CC77736"/>
    <w:rsid w:val="0E886C05"/>
    <w:rsid w:val="102040D7"/>
    <w:rsid w:val="10230AB9"/>
    <w:rsid w:val="12825197"/>
    <w:rsid w:val="128B63E1"/>
    <w:rsid w:val="13B44206"/>
    <w:rsid w:val="13F00818"/>
    <w:rsid w:val="14191DAB"/>
    <w:rsid w:val="156E54E7"/>
    <w:rsid w:val="159863B1"/>
    <w:rsid w:val="15E62F6D"/>
    <w:rsid w:val="15EA5065"/>
    <w:rsid w:val="166958BC"/>
    <w:rsid w:val="16874E71"/>
    <w:rsid w:val="173517A7"/>
    <w:rsid w:val="178E7F26"/>
    <w:rsid w:val="17F25B19"/>
    <w:rsid w:val="181D73DF"/>
    <w:rsid w:val="18991785"/>
    <w:rsid w:val="18E5289E"/>
    <w:rsid w:val="192B27E7"/>
    <w:rsid w:val="19490313"/>
    <w:rsid w:val="1BDC1B43"/>
    <w:rsid w:val="1C1C25E0"/>
    <w:rsid w:val="1D2735E8"/>
    <w:rsid w:val="1D9373D6"/>
    <w:rsid w:val="1DFD411D"/>
    <w:rsid w:val="1E780EC5"/>
    <w:rsid w:val="1E91427E"/>
    <w:rsid w:val="1EB43EA0"/>
    <w:rsid w:val="20066EA8"/>
    <w:rsid w:val="205252E6"/>
    <w:rsid w:val="20840D41"/>
    <w:rsid w:val="22581DEC"/>
    <w:rsid w:val="24345D45"/>
    <w:rsid w:val="25162EC5"/>
    <w:rsid w:val="25D942B1"/>
    <w:rsid w:val="26041890"/>
    <w:rsid w:val="268F118C"/>
    <w:rsid w:val="2780239C"/>
    <w:rsid w:val="27CB5368"/>
    <w:rsid w:val="28377C86"/>
    <w:rsid w:val="28403243"/>
    <w:rsid w:val="29041E85"/>
    <w:rsid w:val="29C17AAA"/>
    <w:rsid w:val="2B19610F"/>
    <w:rsid w:val="2B241773"/>
    <w:rsid w:val="2B8501A0"/>
    <w:rsid w:val="2CE43BFE"/>
    <w:rsid w:val="2D5C464F"/>
    <w:rsid w:val="2D947357"/>
    <w:rsid w:val="2E292654"/>
    <w:rsid w:val="2E4A4AE9"/>
    <w:rsid w:val="2EE75673"/>
    <w:rsid w:val="2F05665D"/>
    <w:rsid w:val="31542205"/>
    <w:rsid w:val="315F07F4"/>
    <w:rsid w:val="318A50A2"/>
    <w:rsid w:val="3253458A"/>
    <w:rsid w:val="33D37747"/>
    <w:rsid w:val="34B32E84"/>
    <w:rsid w:val="356C06E7"/>
    <w:rsid w:val="35AA3AA8"/>
    <w:rsid w:val="35BE1E2D"/>
    <w:rsid w:val="361127DE"/>
    <w:rsid w:val="36266DA9"/>
    <w:rsid w:val="3699231A"/>
    <w:rsid w:val="372D413B"/>
    <w:rsid w:val="38687C4C"/>
    <w:rsid w:val="3A637691"/>
    <w:rsid w:val="3BD859D2"/>
    <w:rsid w:val="3C095991"/>
    <w:rsid w:val="3C8728D2"/>
    <w:rsid w:val="3DA04D78"/>
    <w:rsid w:val="3EEC2207"/>
    <w:rsid w:val="3F402CF4"/>
    <w:rsid w:val="3F7B2072"/>
    <w:rsid w:val="3FD25FC0"/>
    <w:rsid w:val="40F864EF"/>
    <w:rsid w:val="41460A81"/>
    <w:rsid w:val="4172247D"/>
    <w:rsid w:val="41F73803"/>
    <w:rsid w:val="4388468D"/>
    <w:rsid w:val="444B4B1F"/>
    <w:rsid w:val="44BB6F9F"/>
    <w:rsid w:val="4524141D"/>
    <w:rsid w:val="45D45007"/>
    <w:rsid w:val="46111418"/>
    <w:rsid w:val="4730061B"/>
    <w:rsid w:val="47386746"/>
    <w:rsid w:val="482C16ED"/>
    <w:rsid w:val="4AE35AB3"/>
    <w:rsid w:val="4B0A4580"/>
    <w:rsid w:val="4BF24461"/>
    <w:rsid w:val="4C786263"/>
    <w:rsid w:val="4C7C1825"/>
    <w:rsid w:val="4C9A5E6F"/>
    <w:rsid w:val="4CA72394"/>
    <w:rsid w:val="4FDE08CE"/>
    <w:rsid w:val="505C7DCE"/>
    <w:rsid w:val="50A0321D"/>
    <w:rsid w:val="525F4D70"/>
    <w:rsid w:val="529D7040"/>
    <w:rsid w:val="535256DF"/>
    <w:rsid w:val="53991720"/>
    <w:rsid w:val="53AB1F3E"/>
    <w:rsid w:val="58C44D35"/>
    <w:rsid w:val="58F9403E"/>
    <w:rsid w:val="5E766B46"/>
    <w:rsid w:val="5E9E5B28"/>
    <w:rsid w:val="5F7A6835"/>
    <w:rsid w:val="5F860E53"/>
    <w:rsid w:val="607F1756"/>
    <w:rsid w:val="61F83CCE"/>
    <w:rsid w:val="62F50E8B"/>
    <w:rsid w:val="636B005C"/>
    <w:rsid w:val="63BA7439"/>
    <w:rsid w:val="649F2F5C"/>
    <w:rsid w:val="65FE1E11"/>
    <w:rsid w:val="664730B3"/>
    <w:rsid w:val="675370F3"/>
    <w:rsid w:val="68AA1AE2"/>
    <w:rsid w:val="6ABE4084"/>
    <w:rsid w:val="6BA8736E"/>
    <w:rsid w:val="6C1A0DE1"/>
    <w:rsid w:val="6C871F88"/>
    <w:rsid w:val="6CE26CED"/>
    <w:rsid w:val="6D14544C"/>
    <w:rsid w:val="6D492369"/>
    <w:rsid w:val="6DD26378"/>
    <w:rsid w:val="6E047F88"/>
    <w:rsid w:val="6E593C79"/>
    <w:rsid w:val="71267873"/>
    <w:rsid w:val="7196120F"/>
    <w:rsid w:val="71CA2C6B"/>
    <w:rsid w:val="745A4A9B"/>
    <w:rsid w:val="755A3F56"/>
    <w:rsid w:val="75CC24B9"/>
    <w:rsid w:val="77B272E7"/>
    <w:rsid w:val="78EF6789"/>
    <w:rsid w:val="78FC5B80"/>
    <w:rsid w:val="795077AA"/>
    <w:rsid w:val="79861E2E"/>
    <w:rsid w:val="7B89464D"/>
    <w:rsid w:val="7B8A6427"/>
    <w:rsid w:val="7C2C4664"/>
    <w:rsid w:val="7C3418E5"/>
    <w:rsid w:val="7CBA30F0"/>
    <w:rsid w:val="7CF716F6"/>
    <w:rsid w:val="7E2B0D29"/>
    <w:rsid w:val="7E6D192C"/>
    <w:rsid w:val="7F160B68"/>
    <w:rsid w:val="7F4D103F"/>
    <w:rsid w:val="7F5C385B"/>
    <w:rsid w:val="7FB96017"/>
    <w:rsid w:val="7FD2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pPr>
  </w:style>
  <w:style w:type="paragraph" w:styleId="3">
    <w:name w:val="Body Text Indent"/>
    <w:basedOn w:val="1"/>
    <w:next w:val="4"/>
    <w:qFormat/>
    <w:uiPriority w:val="0"/>
    <w:pPr>
      <w:spacing w:after="120"/>
      <w:ind w:left="420" w:leftChars="420"/>
    </w:pPr>
    <w:rPr>
      <w:rFonts w:ascii="Times New Roman" w:hAnsi="Times New Roman"/>
    </w:rPr>
  </w:style>
  <w:style w:type="paragraph" w:styleId="4">
    <w:name w:val="envelope return"/>
    <w:basedOn w:val="1"/>
    <w:qFormat/>
    <w:uiPriority w:val="0"/>
    <w:pPr>
      <w:snapToGrid w:val="0"/>
    </w:pPr>
    <w:rPr>
      <w:rFonts w:ascii="Arial" w:hAnsi="Arial"/>
    </w:rPr>
  </w:style>
  <w:style w:type="paragraph" w:styleId="5">
    <w:name w:val="Normal Indent"/>
    <w:basedOn w:val="1"/>
    <w:link w:val="22"/>
    <w:qFormat/>
    <w:uiPriority w:val="0"/>
    <w:pPr>
      <w:ind w:firstLine="420"/>
      <w:jc w:val="left"/>
    </w:pPr>
    <w:rPr>
      <w:rFonts w:eastAsia="楷体_GB2312"/>
      <w:sz w:val="24"/>
      <w:szCs w:val="24"/>
    </w:rPr>
  </w:style>
  <w:style w:type="paragraph" w:styleId="6">
    <w:name w:val="Body Text"/>
    <w:basedOn w:val="1"/>
    <w:qFormat/>
    <w:uiPriority w:val="0"/>
    <w:pPr>
      <w:spacing w:line="400" w:lineRule="exact"/>
    </w:pPr>
    <w:rPr>
      <w:rFonts w:ascii="楷体_GB2312" w:hAnsi="Times New Roman"/>
      <w:sz w:val="28"/>
      <w:szCs w:val="28"/>
    </w:rPr>
  </w:style>
  <w:style w:type="paragraph" w:styleId="7">
    <w:name w:val="Plain Text"/>
    <w:basedOn w:val="1"/>
    <w:qFormat/>
    <w:uiPriority w:val="0"/>
    <w:rPr>
      <w:rFonts w:ascii="宋体" w:hAnsi="Courier New"/>
    </w:r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toc 1"/>
    <w:basedOn w:val="1"/>
    <w:next w:val="1"/>
    <w:qFormat/>
    <w:uiPriority w:val="0"/>
    <w:rPr>
      <w:rFonts w:ascii="Times New Roman" w:hAnsi="Times New Roman"/>
    </w:rPr>
  </w:style>
  <w:style w:type="paragraph" w:styleId="12">
    <w:name w:val="Normal (Web)"/>
    <w:basedOn w:val="1"/>
    <w:qFormat/>
    <w:uiPriority w:val="99"/>
    <w:pPr>
      <w:jc w:val="left"/>
    </w:pPr>
    <w:rPr>
      <w:rFonts w:ascii="Times New Roman" w:hAnsi="Times New Roman"/>
      <w:kern w:val="0"/>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Default"/>
    <w:qFormat/>
    <w:uiPriority w:val="0"/>
    <w:pPr>
      <w:autoSpaceDE w:val="0"/>
      <w:autoSpaceDN w:val="0"/>
    </w:pPr>
    <w:rPr>
      <w:rFonts w:ascii="Arial,Bold" w:hAnsi="Arial,Bold" w:eastAsia="PMingLiU" w:cs="Times New Roman"/>
      <w:lang w:val="en-US" w:eastAsia="en-US" w:bidi="ar-SA"/>
    </w:rPr>
  </w:style>
  <w:style w:type="paragraph" w:customStyle="1" w:styleId="17">
    <w:name w:val="正文缩进2格"/>
    <w:basedOn w:val="1"/>
    <w:qFormat/>
    <w:uiPriority w:val="0"/>
    <w:pPr>
      <w:spacing w:line="600" w:lineRule="exact"/>
      <w:ind w:firstLine="206"/>
    </w:pPr>
    <w:rPr>
      <w:rFonts w:ascii="仿宋_GB2312" w:hAnsi="宋体" w:eastAsia="仿宋_GB2312"/>
      <w:sz w:val="31"/>
      <w:szCs w:val="31"/>
    </w:rPr>
  </w:style>
  <w:style w:type="paragraph" w:customStyle="1" w:styleId="18">
    <w:name w:val="无间隔1"/>
    <w:qFormat/>
    <w:uiPriority w:val="0"/>
    <w:pPr>
      <w:spacing w:line="300" w:lineRule="auto"/>
    </w:pPr>
    <w:rPr>
      <w:rFonts w:ascii="Times New Roman" w:hAnsi="Times New Roman" w:eastAsia="华文仿宋" w:cs="Times New Roman"/>
      <w:sz w:val="24"/>
      <w:szCs w:val="24"/>
      <w:lang w:val="en-US" w:eastAsia="zh-CN" w:bidi="ar-SA"/>
    </w:rPr>
  </w:style>
  <w:style w:type="paragraph" w:customStyle="1" w:styleId="19">
    <w:name w:val="ZX-正文"/>
    <w:qFormat/>
    <w:uiPriority w:val="0"/>
    <w:pPr>
      <w:spacing w:beforeLines="50"/>
      <w:ind w:firstLine="480" w:firstLineChars="200"/>
    </w:pPr>
    <w:rPr>
      <w:rFonts w:ascii="Trebuchet MS" w:hAnsi="FuturaA Bk BT" w:eastAsia="宋体" w:cs="Times New Roman"/>
      <w:kern w:val="2"/>
      <w:sz w:val="24"/>
      <w:lang w:val="en-US" w:eastAsia="zh-CN" w:bidi="ar-SA"/>
    </w:rPr>
  </w:style>
  <w:style w:type="character" w:customStyle="1" w:styleId="20">
    <w:name w:val="Hyperlink.0"/>
    <w:qFormat/>
    <w:uiPriority w:val="0"/>
    <w:rPr>
      <w:rFonts w:ascii="宋体" w:hAnsi="宋体" w:eastAsia="宋体" w:cs="宋体"/>
      <w:sz w:val="24"/>
      <w:szCs w:val="24"/>
      <w:lang w:val="zh-TW" w:eastAsia="zh-TW"/>
    </w:rPr>
  </w:style>
  <w:style w:type="paragraph" w:styleId="21">
    <w:name w:val="List Paragraph"/>
    <w:basedOn w:val="1"/>
    <w:qFormat/>
    <w:uiPriority w:val="0"/>
    <w:pPr>
      <w:ind w:firstLine="200"/>
    </w:pPr>
    <w:rPr>
      <w:rFonts w:ascii="Times New Roman" w:hAnsi="Times New Roman"/>
      <w:szCs w:val="21"/>
    </w:rPr>
  </w:style>
  <w:style w:type="character" w:customStyle="1" w:styleId="22">
    <w:name w:val="正文缩进 Char"/>
    <w:link w:val="5"/>
    <w:qFormat/>
    <w:uiPriority w:val="0"/>
    <w:rPr>
      <w:rFonts w:ascii="Calibri" w:hAnsi="Calibri" w:eastAsia="楷体_GB2312"/>
      <w:kern w:val="2"/>
      <w:sz w:val="24"/>
      <w:szCs w:val="24"/>
    </w:rPr>
  </w:style>
  <w:style w:type="character" w:customStyle="1" w:styleId="23">
    <w:name w:val="普通正文 Char"/>
    <w:link w:val="24"/>
    <w:qFormat/>
    <w:uiPriority w:val="0"/>
    <w:rPr>
      <w:rFonts w:ascii="Arial" w:hAnsi="Arial"/>
      <w:sz w:val="24"/>
      <w:szCs w:val="24"/>
    </w:rPr>
  </w:style>
  <w:style w:type="paragraph" w:customStyle="1" w:styleId="24">
    <w:name w:val="普通正文"/>
    <w:basedOn w:val="1"/>
    <w:link w:val="23"/>
    <w:qFormat/>
    <w:uiPriority w:val="0"/>
    <w:pPr>
      <w:adjustRightInd w:val="0"/>
      <w:spacing w:before="120" w:after="120" w:line="360" w:lineRule="auto"/>
      <w:ind w:left="-2" w:right="120" w:firstLine="480"/>
      <w:jc w:val="center"/>
      <w:textAlignment w:val="baseline"/>
    </w:pPr>
    <w:rPr>
      <w:rFonts w:ascii="Arial" w:hAnsi="Arial"/>
      <w:kern w:val="0"/>
      <w:sz w:val="24"/>
      <w:szCs w:val="24"/>
    </w:rPr>
  </w:style>
  <w:style w:type="character" w:customStyle="1" w:styleId="25">
    <w:name w:val="批注框文本 Char"/>
    <w:basedOn w:val="15"/>
    <w:link w:val="8"/>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14532</Words>
  <Characters>14751</Characters>
  <Lines>112</Lines>
  <Paragraphs>31</Paragraphs>
  <TotalTime>33</TotalTime>
  <ScaleCrop>false</ScaleCrop>
  <LinksUpToDate>false</LinksUpToDate>
  <CharactersWithSpaces>15028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2021-03-29T03:04:00Z</dcterms:created>
  <dc:creator>User</dc:creator>
  <cp:lastModifiedBy>范小呆</cp:lastModifiedBy>
  <cp:lastPrinted>2021-09-04T07:31:00Z</cp:lastPrinted>
  <dcterms:modified xsi:type="dcterms:W3CDTF">2022-07-21T07:20:14Z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236731702_btnclosed</vt:lpwstr>
  </property>
  <property fmtid="{D5CDD505-2E9C-101B-9397-08002B2CF9AE}" pid="4" name="ICV">
    <vt:lpwstr>A0D9A751D1554B659BF3ECC9028F4460</vt:lpwstr>
  </property>
</Properties>
</file>