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方正小标宋_GBK" w:eastAsia="方正小标宋_GBK"/>
          <w:sz w:val="44"/>
          <w:szCs w:val="44"/>
        </w:rPr>
      </w:pPr>
    </w:p>
    <w:p>
      <w:pPr>
        <w:ind w:firstLine="0" w:firstLineChars="0"/>
        <w:jc w:val="center"/>
        <w:rPr>
          <w:rFonts w:ascii="方正小标宋_GBK" w:eastAsia="方正小标宋_GBK"/>
          <w:sz w:val="44"/>
          <w:szCs w:val="44"/>
        </w:rPr>
      </w:pPr>
    </w:p>
    <w:p>
      <w:pPr>
        <w:ind w:firstLine="0" w:firstLineChars="0"/>
        <w:jc w:val="center"/>
        <w:rPr>
          <w:rFonts w:ascii="方正小标宋_GBK" w:eastAsia="方正小标宋_GBK"/>
          <w:sz w:val="44"/>
          <w:szCs w:val="44"/>
        </w:rPr>
      </w:pPr>
    </w:p>
    <w:p>
      <w:pPr>
        <w:ind w:firstLine="0" w:firstLineChars="0"/>
        <w:jc w:val="center"/>
        <w:rPr>
          <w:rFonts w:ascii="方正小标宋_GBK" w:eastAsia="方正小标宋_GBK"/>
          <w:sz w:val="44"/>
          <w:szCs w:val="44"/>
        </w:rPr>
      </w:pPr>
    </w:p>
    <w:p>
      <w:pPr>
        <w:spacing w:line="240" w:lineRule="auto"/>
        <w:ind w:firstLine="0" w:firstLineChars="0"/>
        <w:jc w:val="center"/>
        <w:rPr>
          <w:rFonts w:ascii="方正小标宋_GBK" w:eastAsia="方正小标宋_GBK"/>
          <w:sz w:val="72"/>
          <w:szCs w:val="72"/>
        </w:rPr>
      </w:pPr>
      <w:r>
        <w:rPr>
          <w:rFonts w:hint="eastAsia" w:ascii="方正小标宋_GBK" w:eastAsia="方正小标宋_GBK"/>
          <w:sz w:val="72"/>
          <w:szCs w:val="72"/>
        </w:rPr>
        <w:t>海门区常乐镇产业发展及配套设施专项规划</w:t>
      </w:r>
    </w:p>
    <w:p>
      <w:pPr>
        <w:ind w:firstLine="0" w:firstLineChars="0"/>
        <w:jc w:val="center"/>
        <w:rPr>
          <w:rFonts w:ascii="方正小标宋_GBK" w:eastAsia="方正小标宋_GBK"/>
          <w:sz w:val="44"/>
          <w:szCs w:val="44"/>
        </w:rPr>
      </w:pPr>
    </w:p>
    <w:p>
      <w:pPr>
        <w:ind w:firstLine="0" w:firstLineChars="0"/>
        <w:jc w:val="center"/>
        <w:rPr>
          <w:rFonts w:ascii="方正小标宋_GBK" w:eastAsia="方正小标宋_GBK"/>
          <w:sz w:val="44"/>
          <w:szCs w:val="44"/>
        </w:rPr>
      </w:pPr>
    </w:p>
    <w:p>
      <w:pPr>
        <w:ind w:firstLine="0" w:firstLineChars="0"/>
        <w:jc w:val="center"/>
        <w:rPr>
          <w:rFonts w:ascii="方正小标宋_GBK" w:eastAsia="方正小标宋_GBK"/>
          <w:sz w:val="44"/>
          <w:szCs w:val="44"/>
        </w:rPr>
      </w:pPr>
    </w:p>
    <w:p>
      <w:pPr>
        <w:ind w:firstLine="0" w:firstLineChars="0"/>
        <w:jc w:val="center"/>
        <w:rPr>
          <w:rFonts w:ascii="方正小标宋_GBK" w:eastAsia="方正小标宋_GBK"/>
          <w:sz w:val="44"/>
          <w:szCs w:val="44"/>
        </w:rPr>
      </w:pPr>
    </w:p>
    <w:p>
      <w:pPr>
        <w:ind w:firstLine="0" w:firstLineChars="0"/>
        <w:jc w:val="center"/>
        <w:rPr>
          <w:rFonts w:ascii="方正小标宋_GBK" w:eastAsia="方正小标宋_GBK"/>
          <w:sz w:val="44"/>
          <w:szCs w:val="44"/>
        </w:rPr>
      </w:pPr>
    </w:p>
    <w:p>
      <w:pPr>
        <w:ind w:firstLine="0" w:firstLineChars="0"/>
        <w:jc w:val="center"/>
        <w:rPr>
          <w:rFonts w:ascii="方正小标宋_GBK" w:eastAsia="方正小标宋_GBK"/>
          <w:sz w:val="44"/>
          <w:szCs w:val="44"/>
        </w:rPr>
      </w:pPr>
    </w:p>
    <w:p>
      <w:pPr>
        <w:ind w:firstLine="0" w:firstLineChars="0"/>
        <w:jc w:val="center"/>
        <w:rPr>
          <w:rFonts w:ascii="方正小标宋_GBK" w:eastAsia="方正小标宋_GBK"/>
          <w:sz w:val="44"/>
          <w:szCs w:val="44"/>
        </w:rPr>
      </w:pPr>
    </w:p>
    <w:p>
      <w:pPr>
        <w:ind w:firstLine="0" w:firstLineChars="0"/>
        <w:jc w:val="center"/>
        <w:rPr>
          <w:rFonts w:ascii="方正小标宋_GBK" w:eastAsia="方正小标宋_GBK"/>
          <w:sz w:val="44"/>
          <w:szCs w:val="44"/>
        </w:rPr>
      </w:pPr>
    </w:p>
    <w:p>
      <w:pPr>
        <w:ind w:firstLine="0" w:firstLineChars="0"/>
        <w:jc w:val="center"/>
        <w:rPr>
          <w:rFonts w:ascii="方正小标宋_GBK" w:eastAsia="方正小标宋_GBK"/>
          <w:sz w:val="44"/>
          <w:szCs w:val="44"/>
        </w:rPr>
      </w:pPr>
    </w:p>
    <w:p>
      <w:pPr>
        <w:ind w:firstLine="0" w:firstLineChars="0"/>
        <w:jc w:val="center"/>
        <w:rPr>
          <w:rFonts w:ascii="方正小标宋_GBK" w:eastAsia="方正小标宋_GBK"/>
          <w:sz w:val="44"/>
          <w:szCs w:val="44"/>
        </w:rPr>
      </w:pPr>
    </w:p>
    <w:p>
      <w:pPr>
        <w:ind w:firstLine="0" w:firstLineChars="0"/>
        <w:jc w:val="center"/>
        <w:rPr>
          <w:rFonts w:ascii="方正小标宋_GBK" w:eastAsia="方正小标宋_GBK"/>
          <w:sz w:val="44"/>
          <w:szCs w:val="44"/>
        </w:rPr>
      </w:pPr>
    </w:p>
    <w:p>
      <w:pPr>
        <w:ind w:firstLine="0" w:firstLineChars="0"/>
        <w:jc w:val="center"/>
        <w:rPr>
          <w:rFonts w:hint="eastAsia" w:eastAsia="仿宋_GB2312"/>
          <w:lang w:val="en-US" w:eastAsia="zh-CN"/>
        </w:rPr>
      </w:pPr>
      <w:r>
        <w:rPr>
          <w:rFonts w:hint="eastAsia"/>
          <w:lang w:val="en-US" w:eastAsia="zh-CN"/>
        </w:rPr>
        <w:t>常乐镇人民政府</w:t>
      </w:r>
    </w:p>
    <w:p>
      <w:pPr>
        <w:ind w:firstLine="0" w:firstLineChars="0"/>
        <w:jc w:val="center"/>
      </w:pPr>
      <w:r>
        <w:rPr>
          <w:rFonts w:hint="eastAsia"/>
        </w:rPr>
        <w:t>202</w:t>
      </w:r>
      <w:r>
        <w:t>3</w:t>
      </w:r>
      <w:r>
        <w:rPr>
          <w:rFonts w:hint="eastAsia"/>
        </w:rPr>
        <w:t>年</w:t>
      </w:r>
      <w:r>
        <w:t>11</w:t>
      </w:r>
      <w:r>
        <w:rPr>
          <w:rFonts w:hint="eastAsia"/>
        </w:rPr>
        <w:t>月</w:t>
      </w:r>
    </w:p>
    <w:p>
      <w:pPr>
        <w:widowControl/>
        <w:spacing w:line="240" w:lineRule="auto"/>
        <w:ind w:firstLine="0" w:firstLineChars="0"/>
        <w:jc w:val="left"/>
      </w:pPr>
      <w:r>
        <w:br w:type="page"/>
      </w:r>
    </w:p>
    <w:p>
      <w:pPr>
        <w:ind w:firstLine="0" w:firstLineChars="0"/>
        <w:jc w:val="center"/>
        <w:rPr>
          <w:b/>
          <w:bCs/>
        </w:rPr>
      </w:pPr>
      <w:r>
        <w:rPr>
          <w:rFonts w:hint="eastAsia"/>
          <w:b/>
          <w:bCs/>
        </w:rPr>
        <w:t xml:space="preserve">目 </w:t>
      </w:r>
      <w:r>
        <w:rPr>
          <w:b/>
          <w:bCs/>
        </w:rPr>
        <w:t xml:space="preserve"> </w:t>
      </w:r>
      <w:r>
        <w:rPr>
          <w:rFonts w:hint="eastAsia"/>
          <w:b/>
          <w:bCs/>
        </w:rPr>
        <w:t>录</w:t>
      </w:r>
    </w:p>
    <w:p>
      <w:pPr>
        <w:ind w:firstLine="0" w:firstLineChars="0"/>
        <w:jc w:val="center"/>
        <w:rPr>
          <w:b/>
          <w:bCs/>
        </w:rPr>
      </w:pPr>
    </w:p>
    <w:p>
      <w:pPr>
        <w:pStyle w:val="7"/>
        <w:tabs>
          <w:tab w:val="right" w:leader="dot" w:pos="8306"/>
        </w:tabs>
      </w:pPr>
      <w:r>
        <w:fldChar w:fldCharType="begin"/>
      </w:r>
      <w:r>
        <w:instrText xml:space="preserve"> TOC \o "1-2" \h \z \u </w:instrText>
      </w:r>
      <w:r>
        <w:fldChar w:fldCharType="separate"/>
      </w:r>
      <w:r>
        <w:fldChar w:fldCharType="begin"/>
      </w:r>
      <w:r>
        <w:instrText xml:space="preserve"> HYPERLINK \l _Toc5752 </w:instrText>
      </w:r>
      <w:r>
        <w:fldChar w:fldCharType="separate"/>
      </w:r>
      <w:r>
        <w:rPr>
          <w:rFonts w:hint="eastAsia"/>
        </w:rPr>
        <w:t>一、前言</w:t>
      </w:r>
      <w:r>
        <w:tab/>
      </w:r>
      <w:r>
        <w:fldChar w:fldCharType="begin"/>
      </w:r>
      <w:r>
        <w:instrText xml:space="preserve"> PAGEREF _Toc5752 \h </w:instrText>
      </w:r>
      <w:r>
        <w:fldChar w:fldCharType="separate"/>
      </w:r>
      <w:r>
        <w:t>1</w:t>
      </w:r>
      <w:r>
        <w:fldChar w:fldCharType="end"/>
      </w:r>
      <w:r>
        <w:fldChar w:fldCharType="end"/>
      </w:r>
    </w:p>
    <w:p>
      <w:pPr>
        <w:pStyle w:val="9"/>
        <w:tabs>
          <w:tab w:val="right" w:leader="dot" w:pos="8306"/>
        </w:tabs>
      </w:pPr>
      <w:r>
        <w:fldChar w:fldCharType="begin"/>
      </w:r>
      <w:r>
        <w:instrText xml:space="preserve"> HYPERLINK \l _Toc19945 </w:instrText>
      </w:r>
      <w:r>
        <w:fldChar w:fldCharType="separate"/>
      </w:r>
      <w:r>
        <w:rPr>
          <w:rFonts w:hint="eastAsia"/>
        </w:rPr>
        <w:t>（一）规划背景和意义</w:t>
      </w:r>
      <w:r>
        <w:tab/>
      </w:r>
      <w:r>
        <w:fldChar w:fldCharType="begin"/>
      </w:r>
      <w:r>
        <w:instrText xml:space="preserve"> PAGEREF _Toc19945 \h </w:instrText>
      </w:r>
      <w:r>
        <w:fldChar w:fldCharType="separate"/>
      </w:r>
      <w:r>
        <w:t>1</w:t>
      </w:r>
      <w:r>
        <w:fldChar w:fldCharType="end"/>
      </w:r>
      <w:r>
        <w:fldChar w:fldCharType="end"/>
      </w:r>
    </w:p>
    <w:p>
      <w:pPr>
        <w:pStyle w:val="9"/>
        <w:tabs>
          <w:tab w:val="right" w:leader="dot" w:pos="8306"/>
        </w:tabs>
      </w:pPr>
      <w:r>
        <w:fldChar w:fldCharType="begin"/>
      </w:r>
      <w:r>
        <w:instrText xml:space="preserve"> HYPERLINK \l _Toc11989 </w:instrText>
      </w:r>
      <w:r>
        <w:fldChar w:fldCharType="separate"/>
      </w:r>
      <w:r>
        <w:rPr>
          <w:rFonts w:hint="eastAsia"/>
        </w:rPr>
        <w:t>（二）规划依据</w:t>
      </w:r>
      <w:r>
        <w:tab/>
      </w:r>
      <w:r>
        <w:fldChar w:fldCharType="begin"/>
      </w:r>
      <w:r>
        <w:instrText xml:space="preserve"> PAGEREF _Toc11989 \h </w:instrText>
      </w:r>
      <w:r>
        <w:fldChar w:fldCharType="separate"/>
      </w:r>
      <w:r>
        <w:t>1</w:t>
      </w:r>
      <w:r>
        <w:fldChar w:fldCharType="end"/>
      </w:r>
      <w:r>
        <w:fldChar w:fldCharType="end"/>
      </w:r>
    </w:p>
    <w:p>
      <w:pPr>
        <w:pStyle w:val="9"/>
        <w:tabs>
          <w:tab w:val="right" w:leader="dot" w:pos="8306"/>
        </w:tabs>
      </w:pPr>
      <w:r>
        <w:fldChar w:fldCharType="begin"/>
      </w:r>
      <w:r>
        <w:instrText xml:space="preserve"> HYPERLINK \l _Toc10885 </w:instrText>
      </w:r>
      <w:r>
        <w:fldChar w:fldCharType="separate"/>
      </w:r>
      <w:r>
        <w:rPr>
          <w:rFonts w:hint="eastAsia"/>
        </w:rPr>
        <w:t>（三）规划期限和范围</w:t>
      </w:r>
      <w:r>
        <w:tab/>
      </w:r>
      <w:r>
        <w:fldChar w:fldCharType="begin"/>
      </w:r>
      <w:r>
        <w:instrText xml:space="preserve"> PAGEREF _Toc10885 \h </w:instrText>
      </w:r>
      <w:r>
        <w:fldChar w:fldCharType="separate"/>
      </w:r>
      <w:r>
        <w:t>2</w:t>
      </w:r>
      <w:r>
        <w:fldChar w:fldCharType="end"/>
      </w:r>
      <w:r>
        <w:fldChar w:fldCharType="end"/>
      </w:r>
    </w:p>
    <w:p>
      <w:pPr>
        <w:pStyle w:val="7"/>
        <w:tabs>
          <w:tab w:val="right" w:leader="dot" w:pos="8306"/>
        </w:tabs>
      </w:pPr>
      <w:r>
        <w:fldChar w:fldCharType="begin"/>
      </w:r>
      <w:r>
        <w:instrText xml:space="preserve"> HYPERLINK \l _Toc32655 </w:instrText>
      </w:r>
      <w:r>
        <w:fldChar w:fldCharType="separate"/>
      </w:r>
      <w:r>
        <w:rPr>
          <w:rFonts w:hint="eastAsia"/>
        </w:rPr>
        <w:t>二、区域现状和基础条件</w:t>
      </w:r>
      <w:r>
        <w:tab/>
      </w:r>
      <w:r>
        <w:fldChar w:fldCharType="begin"/>
      </w:r>
      <w:r>
        <w:instrText xml:space="preserve"> PAGEREF _Toc32655 \h </w:instrText>
      </w:r>
      <w:r>
        <w:fldChar w:fldCharType="separate"/>
      </w:r>
      <w:r>
        <w:t>2</w:t>
      </w:r>
      <w:r>
        <w:fldChar w:fldCharType="end"/>
      </w:r>
      <w:r>
        <w:fldChar w:fldCharType="end"/>
      </w:r>
    </w:p>
    <w:p>
      <w:pPr>
        <w:pStyle w:val="9"/>
        <w:tabs>
          <w:tab w:val="right" w:leader="dot" w:pos="8306"/>
        </w:tabs>
      </w:pPr>
      <w:r>
        <w:fldChar w:fldCharType="begin"/>
      </w:r>
      <w:r>
        <w:instrText xml:space="preserve"> HYPERLINK \l _Toc32213 </w:instrText>
      </w:r>
      <w:r>
        <w:fldChar w:fldCharType="separate"/>
      </w:r>
      <w:r>
        <w:rPr>
          <w:rFonts w:hint="eastAsia"/>
        </w:rPr>
        <w:t>（一）基础条件</w:t>
      </w:r>
      <w:r>
        <w:tab/>
      </w:r>
      <w:r>
        <w:fldChar w:fldCharType="begin"/>
      </w:r>
      <w:r>
        <w:instrText xml:space="preserve"> PAGEREF _Toc32213 \h </w:instrText>
      </w:r>
      <w:r>
        <w:fldChar w:fldCharType="separate"/>
      </w:r>
      <w:r>
        <w:t>2</w:t>
      </w:r>
      <w:r>
        <w:fldChar w:fldCharType="end"/>
      </w:r>
      <w:r>
        <w:fldChar w:fldCharType="end"/>
      </w:r>
    </w:p>
    <w:p>
      <w:pPr>
        <w:pStyle w:val="9"/>
        <w:tabs>
          <w:tab w:val="right" w:leader="dot" w:pos="8306"/>
        </w:tabs>
      </w:pPr>
      <w:r>
        <w:fldChar w:fldCharType="begin"/>
      </w:r>
      <w:r>
        <w:instrText xml:space="preserve"> HYPERLINK \l _Toc18889 </w:instrText>
      </w:r>
      <w:r>
        <w:fldChar w:fldCharType="separate"/>
      </w:r>
      <w:r>
        <w:rPr>
          <w:rFonts w:hint="eastAsia"/>
        </w:rPr>
        <w:t>（二）产业发展现状</w:t>
      </w:r>
      <w:r>
        <w:tab/>
      </w:r>
      <w:r>
        <w:fldChar w:fldCharType="begin"/>
      </w:r>
      <w:r>
        <w:instrText xml:space="preserve"> PAGEREF _Toc18889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_Toc5318 </w:instrText>
      </w:r>
      <w:r>
        <w:fldChar w:fldCharType="separate"/>
      </w:r>
      <w:r>
        <w:rPr>
          <w:rFonts w:hint="eastAsia"/>
        </w:rPr>
        <w:t>三、发展环境和机遇分析</w:t>
      </w:r>
      <w:r>
        <w:tab/>
      </w:r>
      <w:r>
        <w:fldChar w:fldCharType="begin"/>
      </w:r>
      <w:r>
        <w:instrText xml:space="preserve"> PAGEREF _Toc5318 \h </w:instrText>
      </w:r>
      <w:r>
        <w:fldChar w:fldCharType="separate"/>
      </w:r>
      <w:r>
        <w:t>8</w:t>
      </w:r>
      <w:r>
        <w:fldChar w:fldCharType="end"/>
      </w:r>
      <w:r>
        <w:fldChar w:fldCharType="end"/>
      </w:r>
    </w:p>
    <w:p>
      <w:pPr>
        <w:pStyle w:val="9"/>
        <w:tabs>
          <w:tab w:val="right" w:leader="dot" w:pos="8306"/>
        </w:tabs>
      </w:pPr>
      <w:r>
        <w:fldChar w:fldCharType="begin"/>
      </w:r>
      <w:r>
        <w:instrText xml:space="preserve"> HYPERLINK \l _Toc23984 </w:instrText>
      </w:r>
      <w:r>
        <w:fldChar w:fldCharType="separate"/>
      </w:r>
      <w:r>
        <w:rPr>
          <w:rFonts w:hint="eastAsia"/>
        </w:rPr>
        <w:t>（一）国内外形势分析</w:t>
      </w:r>
      <w:r>
        <w:tab/>
      </w:r>
      <w:r>
        <w:fldChar w:fldCharType="begin"/>
      </w:r>
      <w:r>
        <w:instrText xml:space="preserve"> PAGEREF _Toc23984 \h </w:instrText>
      </w:r>
      <w:r>
        <w:fldChar w:fldCharType="separate"/>
      </w:r>
      <w:r>
        <w:t>8</w:t>
      </w:r>
      <w:r>
        <w:fldChar w:fldCharType="end"/>
      </w:r>
      <w:r>
        <w:fldChar w:fldCharType="end"/>
      </w:r>
    </w:p>
    <w:p>
      <w:pPr>
        <w:pStyle w:val="9"/>
        <w:tabs>
          <w:tab w:val="right" w:leader="dot" w:pos="8306"/>
        </w:tabs>
      </w:pPr>
      <w:r>
        <w:fldChar w:fldCharType="begin"/>
      </w:r>
      <w:r>
        <w:instrText xml:space="preserve"> HYPERLINK \l _Toc8706 </w:instrText>
      </w:r>
      <w:r>
        <w:fldChar w:fldCharType="separate"/>
      </w:r>
      <w:r>
        <w:rPr>
          <w:rFonts w:hint="eastAsia"/>
        </w:rPr>
        <w:t>（二）产业发展机遇分析</w:t>
      </w:r>
      <w:r>
        <w:tab/>
      </w:r>
      <w:r>
        <w:fldChar w:fldCharType="begin"/>
      </w:r>
      <w:r>
        <w:instrText xml:space="preserve"> PAGEREF _Toc8706 \h </w:instrText>
      </w:r>
      <w:r>
        <w:fldChar w:fldCharType="separate"/>
      </w:r>
      <w:r>
        <w:t>9</w:t>
      </w:r>
      <w:r>
        <w:fldChar w:fldCharType="end"/>
      </w:r>
      <w:r>
        <w:fldChar w:fldCharType="end"/>
      </w:r>
    </w:p>
    <w:p>
      <w:pPr>
        <w:pStyle w:val="7"/>
        <w:tabs>
          <w:tab w:val="right" w:leader="dot" w:pos="8306"/>
        </w:tabs>
      </w:pPr>
      <w:r>
        <w:fldChar w:fldCharType="begin"/>
      </w:r>
      <w:r>
        <w:instrText xml:space="preserve"> HYPERLINK \l _Toc25032 </w:instrText>
      </w:r>
      <w:r>
        <w:fldChar w:fldCharType="separate"/>
      </w:r>
      <w:r>
        <w:rPr>
          <w:rFonts w:hint="eastAsia"/>
        </w:rPr>
        <w:t>四、总体思路</w:t>
      </w:r>
      <w:r>
        <w:tab/>
      </w:r>
      <w:r>
        <w:fldChar w:fldCharType="begin"/>
      </w:r>
      <w:r>
        <w:instrText xml:space="preserve"> PAGEREF _Toc25032 \h </w:instrText>
      </w:r>
      <w:r>
        <w:fldChar w:fldCharType="separate"/>
      </w:r>
      <w:r>
        <w:t>11</w:t>
      </w:r>
      <w:r>
        <w:fldChar w:fldCharType="end"/>
      </w:r>
      <w:r>
        <w:fldChar w:fldCharType="end"/>
      </w:r>
    </w:p>
    <w:p>
      <w:pPr>
        <w:pStyle w:val="9"/>
        <w:tabs>
          <w:tab w:val="right" w:leader="dot" w:pos="8306"/>
        </w:tabs>
      </w:pPr>
      <w:r>
        <w:fldChar w:fldCharType="begin"/>
      </w:r>
      <w:r>
        <w:instrText xml:space="preserve"> HYPERLINK \l _Toc32373 </w:instrText>
      </w:r>
      <w:r>
        <w:fldChar w:fldCharType="separate"/>
      </w:r>
      <w:r>
        <w:rPr>
          <w:rFonts w:hint="eastAsia"/>
        </w:rPr>
        <w:t>（一）指导思想</w:t>
      </w:r>
      <w:r>
        <w:tab/>
      </w:r>
      <w:r>
        <w:fldChar w:fldCharType="begin"/>
      </w:r>
      <w:r>
        <w:instrText xml:space="preserve"> PAGEREF _Toc32373 \h </w:instrText>
      </w:r>
      <w:r>
        <w:fldChar w:fldCharType="separate"/>
      </w:r>
      <w:r>
        <w:t>11</w:t>
      </w:r>
      <w:r>
        <w:fldChar w:fldCharType="end"/>
      </w:r>
      <w:r>
        <w:fldChar w:fldCharType="end"/>
      </w:r>
    </w:p>
    <w:p>
      <w:pPr>
        <w:pStyle w:val="9"/>
        <w:tabs>
          <w:tab w:val="right" w:leader="dot" w:pos="8306"/>
        </w:tabs>
      </w:pPr>
      <w:r>
        <w:fldChar w:fldCharType="begin"/>
      </w:r>
      <w:r>
        <w:instrText xml:space="preserve"> HYPERLINK \l _Toc19937 </w:instrText>
      </w:r>
      <w:r>
        <w:fldChar w:fldCharType="separate"/>
      </w:r>
      <w:r>
        <w:rPr>
          <w:rFonts w:hint="eastAsia"/>
        </w:rPr>
        <w:t>（二）基本原则</w:t>
      </w:r>
      <w:r>
        <w:tab/>
      </w:r>
      <w:r>
        <w:fldChar w:fldCharType="begin"/>
      </w:r>
      <w:r>
        <w:instrText xml:space="preserve"> PAGEREF _Toc19937 \h </w:instrText>
      </w:r>
      <w:r>
        <w:fldChar w:fldCharType="separate"/>
      </w:r>
      <w:r>
        <w:t>12</w:t>
      </w:r>
      <w:r>
        <w:fldChar w:fldCharType="end"/>
      </w:r>
      <w:r>
        <w:fldChar w:fldCharType="end"/>
      </w:r>
    </w:p>
    <w:p>
      <w:pPr>
        <w:pStyle w:val="9"/>
        <w:tabs>
          <w:tab w:val="right" w:leader="dot" w:pos="8306"/>
        </w:tabs>
      </w:pPr>
      <w:r>
        <w:fldChar w:fldCharType="begin"/>
      </w:r>
      <w:r>
        <w:instrText xml:space="preserve"> HYPERLINK \l _Toc762 </w:instrText>
      </w:r>
      <w:r>
        <w:fldChar w:fldCharType="separate"/>
      </w:r>
      <w:r>
        <w:rPr>
          <w:rFonts w:hint="eastAsia"/>
        </w:rPr>
        <w:t>（三）发展目标</w:t>
      </w:r>
      <w:r>
        <w:tab/>
      </w:r>
      <w:r>
        <w:fldChar w:fldCharType="begin"/>
      </w:r>
      <w:r>
        <w:instrText xml:space="preserve"> PAGEREF _Toc762 \h </w:instrText>
      </w:r>
      <w:r>
        <w:fldChar w:fldCharType="separate"/>
      </w:r>
      <w:r>
        <w:t>13</w:t>
      </w:r>
      <w:r>
        <w:fldChar w:fldCharType="end"/>
      </w:r>
      <w:r>
        <w:fldChar w:fldCharType="end"/>
      </w:r>
    </w:p>
    <w:p>
      <w:pPr>
        <w:pStyle w:val="7"/>
        <w:tabs>
          <w:tab w:val="right" w:leader="dot" w:pos="8306"/>
        </w:tabs>
      </w:pPr>
      <w:r>
        <w:fldChar w:fldCharType="begin"/>
      </w:r>
      <w:r>
        <w:instrText xml:space="preserve"> HYPERLINK \l _Toc32393 </w:instrText>
      </w:r>
      <w:r>
        <w:fldChar w:fldCharType="separate"/>
      </w:r>
      <w:r>
        <w:rPr>
          <w:rFonts w:hint="eastAsia"/>
        </w:rPr>
        <w:t>五、主导产业定位和发展方向</w:t>
      </w:r>
      <w:r>
        <w:tab/>
      </w:r>
      <w:r>
        <w:fldChar w:fldCharType="begin"/>
      </w:r>
      <w:r>
        <w:instrText xml:space="preserve"> PAGEREF _Toc32393 \h </w:instrText>
      </w:r>
      <w:r>
        <w:fldChar w:fldCharType="separate"/>
      </w:r>
      <w:r>
        <w:t>13</w:t>
      </w:r>
      <w:r>
        <w:fldChar w:fldCharType="end"/>
      </w:r>
      <w:r>
        <w:fldChar w:fldCharType="end"/>
      </w:r>
    </w:p>
    <w:p>
      <w:pPr>
        <w:pStyle w:val="9"/>
        <w:tabs>
          <w:tab w:val="right" w:leader="dot" w:pos="8306"/>
        </w:tabs>
      </w:pPr>
      <w:r>
        <w:fldChar w:fldCharType="begin"/>
      </w:r>
      <w:r>
        <w:instrText xml:space="preserve"> HYPERLINK \l _Toc27771 </w:instrText>
      </w:r>
      <w:r>
        <w:fldChar w:fldCharType="separate"/>
      </w:r>
      <w:r>
        <w:rPr>
          <w:rFonts w:hint="eastAsia"/>
        </w:rPr>
        <w:t>（一）高端制造及科技研发产业</w:t>
      </w:r>
      <w:r>
        <w:tab/>
      </w:r>
      <w:r>
        <w:fldChar w:fldCharType="begin"/>
      </w:r>
      <w:r>
        <w:instrText xml:space="preserve"> PAGEREF _Toc27771 \h </w:instrText>
      </w:r>
      <w:r>
        <w:fldChar w:fldCharType="separate"/>
      </w:r>
      <w:r>
        <w:t>13</w:t>
      </w:r>
      <w:r>
        <w:fldChar w:fldCharType="end"/>
      </w:r>
      <w:r>
        <w:fldChar w:fldCharType="end"/>
      </w:r>
    </w:p>
    <w:p>
      <w:pPr>
        <w:pStyle w:val="9"/>
        <w:tabs>
          <w:tab w:val="right" w:leader="dot" w:pos="8306"/>
        </w:tabs>
      </w:pPr>
      <w:r>
        <w:fldChar w:fldCharType="begin"/>
      </w:r>
      <w:r>
        <w:instrText xml:space="preserve"> HYPERLINK \l _Toc11573 </w:instrText>
      </w:r>
      <w:r>
        <w:fldChar w:fldCharType="separate"/>
      </w:r>
      <w:r>
        <w:rPr>
          <w:rFonts w:hint="eastAsia"/>
        </w:rPr>
        <w:t>（二）现代农业产业</w:t>
      </w:r>
      <w:r>
        <w:tab/>
      </w:r>
      <w:r>
        <w:fldChar w:fldCharType="begin"/>
      </w:r>
      <w:r>
        <w:instrText xml:space="preserve"> PAGEREF _Toc11573 \h </w:instrText>
      </w:r>
      <w:r>
        <w:fldChar w:fldCharType="separate"/>
      </w:r>
      <w:r>
        <w:t>15</w:t>
      </w:r>
      <w:r>
        <w:fldChar w:fldCharType="end"/>
      </w:r>
      <w:r>
        <w:fldChar w:fldCharType="end"/>
      </w:r>
    </w:p>
    <w:p>
      <w:pPr>
        <w:pStyle w:val="9"/>
        <w:tabs>
          <w:tab w:val="right" w:leader="dot" w:pos="8306"/>
        </w:tabs>
      </w:pPr>
      <w:r>
        <w:fldChar w:fldCharType="begin"/>
      </w:r>
      <w:r>
        <w:instrText xml:space="preserve"> HYPERLINK \l _Toc1546 </w:instrText>
      </w:r>
      <w:r>
        <w:fldChar w:fldCharType="separate"/>
      </w:r>
      <w:r>
        <w:rPr>
          <w:rFonts w:hint="eastAsia"/>
        </w:rPr>
        <w:t>（三）文化旅游产业</w:t>
      </w:r>
      <w:r>
        <w:tab/>
      </w:r>
      <w:r>
        <w:fldChar w:fldCharType="begin"/>
      </w:r>
      <w:r>
        <w:instrText xml:space="preserve"> PAGEREF _Toc1546 \h </w:instrText>
      </w:r>
      <w:r>
        <w:fldChar w:fldCharType="separate"/>
      </w:r>
      <w:r>
        <w:t>16</w:t>
      </w:r>
      <w:r>
        <w:fldChar w:fldCharType="end"/>
      </w:r>
      <w:r>
        <w:fldChar w:fldCharType="end"/>
      </w:r>
    </w:p>
    <w:p>
      <w:pPr>
        <w:pStyle w:val="9"/>
        <w:tabs>
          <w:tab w:val="right" w:leader="dot" w:pos="8306"/>
        </w:tabs>
      </w:pPr>
      <w:r>
        <w:fldChar w:fldCharType="begin"/>
      </w:r>
      <w:r>
        <w:instrText xml:space="preserve"> HYPERLINK \l _Toc14961 </w:instrText>
      </w:r>
      <w:r>
        <w:fldChar w:fldCharType="separate"/>
      </w:r>
      <w:r>
        <w:rPr>
          <w:rFonts w:hint="eastAsia"/>
        </w:rPr>
        <w:t>（四）</w:t>
      </w:r>
      <w:r>
        <w:rPr>
          <w:rFonts w:hint="eastAsia"/>
          <w:lang w:eastAsia="zh-CN"/>
        </w:rPr>
        <w:t>商贸</w:t>
      </w:r>
      <w:r>
        <w:rPr>
          <w:rFonts w:hint="eastAsia"/>
        </w:rPr>
        <w:t>服务产业</w:t>
      </w:r>
      <w:r>
        <w:tab/>
      </w:r>
      <w:r>
        <w:fldChar w:fldCharType="begin"/>
      </w:r>
      <w:r>
        <w:instrText xml:space="preserve"> PAGEREF _Toc14961 \h </w:instrText>
      </w:r>
      <w:r>
        <w:fldChar w:fldCharType="separate"/>
      </w:r>
      <w:r>
        <w:t>16</w:t>
      </w:r>
      <w:r>
        <w:fldChar w:fldCharType="end"/>
      </w:r>
      <w:r>
        <w:fldChar w:fldCharType="end"/>
      </w:r>
    </w:p>
    <w:p>
      <w:pPr>
        <w:pStyle w:val="7"/>
        <w:tabs>
          <w:tab w:val="right" w:leader="dot" w:pos="8306"/>
        </w:tabs>
      </w:pPr>
      <w:r>
        <w:fldChar w:fldCharType="begin"/>
      </w:r>
      <w:r>
        <w:instrText xml:space="preserve"> HYPERLINK \l _Toc28857 </w:instrText>
      </w:r>
      <w:r>
        <w:fldChar w:fldCharType="separate"/>
      </w:r>
      <w:r>
        <w:rPr>
          <w:rFonts w:hint="eastAsia"/>
        </w:rPr>
        <w:t>六、重点任务</w:t>
      </w:r>
      <w:r>
        <w:tab/>
      </w:r>
      <w:r>
        <w:fldChar w:fldCharType="begin"/>
      </w:r>
      <w:r>
        <w:instrText xml:space="preserve"> PAGEREF _Toc28857 \h </w:instrText>
      </w:r>
      <w:r>
        <w:fldChar w:fldCharType="separate"/>
      </w:r>
      <w:r>
        <w:t>17</w:t>
      </w:r>
      <w:r>
        <w:fldChar w:fldCharType="end"/>
      </w:r>
      <w:r>
        <w:fldChar w:fldCharType="end"/>
      </w:r>
    </w:p>
    <w:p>
      <w:pPr>
        <w:pStyle w:val="9"/>
        <w:tabs>
          <w:tab w:val="right" w:leader="dot" w:pos="8306"/>
        </w:tabs>
      </w:pPr>
      <w:r>
        <w:fldChar w:fldCharType="begin"/>
      </w:r>
      <w:r>
        <w:instrText xml:space="preserve"> HYPERLINK \l _Toc25306 </w:instrText>
      </w:r>
      <w:r>
        <w:fldChar w:fldCharType="separate"/>
      </w:r>
      <w:r>
        <w:rPr>
          <w:rFonts w:hint="eastAsia"/>
        </w:rPr>
        <w:t>（一）加强项目引育</w:t>
      </w:r>
      <w:r>
        <w:tab/>
      </w:r>
      <w:r>
        <w:fldChar w:fldCharType="begin"/>
      </w:r>
      <w:r>
        <w:instrText xml:space="preserve"> PAGEREF _Toc25306 \h </w:instrText>
      </w:r>
      <w:r>
        <w:fldChar w:fldCharType="separate"/>
      </w:r>
      <w:r>
        <w:t>17</w:t>
      </w:r>
      <w:r>
        <w:fldChar w:fldCharType="end"/>
      </w:r>
      <w:r>
        <w:fldChar w:fldCharType="end"/>
      </w:r>
    </w:p>
    <w:p>
      <w:pPr>
        <w:pStyle w:val="9"/>
        <w:tabs>
          <w:tab w:val="right" w:leader="dot" w:pos="8306"/>
        </w:tabs>
      </w:pPr>
      <w:r>
        <w:fldChar w:fldCharType="begin"/>
      </w:r>
      <w:r>
        <w:instrText xml:space="preserve"> HYPERLINK \l _Toc24379 </w:instrText>
      </w:r>
      <w:r>
        <w:fldChar w:fldCharType="separate"/>
      </w:r>
      <w:r>
        <w:rPr>
          <w:rFonts w:hint="eastAsia"/>
        </w:rPr>
        <w:t>（二）完善配套产业</w:t>
      </w:r>
      <w:r>
        <w:tab/>
      </w:r>
      <w:r>
        <w:fldChar w:fldCharType="begin"/>
      </w:r>
      <w:r>
        <w:instrText xml:space="preserve"> PAGEREF _Toc24379 \h </w:instrText>
      </w:r>
      <w:r>
        <w:fldChar w:fldCharType="separate"/>
      </w:r>
      <w:r>
        <w:t>17</w:t>
      </w:r>
      <w:r>
        <w:fldChar w:fldCharType="end"/>
      </w:r>
      <w:r>
        <w:fldChar w:fldCharType="end"/>
      </w:r>
    </w:p>
    <w:p>
      <w:pPr>
        <w:pStyle w:val="9"/>
        <w:tabs>
          <w:tab w:val="right" w:leader="dot" w:pos="8306"/>
        </w:tabs>
      </w:pPr>
      <w:r>
        <w:fldChar w:fldCharType="begin"/>
      </w:r>
      <w:r>
        <w:instrText xml:space="preserve"> HYPERLINK \l _Toc31926 </w:instrText>
      </w:r>
      <w:r>
        <w:fldChar w:fldCharType="separate"/>
      </w:r>
      <w:r>
        <w:rPr>
          <w:rFonts w:hint="eastAsia"/>
        </w:rPr>
        <w:t>（三）强化产业支撑</w:t>
      </w:r>
      <w:r>
        <w:tab/>
      </w:r>
      <w:r>
        <w:fldChar w:fldCharType="begin"/>
      </w:r>
      <w:r>
        <w:instrText xml:space="preserve"> PAGEREF _Toc31926 \h </w:instrText>
      </w:r>
      <w:r>
        <w:fldChar w:fldCharType="separate"/>
      </w:r>
      <w:r>
        <w:t>18</w:t>
      </w:r>
      <w:r>
        <w:fldChar w:fldCharType="end"/>
      </w:r>
      <w:r>
        <w:fldChar w:fldCharType="end"/>
      </w:r>
    </w:p>
    <w:p>
      <w:pPr>
        <w:pStyle w:val="9"/>
        <w:tabs>
          <w:tab w:val="right" w:leader="dot" w:pos="8306"/>
        </w:tabs>
      </w:pPr>
      <w:r>
        <w:fldChar w:fldCharType="begin"/>
      </w:r>
      <w:r>
        <w:instrText xml:space="preserve"> HYPERLINK \l _Toc2972 </w:instrText>
      </w:r>
      <w:r>
        <w:fldChar w:fldCharType="separate"/>
      </w:r>
      <w:r>
        <w:rPr>
          <w:rFonts w:hint="eastAsia"/>
        </w:rPr>
        <w:t>（四）建设重大平台</w:t>
      </w:r>
      <w:r>
        <w:tab/>
      </w:r>
      <w:r>
        <w:fldChar w:fldCharType="begin"/>
      </w:r>
      <w:r>
        <w:instrText xml:space="preserve"> PAGEREF _Toc2972 \h </w:instrText>
      </w:r>
      <w:r>
        <w:fldChar w:fldCharType="separate"/>
      </w:r>
      <w:r>
        <w:t>18</w:t>
      </w:r>
      <w:r>
        <w:fldChar w:fldCharType="end"/>
      </w:r>
      <w:r>
        <w:fldChar w:fldCharType="end"/>
      </w:r>
    </w:p>
    <w:p>
      <w:pPr>
        <w:pStyle w:val="9"/>
        <w:tabs>
          <w:tab w:val="right" w:leader="dot" w:pos="8306"/>
        </w:tabs>
      </w:pPr>
      <w:r>
        <w:fldChar w:fldCharType="begin"/>
      </w:r>
      <w:r>
        <w:instrText xml:space="preserve"> HYPERLINK \l _Toc2905 </w:instrText>
      </w:r>
      <w:r>
        <w:fldChar w:fldCharType="separate"/>
      </w:r>
      <w:r>
        <w:rPr>
          <w:rFonts w:hint="eastAsia"/>
        </w:rPr>
        <w:t>（五）创新招商模式</w:t>
      </w:r>
      <w:r>
        <w:tab/>
      </w:r>
      <w:r>
        <w:fldChar w:fldCharType="begin"/>
      </w:r>
      <w:r>
        <w:instrText xml:space="preserve"> PAGEREF _Toc2905 \h </w:instrText>
      </w:r>
      <w:r>
        <w:fldChar w:fldCharType="separate"/>
      </w:r>
      <w:r>
        <w:t>18</w:t>
      </w:r>
      <w:r>
        <w:fldChar w:fldCharType="end"/>
      </w:r>
      <w:r>
        <w:fldChar w:fldCharType="end"/>
      </w:r>
    </w:p>
    <w:p>
      <w:pPr>
        <w:pStyle w:val="9"/>
        <w:tabs>
          <w:tab w:val="right" w:leader="dot" w:pos="8306"/>
        </w:tabs>
      </w:pPr>
      <w:r>
        <w:fldChar w:fldCharType="begin"/>
      </w:r>
      <w:r>
        <w:instrText xml:space="preserve"> HYPERLINK \l _Toc8069 </w:instrText>
      </w:r>
      <w:r>
        <w:fldChar w:fldCharType="separate"/>
      </w:r>
      <w:r>
        <w:rPr>
          <w:rFonts w:hint="eastAsia"/>
        </w:rPr>
        <w:t>（六）集聚关键人才</w:t>
      </w:r>
      <w:r>
        <w:tab/>
      </w:r>
      <w:r>
        <w:fldChar w:fldCharType="begin"/>
      </w:r>
      <w:r>
        <w:instrText xml:space="preserve"> PAGEREF _Toc8069 \h </w:instrText>
      </w:r>
      <w:r>
        <w:fldChar w:fldCharType="separate"/>
      </w:r>
      <w:r>
        <w:t>18</w:t>
      </w:r>
      <w:r>
        <w:fldChar w:fldCharType="end"/>
      </w:r>
      <w:r>
        <w:fldChar w:fldCharType="end"/>
      </w:r>
    </w:p>
    <w:p>
      <w:pPr>
        <w:pStyle w:val="9"/>
        <w:tabs>
          <w:tab w:val="right" w:leader="dot" w:pos="8306"/>
        </w:tabs>
      </w:pPr>
      <w:r>
        <w:fldChar w:fldCharType="begin"/>
      </w:r>
      <w:r>
        <w:instrText xml:space="preserve"> HYPERLINK \l _Toc7876 </w:instrText>
      </w:r>
      <w:r>
        <w:fldChar w:fldCharType="separate"/>
      </w:r>
      <w:r>
        <w:rPr>
          <w:rFonts w:hint="eastAsia"/>
        </w:rPr>
        <w:t>（七）优化营商环境</w:t>
      </w:r>
      <w:r>
        <w:tab/>
      </w:r>
      <w:r>
        <w:fldChar w:fldCharType="begin"/>
      </w:r>
      <w:r>
        <w:instrText xml:space="preserve"> PAGEREF _Toc7876 \h </w:instrText>
      </w:r>
      <w:r>
        <w:fldChar w:fldCharType="separate"/>
      </w:r>
      <w:r>
        <w:t>19</w:t>
      </w:r>
      <w:r>
        <w:fldChar w:fldCharType="end"/>
      </w:r>
      <w:r>
        <w:fldChar w:fldCharType="end"/>
      </w:r>
    </w:p>
    <w:p>
      <w:pPr>
        <w:pStyle w:val="7"/>
        <w:tabs>
          <w:tab w:val="right" w:leader="dot" w:pos="8306"/>
        </w:tabs>
      </w:pPr>
      <w:r>
        <w:fldChar w:fldCharType="begin"/>
      </w:r>
      <w:r>
        <w:instrText xml:space="preserve"> HYPERLINK \l _Toc19441 </w:instrText>
      </w:r>
      <w:r>
        <w:fldChar w:fldCharType="separate"/>
      </w:r>
      <w:r>
        <w:rPr>
          <w:rFonts w:hint="eastAsia"/>
        </w:rPr>
        <w:t>七、保障措施</w:t>
      </w:r>
      <w:r>
        <w:tab/>
      </w:r>
      <w:r>
        <w:fldChar w:fldCharType="begin"/>
      </w:r>
      <w:r>
        <w:instrText xml:space="preserve"> PAGEREF _Toc19441 \h </w:instrText>
      </w:r>
      <w:r>
        <w:fldChar w:fldCharType="separate"/>
      </w:r>
      <w:r>
        <w:t>19</w:t>
      </w:r>
      <w:r>
        <w:fldChar w:fldCharType="end"/>
      </w:r>
      <w:r>
        <w:fldChar w:fldCharType="end"/>
      </w:r>
    </w:p>
    <w:p>
      <w:pPr>
        <w:pStyle w:val="9"/>
        <w:tabs>
          <w:tab w:val="right" w:leader="dot" w:pos="8306"/>
        </w:tabs>
      </w:pPr>
      <w:r>
        <w:fldChar w:fldCharType="begin"/>
      </w:r>
      <w:r>
        <w:instrText xml:space="preserve"> HYPERLINK \l _Toc26906 </w:instrText>
      </w:r>
      <w:r>
        <w:fldChar w:fldCharType="separate"/>
      </w:r>
      <w:r>
        <w:rPr>
          <w:rFonts w:hint="eastAsia"/>
        </w:rPr>
        <w:t>（一）完善工作机制</w:t>
      </w:r>
      <w:r>
        <w:tab/>
      </w:r>
      <w:r>
        <w:fldChar w:fldCharType="begin"/>
      </w:r>
      <w:r>
        <w:instrText xml:space="preserve"> PAGEREF _Toc26906 \h </w:instrText>
      </w:r>
      <w:r>
        <w:fldChar w:fldCharType="separate"/>
      </w:r>
      <w:r>
        <w:t>19</w:t>
      </w:r>
      <w:r>
        <w:fldChar w:fldCharType="end"/>
      </w:r>
      <w:r>
        <w:fldChar w:fldCharType="end"/>
      </w:r>
    </w:p>
    <w:p>
      <w:pPr>
        <w:pStyle w:val="9"/>
        <w:tabs>
          <w:tab w:val="right" w:leader="dot" w:pos="8306"/>
        </w:tabs>
      </w:pPr>
      <w:r>
        <w:fldChar w:fldCharType="begin"/>
      </w:r>
      <w:r>
        <w:instrText xml:space="preserve"> HYPERLINK \l _Toc29504 </w:instrText>
      </w:r>
      <w:r>
        <w:fldChar w:fldCharType="separate"/>
      </w:r>
      <w:r>
        <w:rPr>
          <w:rFonts w:hint="eastAsia"/>
        </w:rPr>
        <w:t>（二）强化资金保障</w:t>
      </w:r>
      <w:r>
        <w:tab/>
      </w:r>
      <w:r>
        <w:fldChar w:fldCharType="begin"/>
      </w:r>
      <w:r>
        <w:instrText xml:space="preserve"> PAGEREF _Toc29504 \h </w:instrText>
      </w:r>
      <w:r>
        <w:fldChar w:fldCharType="separate"/>
      </w:r>
      <w:r>
        <w:t>19</w:t>
      </w:r>
      <w:r>
        <w:fldChar w:fldCharType="end"/>
      </w:r>
      <w:r>
        <w:fldChar w:fldCharType="end"/>
      </w:r>
    </w:p>
    <w:p>
      <w:pPr>
        <w:pStyle w:val="9"/>
        <w:tabs>
          <w:tab w:val="right" w:leader="dot" w:pos="8306"/>
        </w:tabs>
      </w:pPr>
      <w:r>
        <w:fldChar w:fldCharType="begin"/>
      </w:r>
      <w:r>
        <w:instrText xml:space="preserve"> HYPERLINK \l _Toc224 </w:instrText>
      </w:r>
      <w:r>
        <w:fldChar w:fldCharType="separate"/>
      </w:r>
      <w:r>
        <w:rPr>
          <w:rFonts w:hint="eastAsia"/>
        </w:rPr>
        <w:t>（三）节约利用土地</w:t>
      </w:r>
      <w:r>
        <w:tab/>
      </w:r>
      <w:r>
        <w:fldChar w:fldCharType="begin"/>
      </w:r>
      <w:r>
        <w:instrText xml:space="preserve"> PAGEREF _Toc224 \h </w:instrText>
      </w:r>
      <w:r>
        <w:fldChar w:fldCharType="separate"/>
      </w:r>
      <w:r>
        <w:t>20</w:t>
      </w:r>
      <w:r>
        <w:fldChar w:fldCharType="end"/>
      </w:r>
      <w:r>
        <w:fldChar w:fldCharType="end"/>
      </w:r>
    </w:p>
    <w:p>
      <w:pPr>
        <w:pStyle w:val="9"/>
        <w:tabs>
          <w:tab w:val="right" w:leader="dot" w:pos="8306"/>
        </w:tabs>
      </w:pPr>
      <w:r>
        <w:fldChar w:fldCharType="begin"/>
      </w:r>
      <w:r>
        <w:instrText xml:space="preserve"> HYPERLINK \l _Toc8443 </w:instrText>
      </w:r>
      <w:r>
        <w:fldChar w:fldCharType="separate"/>
      </w:r>
      <w:r>
        <w:rPr>
          <w:rFonts w:hint="eastAsia"/>
        </w:rPr>
        <w:t>（四）加强绩效考核</w:t>
      </w:r>
      <w:r>
        <w:tab/>
      </w:r>
      <w:r>
        <w:fldChar w:fldCharType="begin"/>
      </w:r>
      <w:r>
        <w:instrText xml:space="preserve"> PAGEREF _Toc8443 \h </w:instrText>
      </w:r>
      <w:r>
        <w:fldChar w:fldCharType="separate"/>
      </w:r>
      <w:r>
        <w:t>20</w:t>
      </w:r>
      <w:r>
        <w:fldChar w:fldCharType="end"/>
      </w:r>
      <w:r>
        <w:fldChar w:fldCharType="end"/>
      </w:r>
    </w:p>
    <w:p>
      <w:pPr>
        <w:widowControl/>
        <w:spacing w:line="240" w:lineRule="auto"/>
        <w:ind w:firstLine="0" w:firstLineChars="0"/>
        <w:jc w:val="left"/>
      </w:pPr>
      <w:r>
        <w:fldChar w:fldCharType="end"/>
      </w:r>
    </w:p>
    <w:p>
      <w:pPr>
        <w:widowControl/>
        <w:spacing w:line="240" w:lineRule="auto"/>
        <w:ind w:firstLine="0" w:firstLineChars="0"/>
        <w:jc w:val="left"/>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pStyle w:val="2"/>
        <w:ind w:firstLine="640"/>
      </w:pPr>
      <w:bookmarkStart w:id="0" w:name="_Toc5752"/>
      <w:r>
        <w:rPr>
          <w:rFonts w:hint="eastAsia"/>
        </w:rPr>
        <w:t>一、前言</w:t>
      </w:r>
      <w:bookmarkEnd w:id="0"/>
      <w:bookmarkStart w:id="33" w:name="_GoBack"/>
      <w:bookmarkEnd w:id="33"/>
    </w:p>
    <w:p>
      <w:pPr>
        <w:pStyle w:val="3"/>
        <w:ind w:firstLine="640"/>
      </w:pPr>
      <w:bookmarkStart w:id="1" w:name="_Toc19945"/>
      <w:r>
        <w:rPr>
          <w:rFonts w:hint="eastAsia"/>
        </w:rPr>
        <w:t>（一）规划背景和意义</w:t>
      </w:r>
      <w:bookmarkEnd w:id="1"/>
    </w:p>
    <w:p>
      <w:pPr>
        <w:ind w:firstLine="640"/>
      </w:pPr>
      <w:r>
        <w:rPr>
          <w:rFonts w:hint="eastAsia"/>
        </w:rPr>
        <w:t>产业是立镇之基，更是兴镇之本。“十四五”时期是我国全面建成小康社会、实现第一个百年奋斗目标之后，乘势而上开启全面建设社会主义现代化国家新征程，我国已迈入新发展阶段。站在新的位势起点上，常乐镇需争当与主城融合、与长三角融合发展的排头兵，不断拓展</w:t>
      </w:r>
      <w:r>
        <w:rPr>
          <w:rFonts w:hint="eastAsia"/>
          <w:lang w:eastAsia="zh-CN"/>
        </w:rPr>
        <w:t>城镇</w:t>
      </w:r>
      <w:r>
        <w:rPr>
          <w:rFonts w:hint="eastAsia"/>
        </w:rPr>
        <w:t>发展空间和产业经济的空间，加快提升文化旅游、高端制造和现代农业三大主导产业能级，实现产镇人融合协调发展。</w:t>
      </w:r>
    </w:p>
    <w:p>
      <w:pPr>
        <w:ind w:firstLine="640"/>
      </w:pPr>
      <w:r>
        <w:rPr>
          <w:rFonts w:hint="eastAsia"/>
        </w:rPr>
        <w:t>本规划立足于“十四五”发展新阶段和国内国际双循环新格局，按照国家、省市统一部署，</w:t>
      </w:r>
      <w:r>
        <w:t>抓住</w:t>
      </w:r>
      <w:r>
        <w:rPr>
          <w:rFonts w:hint="eastAsia"/>
        </w:rPr>
        <w:t>区域一体化、</w:t>
      </w:r>
      <w:r>
        <w:t>产业</w:t>
      </w:r>
      <w:r>
        <w:rPr>
          <w:rFonts w:hint="eastAsia"/>
        </w:rPr>
        <w:t>梯度</w:t>
      </w:r>
      <w:r>
        <w:t>转移的重大机遇，</w:t>
      </w:r>
      <w:r>
        <w:rPr>
          <w:rFonts w:hint="eastAsia"/>
        </w:rPr>
        <w:t>准确把握行业发展趋势，理清产业发展思路，明确产业培育重点，确定产业发展战略，进一步提升常乐镇产业综合竞争力，助力推动经济社会高质量发展。</w:t>
      </w:r>
    </w:p>
    <w:p>
      <w:pPr>
        <w:pStyle w:val="3"/>
        <w:ind w:firstLine="640"/>
      </w:pPr>
      <w:bookmarkStart w:id="2" w:name="_Toc11989"/>
      <w:r>
        <w:rPr>
          <w:rFonts w:hint="eastAsia"/>
        </w:rPr>
        <w:t>（二）规划依据</w:t>
      </w:r>
      <w:bookmarkEnd w:id="2"/>
    </w:p>
    <w:p>
      <w:pPr>
        <w:ind w:firstLine="640"/>
      </w:pPr>
      <w:r>
        <w:rPr>
          <w:rFonts w:hint="eastAsia"/>
        </w:rPr>
        <w:t>1.《中华人民共和国国民经济和社会发展第十四个五年规划和二</w:t>
      </w:r>
      <w:r>
        <w:rPr>
          <w:rFonts w:hint="eastAsia" w:ascii="微软雅黑" w:hAnsi="微软雅黑" w:eastAsia="微软雅黑" w:cs="微软雅黑"/>
        </w:rPr>
        <w:t>〇</w:t>
      </w:r>
      <w:r>
        <w:rPr>
          <w:rFonts w:hint="eastAsia" w:ascii="仿宋_GB2312" w:hAnsi="仿宋_GB2312" w:cs="仿宋_GB2312"/>
        </w:rPr>
        <w:t>三五年远景目标》</w:t>
      </w:r>
    </w:p>
    <w:p>
      <w:pPr>
        <w:ind w:firstLine="640"/>
      </w:pPr>
      <w:r>
        <w:rPr>
          <w:rFonts w:hint="eastAsia"/>
        </w:rPr>
        <w:t>2.《江苏省国民经济和社会发展第十四个五年规划和二</w:t>
      </w:r>
      <w:r>
        <w:rPr>
          <w:rFonts w:hint="eastAsia" w:ascii="微软雅黑" w:hAnsi="微软雅黑" w:eastAsia="微软雅黑" w:cs="微软雅黑"/>
        </w:rPr>
        <w:t>〇</w:t>
      </w:r>
      <w:r>
        <w:rPr>
          <w:rFonts w:hint="eastAsia" w:ascii="仿宋_GB2312" w:hAnsi="仿宋_GB2312" w:cs="仿宋_GB2312"/>
        </w:rPr>
        <w:t>三五年远景目标</w:t>
      </w:r>
      <w:r>
        <w:rPr>
          <w:rFonts w:hint="eastAsia"/>
        </w:rPr>
        <w:t>》</w:t>
      </w:r>
    </w:p>
    <w:p>
      <w:pPr>
        <w:ind w:firstLine="640"/>
      </w:pPr>
      <w:r>
        <w:rPr>
          <w:rFonts w:hint="eastAsia"/>
        </w:rPr>
        <w:t>3.《南通市国民经济和社会发展第十四个五年规划和二</w:t>
      </w:r>
      <w:r>
        <w:rPr>
          <w:rFonts w:hint="eastAsia" w:ascii="微软雅黑" w:hAnsi="微软雅黑" w:eastAsia="微软雅黑" w:cs="微软雅黑"/>
        </w:rPr>
        <w:t>〇</w:t>
      </w:r>
      <w:r>
        <w:rPr>
          <w:rFonts w:hint="eastAsia" w:ascii="仿宋_GB2312" w:hAnsi="仿宋_GB2312" w:cs="仿宋_GB2312"/>
        </w:rPr>
        <w:t>三五年</w:t>
      </w:r>
      <w:r>
        <w:rPr>
          <w:rFonts w:hint="eastAsia"/>
        </w:rPr>
        <w:t>远景目标》</w:t>
      </w:r>
    </w:p>
    <w:p>
      <w:pPr>
        <w:ind w:firstLine="640"/>
      </w:pPr>
      <w:r>
        <w:rPr>
          <w:rFonts w:hint="eastAsia"/>
        </w:rPr>
        <w:t>4.《南通市海门区国民经济和社会发展第十四个五年规划和二</w:t>
      </w:r>
      <w:r>
        <w:rPr>
          <w:rFonts w:hint="eastAsia" w:ascii="微软雅黑" w:hAnsi="微软雅黑" w:eastAsia="微软雅黑" w:cs="微软雅黑"/>
        </w:rPr>
        <w:t>〇</w:t>
      </w:r>
      <w:r>
        <w:rPr>
          <w:rFonts w:hint="eastAsia" w:ascii="仿宋_GB2312" w:hAnsi="仿宋_GB2312" w:cs="仿宋_GB2312"/>
        </w:rPr>
        <w:t>三五年远景目标</w:t>
      </w:r>
      <w:r>
        <w:rPr>
          <w:rFonts w:hint="eastAsia"/>
        </w:rPr>
        <w:t>》</w:t>
      </w:r>
    </w:p>
    <w:p>
      <w:pPr>
        <w:ind w:firstLine="640"/>
      </w:pPr>
      <w:r>
        <w:rPr>
          <w:rFonts w:hint="eastAsia"/>
        </w:rPr>
        <w:t>5.《海门市常乐镇总体规划（2013-2030）（2018 修改）》</w:t>
      </w:r>
    </w:p>
    <w:p>
      <w:pPr>
        <w:ind w:firstLine="640"/>
        <w:rPr>
          <w:rFonts w:hint="eastAsia"/>
          <w:color w:val="FF0000"/>
        </w:rPr>
      </w:pPr>
      <w:r>
        <w:rPr>
          <w:rFonts w:hint="eastAsia"/>
        </w:rPr>
        <w:t>6</w:t>
      </w:r>
      <w:r>
        <w:t>.</w:t>
      </w:r>
      <w:r>
        <w:rPr>
          <w:rFonts w:hint="eastAsia"/>
        </w:rPr>
        <w:t>《海门区常乐镇国土空间规划》（在编）</w:t>
      </w:r>
    </w:p>
    <w:p>
      <w:pPr>
        <w:ind w:firstLine="640"/>
      </w:pPr>
      <w:r>
        <w:t>7</w:t>
      </w:r>
      <w:r>
        <w:rPr>
          <w:rFonts w:hint="eastAsia"/>
        </w:rPr>
        <w:t>.常乐镇提供的其他数据和资料</w:t>
      </w:r>
    </w:p>
    <w:p>
      <w:pPr>
        <w:pStyle w:val="3"/>
        <w:ind w:firstLine="640"/>
      </w:pPr>
      <w:bookmarkStart w:id="3" w:name="_Toc10885"/>
      <w:r>
        <w:rPr>
          <w:rFonts w:hint="eastAsia"/>
        </w:rPr>
        <w:t>（三）规划期限和范围</w:t>
      </w:r>
      <w:bookmarkEnd w:id="3"/>
    </w:p>
    <w:p>
      <w:pPr>
        <w:ind w:firstLine="640"/>
      </w:pPr>
      <w:r>
        <w:rPr>
          <w:rFonts w:hint="eastAsia"/>
        </w:rPr>
        <w:t>本规划基准年为202</w:t>
      </w:r>
      <w:r>
        <w:rPr>
          <w:rFonts w:hint="eastAsia"/>
          <w:lang w:val="en-US" w:eastAsia="zh-CN"/>
        </w:rPr>
        <w:t>2</w:t>
      </w:r>
      <w:r>
        <w:rPr>
          <w:rFonts w:hint="eastAsia"/>
        </w:rPr>
        <w:t>年，规划期限为202</w:t>
      </w:r>
      <w:r>
        <w:rPr>
          <w:rFonts w:hint="eastAsia"/>
          <w:lang w:val="en-US" w:eastAsia="zh-CN"/>
        </w:rPr>
        <w:t>3</w:t>
      </w:r>
      <w:r>
        <w:rPr>
          <w:rFonts w:hint="eastAsia"/>
        </w:rPr>
        <w:t>至20</w:t>
      </w:r>
      <w:r>
        <w:t>3</w:t>
      </w:r>
      <w:r>
        <w:rPr>
          <w:rFonts w:hint="eastAsia"/>
        </w:rPr>
        <w:t>5年，近期至2025年，远期至2035年。规划空间范围为海门区常乐镇全域范围，包括镇域范围</w:t>
      </w:r>
      <w:r>
        <w:t>98.17</w:t>
      </w:r>
      <w:r>
        <w:rPr>
          <w:rFonts w:hint="eastAsia"/>
        </w:rPr>
        <w:t>平方公里及镇区范围</w:t>
      </w:r>
      <w:r>
        <w:t>4.63</w:t>
      </w:r>
      <w:r>
        <w:rPr>
          <w:rFonts w:hint="eastAsia"/>
        </w:rPr>
        <w:t>平方公里。</w:t>
      </w:r>
    </w:p>
    <w:p>
      <w:pPr>
        <w:pStyle w:val="2"/>
        <w:ind w:firstLine="640"/>
      </w:pPr>
      <w:bookmarkStart w:id="4" w:name="_Toc32655"/>
      <w:r>
        <w:rPr>
          <w:rFonts w:hint="eastAsia"/>
        </w:rPr>
        <w:t>二、区域现状和基础条件</w:t>
      </w:r>
      <w:bookmarkEnd w:id="4"/>
    </w:p>
    <w:p>
      <w:pPr>
        <w:pStyle w:val="3"/>
        <w:ind w:firstLine="640"/>
      </w:pPr>
      <w:bookmarkStart w:id="5" w:name="_Toc32213"/>
      <w:r>
        <w:rPr>
          <w:rFonts w:hint="eastAsia"/>
        </w:rPr>
        <w:t>（一）基础条件</w:t>
      </w:r>
      <w:bookmarkEnd w:id="5"/>
    </w:p>
    <w:p>
      <w:pPr>
        <w:pStyle w:val="4"/>
        <w:ind w:firstLine="640"/>
      </w:pPr>
      <w:r>
        <w:rPr>
          <w:rFonts w:hint="eastAsia"/>
        </w:rPr>
        <w:t>1</w:t>
      </w:r>
      <w:r>
        <w:t>.</w:t>
      </w:r>
      <w:r>
        <w:rPr>
          <w:rFonts w:hint="eastAsia"/>
        </w:rPr>
        <w:t>区位交通</w:t>
      </w:r>
    </w:p>
    <w:p>
      <w:pPr>
        <w:ind w:firstLine="640"/>
        <w:rPr>
          <w:rFonts w:hint="eastAsia" w:eastAsia="仿宋_GB2312"/>
          <w:lang w:val="en-US" w:eastAsia="zh-CN"/>
        </w:rPr>
      </w:pPr>
      <w:r>
        <w:rPr>
          <w:rFonts w:hint="eastAsia"/>
        </w:rPr>
        <w:t>常乐镇地处海门区中部，隶属江苏省南通市海门区，西侧紧邻空港片区可以通过南部快速路、沪陕高速、三德线等快速联系承接区域客货流导入实现区域融合发展。南侧紧邻海门城区及三厂街道便于实现交通、服务等设施共建共享</w:t>
      </w:r>
      <w:r>
        <w:rPr>
          <w:rFonts w:hint="eastAsia"/>
          <w:lang w:eastAsia="zh-CN"/>
        </w:rPr>
        <w:t>，</w:t>
      </w:r>
      <w:r>
        <w:rPr>
          <w:rFonts w:hint="eastAsia"/>
        </w:rPr>
        <w:t>高质量建设海门特色发展的示范组团</w:t>
      </w:r>
      <w:r>
        <w:rPr>
          <w:rFonts w:hint="eastAsia"/>
          <w:lang w:val="en-US" w:eastAsia="zh-CN"/>
        </w:rPr>
        <w:t>,</w:t>
      </w:r>
    </w:p>
    <w:p>
      <w:pPr>
        <w:ind w:firstLine="0" w:firstLineChars="0"/>
        <w:jc w:val="center"/>
      </w:pPr>
      <w:r>
        <w:rPr>
          <w:b/>
          <w:bCs/>
        </w:rPr>
        <w:drawing>
          <wp:anchor distT="0" distB="0" distL="114300" distR="114300" simplePos="0" relativeHeight="251659264" behindDoc="0" locked="0" layoutInCell="1" allowOverlap="1">
            <wp:simplePos x="0" y="0"/>
            <wp:positionH relativeFrom="column">
              <wp:posOffset>200660</wp:posOffset>
            </wp:positionH>
            <wp:positionV relativeFrom="paragraph">
              <wp:posOffset>248920</wp:posOffset>
            </wp:positionV>
            <wp:extent cx="4429760" cy="3622040"/>
            <wp:effectExtent l="0" t="0" r="8890" b="0"/>
            <wp:wrapTopAndBottom/>
            <wp:docPr id="6" name="图片 6" descr="D:\微信文档\WeChat Files\wxid_cf86s35f43a322\FileStorage\Temp\1699241003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微信文档\WeChat Files\wxid_cf86s35f43a322\FileStorage\Temp\16992410031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29760" cy="3622040"/>
                    </a:xfrm>
                    <a:prstGeom prst="rect">
                      <a:avLst/>
                    </a:prstGeom>
                    <a:noFill/>
                    <a:ln>
                      <a:noFill/>
                    </a:ln>
                  </pic:spPr>
                </pic:pic>
              </a:graphicData>
            </a:graphic>
          </wp:anchor>
        </w:drawing>
      </w:r>
      <w:r>
        <w:rPr>
          <w:rFonts w:hint="eastAsia"/>
          <w:b/>
          <w:bCs/>
        </w:rPr>
        <w:t>图2-</w:t>
      </w:r>
      <w:r>
        <w:rPr>
          <w:b/>
          <w:bCs/>
        </w:rPr>
        <w:t xml:space="preserve">1  </w:t>
      </w:r>
      <w:r>
        <w:rPr>
          <w:rFonts w:hint="eastAsia"/>
          <w:b/>
          <w:bCs/>
        </w:rPr>
        <w:t>常乐镇地理区位图</w:t>
      </w:r>
    </w:p>
    <w:p>
      <w:pPr>
        <w:ind w:firstLine="643"/>
      </w:pPr>
      <w:r>
        <w:rPr>
          <w:rFonts w:hint="eastAsia"/>
          <w:b/>
          <w:bCs/>
        </w:rPr>
        <w:t>陆运：</w:t>
      </w:r>
      <w:r>
        <w:rPr>
          <w:rFonts w:hint="eastAsia"/>
        </w:rPr>
        <w:t>以新机场G</w:t>
      </w:r>
      <w:r>
        <w:t>TC为核心</w:t>
      </w:r>
      <w:r>
        <w:rPr>
          <w:rFonts w:hint="eastAsia"/>
        </w:rPr>
        <w:t>，</w:t>
      </w:r>
      <w:r>
        <w:t>将形成高铁</w:t>
      </w:r>
      <w:r>
        <w:rPr>
          <w:rFonts w:hint="eastAsia"/>
        </w:rPr>
        <w:t>、</w:t>
      </w:r>
      <w:r>
        <w:t>城际</w:t>
      </w:r>
      <w:r>
        <w:rPr>
          <w:rFonts w:hint="eastAsia"/>
        </w:rPr>
        <w:t>、</w:t>
      </w:r>
      <w:r>
        <w:t>地铁</w:t>
      </w:r>
      <w:r>
        <w:rPr>
          <w:rFonts w:hint="eastAsia"/>
        </w:rPr>
        <w:t>、</w:t>
      </w:r>
      <w:r>
        <w:t>高速公路和快速路等多式联运交通体系</w:t>
      </w:r>
      <w:r>
        <w:rPr>
          <w:rFonts w:hint="eastAsia"/>
        </w:rPr>
        <w:t>。其中绕城高速、沪陕高速、南部快速路、北沿江高铁、沪通城际等从常乐镇经过，另外常乐镇可以通过海太通道、崇海通道等与上海、苏州便捷联系，形成与主城区及周边城市协同发展的立体交通格局。</w:t>
      </w:r>
    </w:p>
    <w:p>
      <w:pPr>
        <w:spacing w:line="240" w:lineRule="auto"/>
        <w:ind w:firstLine="0" w:firstLineChars="0"/>
      </w:pPr>
    </w:p>
    <w:p>
      <w:pPr>
        <w:spacing w:line="240" w:lineRule="auto"/>
        <w:ind w:firstLine="0" w:firstLineChars="0"/>
      </w:pPr>
    </w:p>
    <w:p>
      <w:pPr>
        <w:spacing w:line="240" w:lineRule="auto"/>
        <w:ind w:firstLine="0" w:firstLineChars="0"/>
      </w:pPr>
    </w:p>
    <w:p>
      <w:pPr>
        <w:spacing w:line="240" w:lineRule="auto"/>
        <w:ind w:firstLine="0" w:firstLineChars="0"/>
      </w:pPr>
    </w:p>
    <w:p>
      <w:pPr>
        <w:spacing w:line="240" w:lineRule="auto"/>
        <w:ind w:firstLine="0" w:firstLineChars="0"/>
      </w:pPr>
    </w:p>
    <w:p>
      <w:pPr>
        <w:spacing w:line="240" w:lineRule="auto"/>
        <w:ind w:firstLine="0" w:firstLineChars="0"/>
      </w:pPr>
    </w:p>
    <w:p>
      <w:pPr>
        <w:ind w:firstLine="0" w:firstLineChars="0"/>
        <w:jc w:val="center"/>
        <w:rPr>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353695</wp:posOffset>
            </wp:positionV>
            <wp:extent cx="5274310" cy="4168775"/>
            <wp:effectExtent l="0" t="0" r="2540" b="317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4168775"/>
                    </a:xfrm>
                    <a:prstGeom prst="rect">
                      <a:avLst/>
                    </a:prstGeom>
                    <a:noFill/>
                    <a:ln>
                      <a:noFill/>
                    </a:ln>
                  </pic:spPr>
                </pic:pic>
              </a:graphicData>
            </a:graphic>
          </wp:anchor>
        </w:drawing>
      </w:r>
      <w:r>
        <w:rPr>
          <w:rFonts w:hint="eastAsia"/>
          <w:b/>
          <w:bCs/>
        </w:rPr>
        <w:t>图2-2</w:t>
      </w:r>
      <w:r>
        <w:rPr>
          <w:b/>
          <w:bCs/>
        </w:rPr>
        <w:t xml:space="preserve">  常乐镇</w:t>
      </w:r>
      <w:r>
        <w:rPr>
          <w:rFonts w:hint="eastAsia"/>
          <w:b/>
          <w:bCs/>
        </w:rPr>
        <w:t>对外交通体系</w:t>
      </w:r>
    </w:p>
    <w:p>
      <w:pPr>
        <w:ind w:firstLine="643"/>
      </w:pPr>
      <w:r>
        <w:rPr>
          <w:rFonts w:hint="eastAsia"/>
          <w:b/>
          <w:bCs/>
        </w:rPr>
        <w:t>水运：</w:t>
      </w:r>
      <w:r>
        <w:rPr>
          <w:rFonts w:hint="eastAsia"/>
        </w:rPr>
        <w:t>常乐镇现有河道</w:t>
      </w:r>
      <w:r>
        <w:t>7</w:t>
      </w:r>
      <w:r>
        <w:rPr>
          <w:rFonts w:hint="eastAsia"/>
        </w:rPr>
        <w:t>条（段），其中一级河道1条：通启运河；二级河道</w:t>
      </w:r>
      <w:r>
        <w:t>4</w:t>
      </w:r>
      <w:r>
        <w:rPr>
          <w:rFonts w:hint="eastAsia"/>
        </w:rPr>
        <w:t>条：海门河、青龙河、大新河、大洪河；三级河道2条：太平河、民灶河。</w:t>
      </w:r>
    </w:p>
    <w:p>
      <w:pPr>
        <w:pStyle w:val="4"/>
        <w:ind w:firstLine="640"/>
      </w:pPr>
      <w:r>
        <w:rPr>
          <w:rFonts w:hint="eastAsia"/>
        </w:rPr>
        <w:t>2.资源禀赋</w:t>
      </w:r>
    </w:p>
    <w:p>
      <w:pPr>
        <w:ind w:firstLine="640"/>
      </w:pPr>
      <w:r>
        <w:rPr>
          <w:rFonts w:hint="eastAsia"/>
        </w:rPr>
        <w:t>（1）气象气候</w:t>
      </w:r>
    </w:p>
    <w:p>
      <w:pPr>
        <w:ind w:firstLine="640"/>
      </w:pPr>
      <w:r>
        <w:rPr>
          <w:rFonts w:hint="eastAsia"/>
        </w:rPr>
        <w:t>常乐镇地势平坦，气候温暖湿润，四季分明，属北亚热带季风气候。夏季多东南风，炎热多雨；春夏季多东南风、西南风，秋季多东北风，冬季多西北风，寒冷少雨；7月至9月份常受台风影响，最大风速为每秒钟24米，一般春季平均风速为4米/秒，夏季为2.6米/秒，秋季为3.3米/秒，冬季为3.8米/秒。年平均气温15.4℃，无霜期约240天，年均降雨量1033毫米。</w:t>
      </w:r>
    </w:p>
    <w:p>
      <w:pPr>
        <w:ind w:firstLine="640"/>
      </w:pPr>
      <w:r>
        <w:rPr>
          <w:rFonts w:hint="eastAsia"/>
        </w:rPr>
        <w:t>（2）地形地貌</w:t>
      </w:r>
    </w:p>
    <w:p>
      <w:pPr>
        <w:ind w:firstLine="640"/>
      </w:pPr>
      <w:r>
        <w:rPr>
          <w:rFonts w:hint="eastAsia"/>
        </w:rPr>
        <w:t>常乐镇所在地为长江下游的冲积平原，地势平坦，为江南古陆的一部分，因喜玛拉雅山造山运动，古陆下沉，沦为沧海，后因长江泥沙的沉积而成陆，土壤为长江新沉积物，河相海相沉积，地貌上属沿江低平田类型，地面高程4.5m（吴淞基面）左右。</w:t>
      </w:r>
    </w:p>
    <w:p>
      <w:pPr>
        <w:ind w:firstLine="640"/>
      </w:pPr>
      <w:r>
        <w:rPr>
          <w:rFonts w:hint="eastAsia"/>
        </w:rPr>
        <w:t>（3）土壤与土地资源</w:t>
      </w:r>
    </w:p>
    <w:p>
      <w:pPr>
        <w:ind w:firstLine="640"/>
        <w:rPr>
          <w:color w:val="FF0000"/>
        </w:rPr>
      </w:pPr>
      <w:r>
        <w:rPr>
          <w:rFonts w:hint="eastAsia"/>
        </w:rPr>
        <w:t>常乐镇土地成匡，横河泯沟配套。土壤组合以沙夹黄、黄夹沙、沙泥土为主。土壤成土母质系长江冲积物，土壤较为肥沃，有利于农业和多种林副业生产。</w:t>
      </w:r>
    </w:p>
    <w:p>
      <w:pPr>
        <w:ind w:firstLine="640"/>
      </w:pPr>
      <w:r>
        <w:rPr>
          <w:rFonts w:hint="eastAsia"/>
        </w:rPr>
        <w:t>（4）水资源</w:t>
      </w:r>
    </w:p>
    <w:p>
      <w:pPr>
        <w:ind w:firstLine="640"/>
      </w:pPr>
      <w:r>
        <w:rPr>
          <w:rFonts w:hint="eastAsia"/>
        </w:rPr>
        <w:t>常乐镇水资源丰富，绿化植被良好。通启运河、青龙河、大洪河环绕镇区，镇区周边为绿色大地景观，生态环境良好。</w:t>
      </w:r>
    </w:p>
    <w:p>
      <w:pPr>
        <w:pStyle w:val="4"/>
        <w:ind w:firstLine="640"/>
      </w:pPr>
      <w:r>
        <w:rPr>
          <w:rFonts w:hint="eastAsia"/>
        </w:rPr>
        <w:t>3.经济发展</w:t>
      </w:r>
    </w:p>
    <w:p>
      <w:pPr>
        <w:ind w:firstLine="640"/>
      </w:pPr>
      <w:r>
        <w:t>2022</w:t>
      </w:r>
      <w:r>
        <w:rPr>
          <w:rFonts w:hint="eastAsia"/>
        </w:rPr>
        <w:t>年，实现地区生产总值110亿元，年增长5%实现一般公共预算收入3.1亿元，固定资产投资18.55亿元，工业应税销售46.43亿元，服务业应税销售28.11亿元，工业入库税金8856万元，农村居民人均可支配收入5.2万元。新增市级专精特新企业1家、高新技术企业7家、净增科技型小企业29家、新实施产学研合作项目2个、签约落户创新创业项目4个。</w:t>
      </w:r>
    </w:p>
    <w:p>
      <w:pPr>
        <w:ind w:firstLine="640"/>
        <w:rPr>
          <w:rFonts w:hint="eastAsia"/>
        </w:rPr>
      </w:pPr>
      <w:r>
        <w:rPr>
          <w:rFonts w:hint="eastAsia"/>
        </w:rPr>
        <w:t>建筑业全市领先实现建筑业总产值600亿元，中南建筑入围中国企业500强、中国民营企业50强、全球最大250家国际承包商。现代农业持续发展官公岛现代农业园区通过国家级验收完成规模农业项目投资68亿元。麒麟红木产业实现线上线上交易额达30亿元首届麒麟红木乐宝集市交易额突破500万元。</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017"/>
        <w:gridCol w:w="1319"/>
        <w:gridCol w:w="1467"/>
        <w:gridCol w:w="1467"/>
        <w:gridCol w:w="1450"/>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17"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000000"/>
                <w:sz w:val="24"/>
                <w:szCs w:val="24"/>
              </w:rPr>
              <w:t>年度</w:t>
            </w:r>
          </w:p>
        </w:tc>
        <w:tc>
          <w:tcPr>
            <w:tcW w:w="1319"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000000"/>
                <w:sz w:val="24"/>
                <w:szCs w:val="24"/>
              </w:rPr>
              <w:t>GDP（万元）</w:t>
            </w:r>
          </w:p>
        </w:tc>
        <w:tc>
          <w:tcPr>
            <w:tcW w:w="1467"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000000"/>
                <w:sz w:val="24"/>
                <w:szCs w:val="24"/>
              </w:rPr>
              <w:t>一产（万元）</w:t>
            </w:r>
          </w:p>
        </w:tc>
        <w:tc>
          <w:tcPr>
            <w:tcW w:w="1467"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000000"/>
                <w:sz w:val="24"/>
                <w:szCs w:val="24"/>
              </w:rPr>
              <w:t>二产（万元）</w:t>
            </w:r>
          </w:p>
        </w:tc>
        <w:tc>
          <w:tcPr>
            <w:tcW w:w="1450"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000000"/>
                <w:sz w:val="24"/>
                <w:szCs w:val="24"/>
              </w:rPr>
              <w:t>三产（万元）</w:t>
            </w:r>
          </w:p>
        </w:tc>
        <w:tc>
          <w:tcPr>
            <w:tcW w:w="1802"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000000"/>
                <w:sz w:val="24"/>
                <w:szCs w:val="24"/>
              </w:rPr>
              <w:t>人均GDP(以户籍算，单位:万元)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17"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000000"/>
                <w:sz w:val="24"/>
                <w:szCs w:val="24"/>
              </w:rPr>
              <w:t>2017</w:t>
            </w:r>
          </w:p>
        </w:tc>
        <w:tc>
          <w:tcPr>
            <w:tcW w:w="1319"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741853</w:t>
            </w:r>
          </w:p>
        </w:tc>
        <w:tc>
          <w:tcPr>
            <w:tcW w:w="1467"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64121</w:t>
            </w:r>
          </w:p>
        </w:tc>
        <w:tc>
          <w:tcPr>
            <w:tcW w:w="1467"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403012</w:t>
            </w:r>
          </w:p>
        </w:tc>
        <w:tc>
          <w:tcPr>
            <w:tcW w:w="1450" w:type="dxa"/>
            <w:vAlign w:val="center"/>
          </w:tcPr>
          <w:p>
            <w:pPr>
              <w:pStyle w:val="10"/>
              <w:keepNext w:val="0"/>
              <w:keepLines w:val="0"/>
              <w:widowControl/>
              <w:suppressLineNumbers w:val="0"/>
              <w:ind w:left="0" w:leftChars="0" w:right="0" w:rightChars="0" w:firstLine="480" w:firstLineChars="20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w:t>
            </w:r>
          </w:p>
        </w:tc>
        <w:tc>
          <w:tcPr>
            <w:tcW w:w="1802"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17"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000000"/>
                <w:sz w:val="24"/>
                <w:szCs w:val="24"/>
              </w:rPr>
              <w:t>2018</w:t>
            </w:r>
          </w:p>
        </w:tc>
        <w:tc>
          <w:tcPr>
            <w:tcW w:w="1319"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818674</w:t>
            </w:r>
          </w:p>
        </w:tc>
        <w:tc>
          <w:tcPr>
            <w:tcW w:w="1467"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66897</w:t>
            </w:r>
          </w:p>
        </w:tc>
        <w:tc>
          <w:tcPr>
            <w:tcW w:w="1467"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441504</w:t>
            </w:r>
          </w:p>
        </w:tc>
        <w:tc>
          <w:tcPr>
            <w:tcW w:w="1450" w:type="dxa"/>
            <w:vAlign w:val="center"/>
          </w:tcPr>
          <w:p>
            <w:pPr>
              <w:pStyle w:val="10"/>
              <w:keepNext w:val="0"/>
              <w:keepLines w:val="0"/>
              <w:widowControl/>
              <w:suppressLineNumbers w:val="0"/>
              <w:ind w:left="0" w:leftChars="0" w:right="0" w:rightChars="0" w:firstLine="480" w:firstLineChars="20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w:t>
            </w:r>
          </w:p>
        </w:tc>
        <w:tc>
          <w:tcPr>
            <w:tcW w:w="1802" w:type="dxa"/>
            <w:vAlign w:val="center"/>
          </w:tcPr>
          <w:p>
            <w:pPr>
              <w:pStyle w:val="10"/>
              <w:keepNext w:val="0"/>
              <w:keepLines w:val="0"/>
              <w:widowControl/>
              <w:suppressLineNumbers w:val="0"/>
              <w:ind w:left="0" w:leftChars="0" w:right="0" w:rightChars="0" w:firstLine="480" w:firstLineChars="20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10.76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17"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000000"/>
                <w:sz w:val="24"/>
                <w:szCs w:val="24"/>
              </w:rPr>
              <w:t>2019</w:t>
            </w:r>
          </w:p>
        </w:tc>
        <w:tc>
          <w:tcPr>
            <w:tcW w:w="1319"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887349</w:t>
            </w:r>
          </w:p>
        </w:tc>
        <w:tc>
          <w:tcPr>
            <w:tcW w:w="1467" w:type="dxa"/>
            <w:vAlign w:val="center"/>
          </w:tcPr>
          <w:p>
            <w:pPr>
              <w:pStyle w:val="10"/>
              <w:keepNext w:val="0"/>
              <w:keepLines w:val="0"/>
              <w:widowControl/>
              <w:suppressLineNumbers w:val="0"/>
              <w:ind w:left="0" w:leftChars="0" w:right="0" w:rightChars="0" w:firstLine="480" w:firstLineChars="20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59057</w:t>
            </w:r>
          </w:p>
        </w:tc>
        <w:tc>
          <w:tcPr>
            <w:tcW w:w="1467"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456876</w:t>
            </w:r>
          </w:p>
        </w:tc>
        <w:tc>
          <w:tcPr>
            <w:tcW w:w="1450"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371416</w:t>
            </w:r>
          </w:p>
        </w:tc>
        <w:tc>
          <w:tcPr>
            <w:tcW w:w="1802" w:type="dxa"/>
            <w:vAlign w:val="center"/>
          </w:tcPr>
          <w:p>
            <w:pPr>
              <w:pStyle w:val="10"/>
              <w:keepNext w:val="0"/>
              <w:keepLines w:val="0"/>
              <w:widowControl/>
              <w:suppressLineNumbers w:val="0"/>
              <w:ind w:left="0" w:leftChars="0" w:right="0" w:rightChars="0" w:firstLine="480" w:firstLineChars="20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17"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000000"/>
                <w:sz w:val="24"/>
                <w:szCs w:val="24"/>
              </w:rPr>
              <w:t>2020</w:t>
            </w:r>
          </w:p>
        </w:tc>
        <w:tc>
          <w:tcPr>
            <w:tcW w:w="1319"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957534</w:t>
            </w:r>
          </w:p>
        </w:tc>
        <w:tc>
          <w:tcPr>
            <w:tcW w:w="1467" w:type="dxa"/>
            <w:vAlign w:val="center"/>
          </w:tcPr>
          <w:p>
            <w:pPr>
              <w:pStyle w:val="10"/>
              <w:keepNext w:val="0"/>
              <w:keepLines w:val="0"/>
              <w:widowControl/>
              <w:suppressLineNumbers w:val="0"/>
              <w:ind w:left="0" w:leftChars="0" w:right="0" w:rightChars="0" w:firstLine="480" w:firstLineChars="20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63571</w:t>
            </w:r>
          </w:p>
        </w:tc>
        <w:tc>
          <w:tcPr>
            <w:tcW w:w="1467"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483589</w:t>
            </w:r>
          </w:p>
        </w:tc>
        <w:tc>
          <w:tcPr>
            <w:tcW w:w="1450"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410373</w:t>
            </w:r>
          </w:p>
        </w:tc>
        <w:tc>
          <w:tcPr>
            <w:tcW w:w="1802" w:type="dxa"/>
            <w:vAlign w:val="center"/>
          </w:tcPr>
          <w:p>
            <w:pPr>
              <w:pStyle w:val="10"/>
              <w:keepNext w:val="0"/>
              <w:keepLines w:val="0"/>
              <w:widowControl/>
              <w:suppressLineNumbers w:val="0"/>
              <w:ind w:left="0" w:leftChars="0" w:right="0" w:rightChars="0" w:firstLine="480" w:firstLineChars="20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12.58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17"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000000"/>
                <w:sz w:val="24"/>
                <w:szCs w:val="24"/>
              </w:rPr>
              <w:t>2021</w:t>
            </w:r>
          </w:p>
        </w:tc>
        <w:tc>
          <w:tcPr>
            <w:tcW w:w="1319"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1048767</w:t>
            </w:r>
          </w:p>
        </w:tc>
        <w:tc>
          <w:tcPr>
            <w:tcW w:w="1467" w:type="dxa"/>
            <w:vAlign w:val="center"/>
          </w:tcPr>
          <w:p>
            <w:pPr>
              <w:pStyle w:val="10"/>
              <w:keepNext w:val="0"/>
              <w:keepLines w:val="0"/>
              <w:widowControl/>
              <w:suppressLineNumbers w:val="0"/>
              <w:ind w:left="0" w:leftChars="0" w:right="0" w:rightChars="0" w:firstLine="480" w:firstLineChars="20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67380</w:t>
            </w:r>
          </w:p>
        </w:tc>
        <w:tc>
          <w:tcPr>
            <w:tcW w:w="1467"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513622</w:t>
            </w:r>
          </w:p>
        </w:tc>
        <w:tc>
          <w:tcPr>
            <w:tcW w:w="1450" w:type="dxa"/>
            <w:vAlign w:val="center"/>
          </w:tcPr>
          <w:p>
            <w:pPr>
              <w:pStyle w:val="10"/>
              <w:keepNext w:val="0"/>
              <w:keepLines w:val="0"/>
              <w:widowControl/>
              <w:suppressLineNumbers w:val="0"/>
              <w:ind w:left="0" w:leftChars="0" w:right="0" w:rightChars="0" w:firstLine="0" w:firstLineChars="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467765</w:t>
            </w:r>
          </w:p>
        </w:tc>
        <w:tc>
          <w:tcPr>
            <w:tcW w:w="1802" w:type="dxa"/>
            <w:vAlign w:val="center"/>
          </w:tcPr>
          <w:p>
            <w:pPr>
              <w:pStyle w:val="10"/>
              <w:keepNext w:val="0"/>
              <w:keepLines w:val="0"/>
              <w:widowControl/>
              <w:suppressLineNumbers w:val="0"/>
              <w:ind w:left="0" w:leftChars="0" w:right="0" w:rightChars="0" w:firstLine="480" w:firstLineChars="200"/>
              <w:rPr>
                <w:rFonts w:hint="eastAsia" w:ascii="微软雅黑" w:hAnsi="微软雅黑" w:eastAsia="微软雅黑" w:cs="微软雅黑"/>
                <w:sz w:val="24"/>
                <w:szCs w:val="24"/>
                <w:vertAlign w:val="baseline"/>
              </w:rPr>
            </w:pPr>
            <w:r>
              <w:rPr>
                <w:rFonts w:hint="eastAsia" w:ascii="微软雅黑" w:hAnsi="微软雅黑" w:eastAsia="微软雅黑" w:cs="微软雅黑"/>
                <w:color w:val="000000"/>
                <w:sz w:val="24"/>
                <w:szCs w:val="24"/>
              </w:rPr>
              <w:t>13.78</w:t>
            </w:r>
          </w:p>
        </w:tc>
      </w:tr>
    </w:tbl>
    <w:p>
      <w:pPr>
        <w:spacing w:line="240" w:lineRule="auto"/>
        <w:ind w:firstLine="0" w:firstLineChars="0"/>
        <w:jc w:val="center"/>
        <w:rPr>
          <w:b/>
          <w:bCs/>
          <w:color w:val="FF0000"/>
        </w:rPr>
      </w:pPr>
      <w:r>
        <w:rPr>
          <w:rFonts w:hint="eastAsia"/>
          <w:b/>
          <w:bCs/>
        </w:rPr>
        <w:t>图</w:t>
      </w:r>
      <w:r>
        <w:rPr>
          <w:b/>
          <w:bCs/>
        </w:rPr>
        <w:t xml:space="preserve">2-3  </w:t>
      </w:r>
      <w:r>
        <w:rPr>
          <w:rFonts w:hint="eastAsia"/>
          <w:b/>
          <w:bCs/>
        </w:rPr>
        <w:t>2</w:t>
      </w:r>
      <w:r>
        <w:rPr>
          <w:b/>
          <w:bCs/>
        </w:rPr>
        <w:t>017</w:t>
      </w:r>
      <w:r>
        <w:rPr>
          <w:rFonts w:hint="eastAsia"/>
          <w:b/>
          <w:bCs/>
        </w:rPr>
        <w:t>-</w:t>
      </w:r>
      <w:r>
        <w:rPr>
          <w:b/>
          <w:bCs/>
        </w:rPr>
        <w:t>2021</w:t>
      </w:r>
      <w:r>
        <w:rPr>
          <w:rFonts w:hint="eastAsia"/>
          <w:b/>
          <w:bCs/>
        </w:rPr>
        <w:t>年常乐镇GDP增长变化</w:t>
      </w:r>
    </w:p>
    <w:p>
      <w:pPr>
        <w:pStyle w:val="4"/>
        <w:ind w:firstLine="640"/>
      </w:pPr>
      <w:r>
        <w:rPr>
          <w:rFonts w:hint="eastAsia"/>
        </w:rPr>
        <w:t>4.环境状况</w:t>
      </w:r>
    </w:p>
    <w:p>
      <w:pPr>
        <w:ind w:firstLine="640"/>
      </w:pPr>
      <w:r>
        <w:rPr>
          <w:rFonts w:hint="eastAsia"/>
        </w:rPr>
        <w:t>（1）大气环境质量</w:t>
      </w:r>
    </w:p>
    <w:p>
      <w:pPr>
        <w:ind w:firstLine="640"/>
      </w:pPr>
      <w:r>
        <w:rPr>
          <w:rFonts w:hint="eastAsia"/>
        </w:rPr>
        <w:t>常乐镇的大气污染主要来源于人为污染源，如生产加工过程中释放的工业废气及机动车船尾气等。另外，在城镇建设区域施工过程中产生的尘土扬灰、民用生活所产生的烟尘等，也成为常乐镇大气污染的主要原因。农村的大气环境质量高于城镇，总体处于优良水平，符合国家规定的二类区标准。但部分农业耕种过程中的农药喷洒、肥料施加等环节也会产生不同程度的大气污染。</w:t>
      </w:r>
    </w:p>
    <w:p>
      <w:pPr>
        <w:ind w:firstLine="640"/>
      </w:pPr>
      <w:r>
        <w:rPr>
          <w:rFonts w:hint="eastAsia"/>
        </w:rPr>
        <w:t>（2）水环境质量</w:t>
      </w:r>
    </w:p>
    <w:p>
      <w:pPr>
        <w:ind w:firstLine="640"/>
      </w:pPr>
      <w:r>
        <w:rPr>
          <w:rFonts w:hint="eastAsia"/>
        </w:rPr>
        <w:t>常乐镇水网密集，海门河、青龙河、大新河、大洪河，水质较好。</w:t>
      </w:r>
    </w:p>
    <w:p>
      <w:pPr>
        <w:ind w:firstLine="640"/>
      </w:pPr>
      <w:r>
        <w:rPr>
          <w:rFonts w:hint="eastAsia"/>
        </w:rPr>
        <w:t>（3）声环境质量</w:t>
      </w:r>
    </w:p>
    <w:p>
      <w:pPr>
        <w:ind w:firstLine="640"/>
      </w:pPr>
      <w:r>
        <w:rPr>
          <w:rFonts w:hint="eastAsia"/>
        </w:rPr>
        <w:t>常乐镇的噪声污染主要源于交通噪声、建筑噪声及工业噪声三种因素。交通噪声主要来源于机动车辆、船舶等交通运输工具所发出的噪声。近年来，由于机动车辆数目的迅速增加，交通噪声已经成为常乐镇的主要噪声来源。建筑噪声主要来源于建筑工地的施工机械发出的噪声，而工业噪音主要来源于生产加工工业所产生的设备噪声。现状农村的声环境质量优于城镇，基本符合国家制定的声环境质量标准。</w:t>
      </w:r>
    </w:p>
    <w:p>
      <w:pPr>
        <w:ind w:firstLine="640"/>
      </w:pPr>
      <w:r>
        <w:rPr>
          <w:rFonts w:hint="eastAsia"/>
        </w:rPr>
        <w:t>（4）固体废弃物污染</w:t>
      </w:r>
    </w:p>
    <w:p>
      <w:pPr>
        <w:ind w:firstLine="640"/>
      </w:pPr>
      <w:r>
        <w:rPr>
          <w:rFonts w:hint="eastAsia"/>
        </w:rPr>
        <w:t>常乐镇的工业固体废弃物主要为工业废渣。生活废弃物主要包括垃圾和粪便。目前，常乐镇的生活垃圾主要由环卫部门负责清扫、清运，运输至垃圾焚烧厂处理集中处理。生活粪便现基本经化粪池简单处理后由下水道排入区城镇污水管网。</w:t>
      </w:r>
    </w:p>
    <w:p>
      <w:pPr>
        <w:pStyle w:val="3"/>
        <w:ind w:firstLine="640"/>
      </w:pPr>
      <w:bookmarkStart w:id="6" w:name="_Toc18889"/>
      <w:r>
        <w:rPr>
          <w:rFonts w:hint="eastAsia"/>
        </w:rPr>
        <w:t>（二）产业发展现状</w:t>
      </w:r>
      <w:bookmarkEnd w:id="6"/>
    </w:p>
    <w:p>
      <w:pPr>
        <w:ind w:firstLine="640"/>
      </w:pPr>
      <w:r>
        <w:t>2022</w:t>
      </w:r>
      <w:r>
        <w:rPr>
          <w:rFonts w:hint="eastAsia"/>
        </w:rPr>
        <w:t>年常乐镇实现工业总产值3896亿元。常乐镇三次产业结构由2015年的9</w:t>
      </w:r>
      <w:r>
        <w:t>.</w:t>
      </w:r>
      <w:r>
        <w:rPr>
          <w:rFonts w:hint="eastAsia"/>
        </w:rPr>
        <w:t>6：65</w:t>
      </w:r>
      <w:r>
        <w:t>.</w:t>
      </w:r>
      <w:r>
        <w:rPr>
          <w:rFonts w:hint="eastAsia"/>
        </w:rPr>
        <w:t>9：24</w:t>
      </w:r>
      <w:r>
        <w:t>.</w:t>
      </w:r>
      <w:r>
        <w:rPr>
          <w:rFonts w:hint="eastAsia"/>
        </w:rPr>
        <w:t>5演进为2021年的6</w:t>
      </w:r>
      <w:r>
        <w:t>.</w:t>
      </w:r>
      <w:r>
        <w:rPr>
          <w:rFonts w:hint="eastAsia"/>
        </w:rPr>
        <w:t>0</w:t>
      </w:r>
      <w:r>
        <w:t>:</w:t>
      </w:r>
      <w:r>
        <w:rPr>
          <w:rFonts w:hint="eastAsia"/>
        </w:rPr>
        <w:t>48</w:t>
      </w:r>
      <w:r>
        <w:t>.</w:t>
      </w:r>
      <w:r>
        <w:rPr>
          <w:rFonts w:hint="eastAsia"/>
        </w:rPr>
        <w:t>97</w:t>
      </w:r>
      <w:r>
        <w:t>:</w:t>
      </w:r>
      <w:r>
        <w:rPr>
          <w:rFonts w:hint="eastAsia"/>
        </w:rPr>
        <w:t>45</w:t>
      </w:r>
      <w:r>
        <w:t>.</w:t>
      </w:r>
      <w:r>
        <w:rPr>
          <w:rFonts w:hint="eastAsia"/>
        </w:rPr>
        <w:t>03。依托优势区位常乐镇围绕张謇文化旅游景区、官公岛度假区、麒麟红木文化产业区的建设大力发展第三产业，第三产业增幅增长较快。</w:t>
      </w:r>
    </w:p>
    <w:p>
      <w:pPr>
        <w:ind w:firstLine="640"/>
      </w:pPr>
      <w:r>
        <w:rPr>
          <w:rFonts w:hint="eastAsia"/>
        </w:rPr>
        <w:t>结合镇村发展基础、乡村振兴发展政策、区位交通优势，以一产特色化，二产高端化，三产融合发展为突破路径，形成以文化旅游为特色产业，高端制造和现代农业为主导产业的“两主一特”的产业发展体系。</w:t>
      </w:r>
    </w:p>
    <w:p>
      <w:pPr>
        <w:ind w:firstLine="640"/>
        <w:rPr>
          <w:rFonts w:hint="eastAsia"/>
        </w:rPr>
      </w:pPr>
      <w:r>
        <w:t>目前</w:t>
      </w:r>
      <w:r>
        <w:rPr>
          <w:rFonts w:hint="eastAsia"/>
        </w:rPr>
        <w:t>，</w:t>
      </w:r>
      <w:r>
        <w:t>常乐镇已初步确立文化旅游</w:t>
      </w:r>
      <w:r>
        <w:rPr>
          <w:rFonts w:hint="eastAsia"/>
        </w:rPr>
        <w:t>、</w:t>
      </w:r>
      <w:r>
        <w:t>高端制造及科技研发</w:t>
      </w:r>
      <w:r>
        <w:rPr>
          <w:rFonts w:hint="eastAsia"/>
        </w:rPr>
        <w:t>、</w:t>
      </w:r>
      <w:r>
        <w:t>现代农业三大特色产业</w:t>
      </w:r>
      <w:r>
        <w:rPr>
          <w:rFonts w:hint="eastAsia"/>
          <w:lang w:eastAsia="zh-CN"/>
        </w:rPr>
        <w:t>。</w:t>
      </w:r>
      <w:r>
        <w:rPr>
          <w:color w:val="auto"/>
        </w:rPr>
        <w:t>其中高端制造业已取得初步成效</w:t>
      </w:r>
      <w:r>
        <w:rPr>
          <w:rFonts w:hint="eastAsia"/>
          <w:color w:val="auto"/>
        </w:rPr>
        <w:t>，</w:t>
      </w:r>
      <w:r>
        <w:rPr>
          <w:color w:val="auto"/>
        </w:rPr>
        <w:t>形成了</w:t>
      </w:r>
      <w:r>
        <w:rPr>
          <w:rFonts w:hint="eastAsia"/>
          <w:color w:val="auto"/>
        </w:rPr>
        <w:t>智能装备制造产业：以环宇建筑装备、中南模板为代表的智能装备制造板块；新材料产业：以旺鑫新材料、环球塑料为代表的新材料产业板块；机械制造产业：以麒龙机械、浩博机械、新凤祥液压铸造、沪江船舶为代表的机械制造产业；红木产业：以麒麟片区红木制品生产为主的红木产业板块。</w:t>
      </w:r>
    </w:p>
    <w:p>
      <w:pPr>
        <w:ind w:firstLine="640"/>
        <w:rPr>
          <w:b/>
        </w:rPr>
      </w:pPr>
      <w:r>
        <w:rPr>
          <w:rFonts w:hint="eastAsia"/>
        </w:rPr>
        <w:t>十三五”期间，常乐镇的产业发展虽然取得了长足的进步，但与同类先进地区相比，仍存在一定差距。具体包括：</w:t>
      </w:r>
      <w:r>
        <w:rPr>
          <w:rFonts w:hint="eastAsia"/>
          <w:b/>
          <w:bCs/>
        </w:rPr>
        <w:t>一是产业链不完善，</w:t>
      </w:r>
      <w:r>
        <w:rPr>
          <w:rFonts w:hint="eastAsia"/>
          <w:bCs/>
        </w:rPr>
        <w:t>主导</w:t>
      </w:r>
      <w:r>
        <w:rPr>
          <w:rFonts w:hint="eastAsia"/>
        </w:rPr>
        <w:t>产业仅在各自产业领域具有一定关联性，缺乏产业体系的整体性，产业辐射性、带动性、影响力、竞争力相对较弱；</w:t>
      </w:r>
      <w:r>
        <w:rPr>
          <w:rFonts w:hint="eastAsia"/>
          <w:b/>
          <w:bCs/>
        </w:rPr>
        <w:t>二是科技创新收效甚微，</w:t>
      </w:r>
      <w:r>
        <w:rPr>
          <w:rFonts w:hint="eastAsia"/>
        </w:rPr>
        <w:t>科技服务平台少，高技术人才和专业人才短缺，创新驱动机制不够健全，科技创新对产业发展的大幅拉动效果尚未显现；</w:t>
      </w:r>
      <w:r>
        <w:rPr>
          <w:rFonts w:hint="eastAsia"/>
          <w:b/>
          <w:bCs/>
        </w:rPr>
        <w:t>三是平台载体建设滞后，</w:t>
      </w:r>
      <w:r>
        <w:rPr>
          <w:rFonts w:hint="eastAsia"/>
        </w:rPr>
        <w:t>常乐镇针对高端制造和现代农业的平台载体建设数量不多，且整体产业技术支撑和公共服务平台载体亟需进一步完善；</w:t>
      </w:r>
      <w:r>
        <w:rPr>
          <w:rFonts w:hint="eastAsia"/>
          <w:b/>
          <w:bCs/>
        </w:rPr>
        <w:t>四是产业服务能力薄弱。</w:t>
      </w:r>
      <w:r>
        <w:rPr>
          <w:rFonts w:hint="eastAsia"/>
        </w:rPr>
        <w:t>基础设施与公共服务设施覆盖面不足，配套产业不够完善，尤其是物流运输、信息服务等生产性服务业存在缺位。</w:t>
      </w:r>
    </w:p>
    <w:p>
      <w:pPr>
        <w:pStyle w:val="2"/>
        <w:ind w:firstLine="640"/>
      </w:pPr>
      <w:bookmarkStart w:id="7" w:name="_Toc5318"/>
      <w:r>
        <w:rPr>
          <w:rFonts w:hint="eastAsia"/>
        </w:rPr>
        <w:t>三、发展环境和机遇分析</w:t>
      </w:r>
      <w:bookmarkEnd w:id="7"/>
    </w:p>
    <w:p>
      <w:pPr>
        <w:pStyle w:val="3"/>
        <w:ind w:firstLine="640"/>
      </w:pPr>
      <w:bookmarkStart w:id="8" w:name="_Toc23984"/>
      <w:r>
        <w:rPr>
          <w:rFonts w:hint="eastAsia"/>
        </w:rPr>
        <w:t>（一）国内外形势分析</w:t>
      </w:r>
      <w:bookmarkEnd w:id="8"/>
    </w:p>
    <w:p>
      <w:pPr>
        <w:ind w:firstLine="640"/>
      </w:pPr>
      <w:r>
        <w:rPr>
          <w:rFonts w:hint="eastAsia"/>
        </w:rPr>
        <w:t>从国际上看，世界百年未有之大变局。传统西方国家经济发展陷入低迷，新兴经济体及发展中国家加速崛起，国际力量对比深刻调整，单边主义、保护主义、霸权主义持续抬头，世界进入动荡变革期，全球产业链供应链面临非经济因素冲击，不稳定不确定性明显增加。同时，新一轮科技革命和产业变革深入发展，产业链、供应链、创新链、价值链区域内部循环更加强化。科技变革为常乐镇优先发展新兴产业、转型发展传统产业，提供了重要机遇，但复杂多变的国际环境也将为常乐镇对外贸易、技术和人才引进造成重要影响。</w:t>
      </w:r>
    </w:p>
    <w:p>
      <w:pPr>
        <w:ind w:firstLine="640"/>
      </w:pPr>
      <w:r>
        <w:rPr>
          <w:rFonts w:hint="eastAsia"/>
        </w:rPr>
        <w:t>从国内上看，我国已转向高质量发展阶段，物质基础雄厚，人力资源丰富，市场空间广阔，发展韧性强大，社会大局稳定，继续发展具有多方面优势和条件。这为常乐镇坚持新发展理念，服务构建以国内大循环为主体、国际国内双循环相互促进的新发展格局，坚决将科技创新放在经济发展全局的核心地位，做强做大</w:t>
      </w:r>
      <w:r>
        <w:rPr>
          <w:rFonts w:hint="eastAsia"/>
          <w:lang w:eastAsia="zh-CN"/>
        </w:rPr>
        <w:t>张謇</w:t>
      </w:r>
      <w:r>
        <w:rPr>
          <w:rFonts w:hint="eastAsia"/>
        </w:rPr>
        <w:t>文化产业、把握临空产业发展机遇等，升级建筑制造、红木等传统产业，</w:t>
      </w:r>
      <w:r>
        <w:rPr>
          <w:rFonts w:hint="eastAsia"/>
          <w:lang w:eastAsia="zh-CN"/>
        </w:rPr>
        <w:t>发展高端制造业，</w:t>
      </w:r>
      <w:r>
        <w:rPr>
          <w:rFonts w:hint="eastAsia"/>
        </w:rPr>
        <w:t>实现高质量发展提供了重要机遇。</w:t>
      </w:r>
    </w:p>
    <w:p>
      <w:pPr>
        <w:pStyle w:val="3"/>
        <w:ind w:firstLine="640"/>
        <w:rPr>
          <w:color w:val="FF0000"/>
        </w:rPr>
      </w:pPr>
      <w:bookmarkStart w:id="9" w:name="_Toc8706"/>
      <w:r>
        <w:rPr>
          <w:rFonts w:hint="eastAsia"/>
        </w:rPr>
        <w:t>（二）产业发展机遇分析</w:t>
      </w:r>
      <w:bookmarkEnd w:id="9"/>
    </w:p>
    <w:p>
      <w:pPr>
        <w:pStyle w:val="4"/>
        <w:ind w:firstLine="640"/>
      </w:pPr>
      <w:r>
        <w:rPr>
          <w:rFonts w:hint="eastAsia"/>
        </w:rPr>
        <w:t>1.国家层面：特色小城镇建设方兴未艾</w:t>
      </w:r>
    </w:p>
    <w:p>
      <w:pPr>
        <w:ind w:firstLine="640"/>
      </w:pPr>
      <w:r>
        <w:rPr>
          <w:rFonts w:hint="eastAsia"/>
        </w:rPr>
        <w:t>住房城乡建设部、国家发展改革委、财政部决定在全国范围开展特色小镇培育工作，明确提出到2020年培育1000个左右各具特色、富有活力的休闲旅游、商贸物流、现代制造、教育科技、传统文化、美丽宜居等特色小镇。</w:t>
      </w:r>
    </w:p>
    <w:p>
      <w:pPr>
        <w:ind w:firstLine="640"/>
      </w:pPr>
      <w:r>
        <w:rPr>
          <w:rFonts w:hint="eastAsia"/>
        </w:rPr>
        <w:t>借助特色小城镇的建设，将常乐镇打造成国家謇文化旅游名镇、宜居宜游宜业新城镇。</w:t>
      </w:r>
    </w:p>
    <w:p>
      <w:pPr>
        <w:pStyle w:val="4"/>
        <w:ind w:firstLine="640"/>
      </w:pPr>
      <w:r>
        <w:rPr>
          <w:rFonts w:hint="eastAsia"/>
        </w:rPr>
        <w:t>2.区域层面：区域联动融合为常乐镇发展提供新机遇</w:t>
      </w:r>
    </w:p>
    <w:p>
      <w:pPr>
        <w:ind w:firstLine="640"/>
      </w:pPr>
      <w:r>
        <w:rPr>
          <w:rFonts w:hint="eastAsia"/>
        </w:rPr>
        <w:t>2018年11月，长三角区域一体化上升为国家战略。《上海市城市总体规划（2017-2035年）》中提出“主动融入长三角区域协同发展，构建上海大都市圈，打造具有全球影响力的世界级城市群”。目前，上海建设卓越全球城市面临着人口、资源、环境等压力，城市发展空间受限严重，非核心城市功能需向周边外溢疏解，“1+8”都市圈的提出给了南通市发展风口，而苏南也处于产业结构深度调整期，部分制造业存在向外转移的内在需求，区域协调发展新格局正在逐步形成。</w:t>
      </w:r>
    </w:p>
    <w:p>
      <w:pPr>
        <w:ind w:firstLine="640"/>
      </w:pPr>
      <w:r>
        <w:rPr>
          <w:rFonts w:hint="eastAsia"/>
        </w:rPr>
        <w:t>常乐镇滨江临海，区位优越。地处我国黄金水道与黄金海岸的“T”字型结合点上，坐拥沿江和沿海两大经济开放带，与上海、苏南隔江相望。距上海仅60公里，通过苏通大桥、崇启大桥到上海，仅需1小时，至海门市区仅10分钟，到南通市区仅30分钟。位置相近、文化相亲、制度相似、产业互补是常乐镇融入长三角、对接沪苏地区的最大优势。按照省委、省政府部署要求，南通市已提出“全方位融入苏南、全方位对接上海、全方位推进高质量发展”的发展战略。在国内国际双循环的新发展格局下，常乐镇应坚定不移走区域融合发展道路，加快步伐、顺势而为，争当南通与沪苏地区融合发展的排头兵，走在长三角一体化发展的前列，充分利用区域联动融合方式推动常乐镇产业结构深度调整，加快新旧动能转换步伐，不断提升产业发展的层次与水平。</w:t>
      </w:r>
    </w:p>
    <w:p>
      <w:pPr>
        <w:pStyle w:val="4"/>
        <w:ind w:firstLine="640"/>
      </w:pPr>
      <w:r>
        <w:rPr>
          <w:rFonts w:hint="eastAsia"/>
        </w:rPr>
        <w:t>3.镇区层面：</w:t>
      </w:r>
      <w:r>
        <w:rPr>
          <w:rFonts w:hint="eastAsia"/>
          <w:lang w:eastAsia="zh-CN"/>
        </w:rPr>
        <w:t>区位优势</w:t>
      </w:r>
      <w:r>
        <w:rPr>
          <w:rFonts w:hint="eastAsia"/>
        </w:rPr>
        <w:t>提升为经济增长奠定新基础</w:t>
      </w:r>
    </w:p>
    <w:p>
      <w:pPr>
        <w:ind w:firstLine="640"/>
      </w:pPr>
      <w:r>
        <w:rPr>
          <w:rFonts w:hint="eastAsia"/>
        </w:rPr>
        <w:t>北沿江高铁和南通新机场是关乎海门区的两大超级工程。北沿江高铁是《中长期铁路网规划（2016-2030年）》“八纵八横”高铁网的组成部分，是长三角城际铁路网的骨干线路，也是江北沿江城市与南京都市圈、上海都市圈快速直达的快捷通道。建设北沿江铁路，能够极大缓解长江南北两翼高速铁路发展不均衡的问题，有助于江苏省完善沿江综合运输大通道，更好地策应长江经济带发展战略，进一步提升区域影响力。南通新机场目前也在加紧筹备中，预计将于“十四五”期间动工，建设完成后将与上海虹桥机场、浦东机场共同组成上海航空主枢纽，并与北沿江高铁打通，共同构建形成“轨道上的高铁”。</w:t>
      </w:r>
    </w:p>
    <w:p>
      <w:pPr>
        <w:ind w:firstLine="640"/>
      </w:pPr>
      <w:r>
        <w:rPr>
          <w:rFonts w:hint="eastAsia"/>
        </w:rPr>
        <w:t>在北沿江高铁和南通新机场建成后，海门区以及常乐镇的对外交通格局将被全方位打开，多层次、立体式的综合交通网络将容易产生资源要素的叠加效应，通过枢纽汇集大量人流、客流、商流和资金流，将造就大量商业与就业机会。从产业发展的需求角度看，临空现代农业、高端制造等产业发展对生产要素需求将逐步被满足，同时人口流动将直接拉动常乐镇消费增长，有利于扩大会展、旅游、文创等服务业规模，对未来常乐镇经济发展起到较强的牵引作用。</w:t>
      </w:r>
    </w:p>
    <w:p>
      <w:pPr>
        <w:pStyle w:val="2"/>
        <w:ind w:firstLine="640"/>
      </w:pPr>
      <w:bookmarkStart w:id="10" w:name="_Toc25032"/>
      <w:r>
        <w:rPr>
          <w:rFonts w:hint="eastAsia"/>
        </w:rPr>
        <w:t>四、总体思路</w:t>
      </w:r>
      <w:bookmarkEnd w:id="10"/>
    </w:p>
    <w:p>
      <w:pPr>
        <w:pStyle w:val="3"/>
        <w:ind w:firstLine="640"/>
      </w:pPr>
      <w:bookmarkStart w:id="11" w:name="_Toc32373"/>
      <w:r>
        <w:rPr>
          <w:rFonts w:hint="eastAsia"/>
        </w:rPr>
        <w:t>（一）指导思想</w:t>
      </w:r>
      <w:bookmarkEnd w:id="11"/>
    </w:p>
    <w:p>
      <w:pPr>
        <w:ind w:firstLine="640"/>
        <w:rPr>
          <w:rFonts w:hint="eastAsia" w:eastAsia="仿宋_GB2312"/>
          <w:b/>
          <w:bCs/>
          <w:color w:val="FF0000"/>
          <w:lang w:eastAsia="zh-CN"/>
        </w:rPr>
      </w:pPr>
      <w:r>
        <w:rPr>
          <w:rFonts w:hint="eastAsia"/>
        </w:rPr>
        <w:t>坚持以习近平新时代中国特色社会主义思想为指导，深入落实习近平总书记对江苏工作的重要讲话指示精神，统筹推进“五位一体”总体布局，协调推进“四个全面”战略布局，坚定不移贯彻新发展理念，坚持稳中求进工作总基调，在张謇文化牵引带动下，借力临空区、蓄力海门区、助力南通市文化经济发展规划建设理念基础上，</w:t>
      </w:r>
      <w:r>
        <w:rPr>
          <w:rFonts w:hint="eastAsia"/>
          <w:bCs/>
        </w:rPr>
        <w:t>聚焦</w:t>
      </w:r>
      <w:r>
        <w:rPr>
          <w:rFonts w:hint="eastAsia"/>
          <w:bCs/>
          <w:lang w:eastAsia="zh-CN"/>
        </w:rPr>
        <w:t>常乐镇</w:t>
      </w:r>
      <w:r>
        <w:t>文化旅游</w:t>
      </w:r>
      <w:r>
        <w:rPr>
          <w:rFonts w:hint="eastAsia"/>
        </w:rPr>
        <w:t>、</w:t>
      </w:r>
      <w:r>
        <w:t>高端制造</w:t>
      </w:r>
      <w:r>
        <w:rPr>
          <w:rFonts w:hint="eastAsia"/>
        </w:rPr>
        <w:t>、</w:t>
      </w:r>
      <w:r>
        <w:t>现代农业</w:t>
      </w:r>
      <w:r>
        <w:rPr>
          <w:rFonts w:hint="eastAsia"/>
          <w:bCs/>
        </w:rPr>
        <w:t>三大主导产业体系，</w:t>
      </w:r>
      <w:r>
        <w:rPr>
          <w:rFonts w:hint="eastAsia"/>
          <w:bCs/>
          <w:lang w:eastAsia="zh-CN"/>
        </w:rPr>
        <w:t>加快常乐镇产业发展进度和发展质量。</w:t>
      </w:r>
    </w:p>
    <w:p>
      <w:pPr>
        <w:pStyle w:val="3"/>
        <w:ind w:firstLine="640"/>
      </w:pPr>
      <w:bookmarkStart w:id="12" w:name="_Toc19937"/>
      <w:r>
        <w:rPr>
          <w:rFonts w:hint="eastAsia"/>
        </w:rPr>
        <w:t>（二）基本原则</w:t>
      </w:r>
      <w:bookmarkEnd w:id="12"/>
    </w:p>
    <w:p>
      <w:pPr>
        <w:ind w:firstLine="643"/>
      </w:pPr>
      <w:r>
        <w:rPr>
          <w:rFonts w:hint="eastAsia"/>
          <w:b/>
          <w:bCs/>
        </w:rPr>
        <w:t>产研相融、创新发展。</w:t>
      </w:r>
      <w:r>
        <w:rPr>
          <w:rFonts w:hint="eastAsia"/>
        </w:rPr>
        <w:t>加强</w:t>
      </w:r>
      <w:r>
        <w:rPr>
          <w:rFonts w:hint="eastAsia"/>
          <w:lang w:eastAsia="zh-CN"/>
        </w:rPr>
        <w:t>常乐镇</w:t>
      </w:r>
      <w:r>
        <w:rPr>
          <w:rFonts w:hint="eastAsia"/>
        </w:rPr>
        <w:t>技术研发与产业升级相互协同，以市场需求为导向，强化企业在科技创新中的主体地位，以产学研高质高效联动方式，集聚创新资源和优质要素。</w:t>
      </w:r>
    </w:p>
    <w:p>
      <w:pPr>
        <w:ind w:firstLine="643"/>
      </w:pPr>
      <w:r>
        <w:rPr>
          <w:rFonts w:hint="eastAsia"/>
          <w:b/>
          <w:bCs/>
          <w:lang w:eastAsia="zh-CN"/>
        </w:rPr>
        <w:t>聚焦特色，链式发展</w:t>
      </w:r>
      <w:r>
        <w:rPr>
          <w:rFonts w:hint="eastAsia"/>
          <w:b/>
          <w:bCs/>
        </w:rPr>
        <w:t>。</w:t>
      </w:r>
      <w:r>
        <w:rPr>
          <w:rFonts w:hint="eastAsia"/>
        </w:rPr>
        <w:t>聚焦</w:t>
      </w:r>
      <w:r>
        <w:rPr>
          <w:rFonts w:hint="eastAsia"/>
          <w:lang w:eastAsia="zh-CN"/>
        </w:rPr>
        <w:t>常乐镇</w:t>
      </w:r>
      <w:r>
        <w:t>文化旅游</w:t>
      </w:r>
      <w:r>
        <w:rPr>
          <w:rFonts w:hint="eastAsia"/>
        </w:rPr>
        <w:t>、</w:t>
      </w:r>
      <w:r>
        <w:t>高端制造</w:t>
      </w:r>
      <w:r>
        <w:rPr>
          <w:rFonts w:hint="eastAsia"/>
        </w:rPr>
        <w:t>、</w:t>
      </w:r>
      <w:r>
        <w:t>现代农业</w:t>
      </w:r>
      <w:r>
        <w:rPr>
          <w:rFonts w:hint="eastAsia"/>
        </w:rPr>
        <w:t>等产业发展方向，加快推动产业集群成链发展，进一步打破制造业与服务业界线壁垒，做大做强产业融合发展新模式新业态，塑造培育产业竞争新优势。</w:t>
      </w:r>
    </w:p>
    <w:p>
      <w:pPr>
        <w:ind w:firstLine="643"/>
      </w:pPr>
      <w:r>
        <w:rPr>
          <w:rFonts w:hint="eastAsia"/>
          <w:b/>
          <w:bCs/>
        </w:rPr>
        <w:t>产镇相融、绿色发展。</w:t>
      </w:r>
      <w:r>
        <w:rPr>
          <w:rFonts w:hint="eastAsia"/>
        </w:rPr>
        <w:t>深入践行产镇融合、生态优先发展理念，坚持以人为本，深度挖掘人的居住生活服务需求，形成高品质和精准化的公共设施和配套服务供给，推动空间布局优化整合，打造宜居宜业的</w:t>
      </w:r>
      <w:r>
        <w:rPr>
          <w:rFonts w:hint="eastAsia"/>
          <w:lang w:eastAsia="zh-CN"/>
        </w:rPr>
        <w:t>常乐镇</w:t>
      </w:r>
      <w:r>
        <w:rPr>
          <w:rFonts w:hint="eastAsia"/>
        </w:rPr>
        <w:t>优美环境。</w:t>
      </w:r>
    </w:p>
    <w:p>
      <w:pPr>
        <w:ind w:firstLine="643"/>
        <w:rPr>
          <w:b/>
          <w:bCs/>
        </w:rPr>
      </w:pPr>
      <w:r>
        <w:rPr>
          <w:rFonts w:hint="eastAsia"/>
          <w:b/>
          <w:bCs/>
          <w:lang w:eastAsia="zh-CN"/>
        </w:rPr>
        <w:t>区域协调，协同发展</w:t>
      </w:r>
      <w:r>
        <w:rPr>
          <w:rFonts w:hint="eastAsia"/>
          <w:b/>
          <w:bCs/>
        </w:rPr>
        <w:t>。</w:t>
      </w:r>
      <w:r>
        <w:rPr>
          <w:rFonts w:hint="eastAsia"/>
        </w:rPr>
        <w:t>充分发挥常乐镇毗邻上海、苏南、海门城区的区位优势，主动融入上海大都市圈，积极承接上海及苏锡常地区溢出的科技、人才、项目、金融等各类生产要素资源，推动地区间企业充分交流协作，实现产业特色化差异化发展。</w:t>
      </w:r>
    </w:p>
    <w:p>
      <w:pPr>
        <w:pStyle w:val="3"/>
        <w:ind w:firstLine="640"/>
      </w:pPr>
      <w:bookmarkStart w:id="13" w:name="_Toc762"/>
      <w:r>
        <w:rPr>
          <w:rFonts w:hint="eastAsia"/>
        </w:rPr>
        <w:t>（三）发展目标</w:t>
      </w:r>
      <w:bookmarkEnd w:id="13"/>
    </w:p>
    <w:p>
      <w:pPr>
        <w:ind w:firstLine="640"/>
      </w:pPr>
      <w:r>
        <w:rPr>
          <w:rFonts w:hint="eastAsia"/>
        </w:rPr>
        <w:t>到2025年，常乐镇产业规模不断提升、产业结构持续优化，以</w:t>
      </w:r>
      <w:r>
        <w:t>文化旅游</w:t>
      </w:r>
      <w:r>
        <w:rPr>
          <w:rFonts w:hint="eastAsia"/>
        </w:rPr>
        <w:t>、</w:t>
      </w:r>
      <w:r>
        <w:t>高端制造</w:t>
      </w:r>
      <w:r>
        <w:rPr>
          <w:rFonts w:hint="eastAsia"/>
        </w:rPr>
        <w:t>、</w:t>
      </w:r>
      <w:r>
        <w:t>现代农业</w:t>
      </w:r>
      <w:r>
        <w:rPr>
          <w:rFonts w:hint="eastAsia"/>
        </w:rPr>
        <w:t>为主导的现代产业体系基本构建。其中</w:t>
      </w:r>
      <w:r>
        <w:t>高端制造</w:t>
      </w:r>
      <w:r>
        <w:rPr>
          <w:rFonts w:hint="eastAsia"/>
        </w:rPr>
        <w:t>产业成长为具有区域竞争力的特色产业集群；</w:t>
      </w:r>
      <w:r>
        <w:t>文化旅游</w:t>
      </w:r>
      <w:r>
        <w:rPr>
          <w:rFonts w:hint="eastAsia"/>
        </w:rPr>
        <w:t>和</w:t>
      </w:r>
      <w:r>
        <w:t>现代农业</w:t>
      </w:r>
      <w:r>
        <w:rPr>
          <w:rFonts w:hint="eastAsia"/>
        </w:rPr>
        <w:t>产业发展</w:t>
      </w:r>
      <w:r>
        <w:rPr>
          <w:rFonts w:hint="eastAsia"/>
          <w:lang w:eastAsia="zh-CN"/>
        </w:rPr>
        <w:t>逐渐成为常乐镇的特色产业和标杆产业，将常乐镇</w:t>
      </w:r>
      <w:r>
        <w:rPr>
          <w:rFonts w:hint="eastAsia"/>
        </w:rPr>
        <w:t>全面建成具有深厚产业内涵和较高人文水平的现代化</w:t>
      </w:r>
      <w:r>
        <w:rPr>
          <w:rFonts w:hint="eastAsia"/>
          <w:lang w:eastAsia="zh-CN"/>
        </w:rPr>
        <w:t>的特色小镇</w:t>
      </w:r>
      <w:r>
        <w:rPr>
          <w:rFonts w:hint="eastAsia"/>
        </w:rPr>
        <w:t>。</w:t>
      </w:r>
    </w:p>
    <w:p>
      <w:pPr>
        <w:pStyle w:val="2"/>
        <w:ind w:firstLine="640"/>
      </w:pPr>
      <w:bookmarkStart w:id="14" w:name="_Toc32393"/>
      <w:r>
        <w:rPr>
          <w:rFonts w:hint="eastAsia"/>
        </w:rPr>
        <w:t>五、主导产业定位和发展方向</w:t>
      </w:r>
      <w:bookmarkEnd w:id="14"/>
    </w:p>
    <w:p>
      <w:pPr>
        <w:pStyle w:val="3"/>
        <w:ind w:firstLine="640"/>
      </w:pPr>
      <w:bookmarkStart w:id="15" w:name="_Toc27771"/>
      <w:r>
        <w:rPr>
          <w:rFonts w:hint="eastAsia"/>
        </w:rPr>
        <w:t>（一）高端制造及科技研发产业</w:t>
      </w:r>
      <w:bookmarkEnd w:id="15"/>
    </w:p>
    <w:p>
      <w:pPr>
        <w:ind w:firstLine="640"/>
        <w:rPr>
          <w:rFonts w:hint="eastAsia"/>
        </w:rPr>
      </w:pPr>
      <w:r>
        <w:t>依托常乐镇制造业的基础</w:t>
      </w:r>
      <w:r>
        <w:rPr>
          <w:rFonts w:hint="eastAsia"/>
        </w:rPr>
        <w:t>，按照“价值链驱动、创新链协同、产业链扩充”的思路模式，构建建筑行业、新材料、智能装备产业链，重视重大项目牵引，与周边区域促进融合发展，积极承接上海、苏州等地的创新产业转移，推动产业链向价值链延伸。主要包括建筑行业、新材料、智能装备、机械制造、生物医药、汽车零配件制造、电动助力车及零配件制造等产业。</w:t>
      </w:r>
    </w:p>
    <w:p>
      <w:pPr>
        <w:ind w:firstLine="640"/>
      </w:pPr>
      <w:r>
        <w:t>常乐镇高端制造及科技研发的发展方向</w:t>
      </w:r>
      <w:r>
        <w:rPr>
          <w:rFonts w:hint="eastAsia"/>
        </w:rPr>
        <w:t>：在人工智能技术革命浪潮下，“大模型+制造业”成为制造业发展新方向，科技企业与制造企业在智能制造领域不断探索，使得新技术、新产品不断涌现。制造业创新发展主要依靠两种途径，一是制造业技术的原始性创新，二是共性赋能技术和制造技术融合创新。坚定不移筑牢制造业，提升产业链供应链韧性和安全水平，推动制造业高端化、智能化、绿色化发展，加快制造业从中低端向中高端跃升。</w:t>
      </w:r>
    </w:p>
    <w:p>
      <w:pPr>
        <w:ind w:firstLine="640"/>
      </w:pPr>
      <w:r>
        <w:t>建筑制造</w:t>
      </w:r>
      <w:r>
        <w:rPr>
          <w:rFonts w:hint="eastAsia"/>
        </w:rPr>
        <w:t>：</w:t>
      </w:r>
      <w:r>
        <w:t>建材物流集散中心</w:t>
      </w:r>
      <w:r>
        <w:rPr>
          <w:rFonts w:hint="eastAsia"/>
        </w:rPr>
        <w:t>、</w:t>
      </w:r>
      <w:r>
        <w:t>集成房屋展示区</w:t>
      </w:r>
      <w:r>
        <w:rPr>
          <w:rFonts w:hint="eastAsia"/>
        </w:rPr>
        <w:t>、</w:t>
      </w:r>
      <w:r>
        <w:t>装配式建筑产业园</w:t>
      </w:r>
      <w:r>
        <w:rPr>
          <w:rFonts w:hint="eastAsia"/>
        </w:rPr>
        <w:t>。</w:t>
      </w:r>
    </w:p>
    <w:p>
      <w:pPr>
        <w:ind w:firstLine="640"/>
      </w:pPr>
      <w:r>
        <w:t>新材料</w:t>
      </w:r>
      <w:r>
        <w:rPr>
          <w:rFonts w:hint="eastAsia"/>
        </w:rPr>
        <w:t>：</w:t>
      </w:r>
      <w:r>
        <w:t>金属材料产业基地</w:t>
      </w:r>
      <w:r>
        <w:rPr>
          <w:rFonts w:hint="eastAsia"/>
        </w:rPr>
        <w:t>、</w:t>
      </w:r>
      <w:r>
        <w:t>包装材料产业基地</w:t>
      </w:r>
      <w:r>
        <w:rPr>
          <w:rFonts w:hint="eastAsia"/>
        </w:rPr>
        <w:t>、</w:t>
      </w:r>
      <w:r>
        <w:t>纺织材料产业基地</w:t>
      </w:r>
      <w:r>
        <w:rPr>
          <w:rFonts w:hint="eastAsia"/>
        </w:rPr>
        <w:t>。</w:t>
      </w:r>
    </w:p>
    <w:p>
      <w:pPr>
        <w:ind w:firstLine="640"/>
      </w:pPr>
      <w:r>
        <w:t>红木产业</w:t>
      </w:r>
      <w:r>
        <w:rPr>
          <w:rFonts w:hint="eastAsia"/>
        </w:rPr>
        <w:t>：</w:t>
      </w:r>
      <w:r>
        <w:t>红木艺术品展销中心</w:t>
      </w:r>
      <w:r>
        <w:rPr>
          <w:rFonts w:hint="eastAsia"/>
        </w:rPr>
        <w:t>、</w:t>
      </w:r>
      <w:r>
        <w:t>红木文化博物馆</w:t>
      </w:r>
      <w:r>
        <w:rPr>
          <w:rFonts w:hint="eastAsia"/>
        </w:rPr>
        <w:t>、</w:t>
      </w:r>
      <w:r>
        <w:t>红木工艺研学基地</w:t>
      </w:r>
      <w:r>
        <w:rPr>
          <w:rFonts w:hint="eastAsia"/>
        </w:rPr>
        <w:t>、</w:t>
      </w:r>
      <w:r>
        <w:t>红木制品生产基地</w:t>
      </w:r>
      <w:r>
        <w:rPr>
          <w:rFonts w:hint="eastAsia"/>
        </w:rPr>
        <w:t>。</w:t>
      </w:r>
    </w:p>
    <w:p>
      <w:pPr>
        <w:ind w:firstLine="640"/>
      </w:pPr>
      <w:r>
        <w:t>智能装备机械制造</w:t>
      </w:r>
      <w:r>
        <w:rPr>
          <w:rFonts w:hint="eastAsia"/>
        </w:rPr>
        <w:t>：</w:t>
      </w:r>
      <w:r>
        <w:t>智能装备产业园区</w:t>
      </w:r>
      <w:r>
        <w:rPr>
          <w:rFonts w:hint="eastAsia"/>
        </w:rPr>
        <w:t>、</w:t>
      </w:r>
      <w:r>
        <w:t>机械部件产业基地</w:t>
      </w:r>
      <w:r>
        <w:rPr>
          <w:rFonts w:hint="eastAsia"/>
        </w:rPr>
        <w:t>、</w:t>
      </w:r>
      <w:r>
        <w:t>生态商务园区</w:t>
      </w:r>
      <w:r>
        <w:rPr>
          <w:rFonts w:hint="eastAsia"/>
        </w:rPr>
        <w:t>。</w:t>
      </w:r>
    </w:p>
    <w:p>
      <w:pPr>
        <w:ind w:firstLine="640"/>
        <w:rPr>
          <w:rFonts w:hint="eastAsia"/>
          <w:color w:val="auto"/>
        </w:rPr>
      </w:pPr>
      <w:r>
        <w:rPr>
          <w:color w:val="auto"/>
        </w:rPr>
        <w:t>乡创中心</w:t>
      </w:r>
      <w:r>
        <w:rPr>
          <w:rFonts w:hint="eastAsia"/>
          <w:color w:val="auto"/>
        </w:rPr>
        <w:t>：以“科技赋能乡村产业振兴”为核心理念、以农业科技成果转化和项目孵化为主营业务、以大数据及人工智能为辅助技术手段，建设乡村产业振兴的赋能平台。</w:t>
      </w:r>
    </w:p>
    <w:p>
      <w:pPr>
        <w:ind w:firstLine="640"/>
        <w:rPr>
          <w:rFonts w:hint="eastAsia"/>
          <w:color w:val="auto"/>
          <w:lang w:eastAsia="zh-CN"/>
        </w:rPr>
      </w:pPr>
      <w:r>
        <w:rPr>
          <w:rFonts w:hint="eastAsia"/>
          <w:color w:val="auto"/>
        </w:rPr>
        <w:t>“乡创中心”项目包括一系列重要子项目：建设人才交流中心、创新创业载体基地基础设施、农业科研中心、大学生创业创新基地，这些子项目将涵盖展示、科研和创业等多领域，打造乡村振兴人才创新创业实践基地</w:t>
      </w:r>
      <w:r>
        <w:rPr>
          <w:rFonts w:hint="eastAsia"/>
          <w:color w:val="auto"/>
          <w:lang w:eastAsia="zh-CN"/>
        </w:rPr>
        <w:t>。</w:t>
      </w:r>
    </w:p>
    <w:p>
      <w:pPr>
        <w:ind w:firstLine="640"/>
        <w:rPr>
          <w:rFonts w:hint="eastAsia"/>
          <w:color w:val="auto"/>
          <w:lang w:eastAsia="zh-CN"/>
        </w:rPr>
      </w:pPr>
      <w:r>
        <w:rPr>
          <w:rFonts w:hint="eastAsia"/>
          <w:color w:val="auto"/>
          <w:lang w:eastAsia="zh-CN"/>
        </w:rPr>
        <w:drawing>
          <wp:anchor distT="0" distB="0" distL="114300" distR="114300" simplePos="0" relativeHeight="251661312" behindDoc="1" locked="0" layoutInCell="1" allowOverlap="1">
            <wp:simplePos x="0" y="0"/>
            <wp:positionH relativeFrom="column">
              <wp:posOffset>142240</wp:posOffset>
            </wp:positionH>
            <wp:positionV relativeFrom="paragraph">
              <wp:posOffset>59690</wp:posOffset>
            </wp:positionV>
            <wp:extent cx="5272405" cy="1692910"/>
            <wp:effectExtent l="0" t="0" r="4445" b="2540"/>
            <wp:wrapTight wrapText="bothSides">
              <wp:wrapPolygon>
                <wp:start x="0" y="0"/>
                <wp:lineTo x="0" y="21389"/>
                <wp:lineTo x="21540" y="21389"/>
                <wp:lineTo x="21540" y="0"/>
                <wp:lineTo x="0" y="0"/>
              </wp:wrapPolygon>
            </wp:wrapTight>
            <wp:docPr id="1" name="图片 1" descr="170001295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0012950384"/>
                    <pic:cNvPicPr>
                      <a:picLocks noChangeAspect="1"/>
                    </pic:cNvPicPr>
                  </pic:nvPicPr>
                  <pic:blipFill>
                    <a:blip r:embed="rId15"/>
                    <a:stretch>
                      <a:fillRect/>
                    </a:stretch>
                  </pic:blipFill>
                  <pic:spPr>
                    <a:xfrm>
                      <a:off x="0" y="0"/>
                      <a:ext cx="5272405" cy="1692910"/>
                    </a:xfrm>
                    <a:prstGeom prst="rect">
                      <a:avLst/>
                    </a:prstGeom>
                  </pic:spPr>
                </pic:pic>
              </a:graphicData>
            </a:graphic>
          </wp:anchor>
        </w:drawing>
      </w:r>
    </w:p>
    <w:p>
      <w:pPr>
        <w:ind w:firstLine="640"/>
        <w:rPr>
          <w:rFonts w:hint="eastAsia" w:eastAsia="仿宋_GB2312"/>
          <w:color w:val="auto"/>
          <w:lang w:eastAsia="zh-CN"/>
        </w:rPr>
      </w:pPr>
      <w:r>
        <w:rPr>
          <w:rFonts w:hint="eastAsia"/>
          <w:color w:val="auto"/>
          <w:lang w:eastAsia="zh-CN"/>
        </w:rPr>
        <w:t>通过</w:t>
      </w:r>
      <w:r>
        <w:rPr>
          <w:rFonts w:hint="eastAsia"/>
          <w:color w:val="auto"/>
        </w:rPr>
        <w:t>“乡创中心”</w:t>
      </w:r>
      <w:r>
        <w:rPr>
          <w:rFonts w:hint="eastAsia"/>
          <w:color w:val="auto"/>
          <w:lang w:eastAsia="zh-CN"/>
        </w:rPr>
        <w:t>项目建设，搭建一个综合性创业平台，打造农业科技全产业服务链：展示乡村产业、联动城乡发展、促进农产品全方位提升，带动创业创新及乡村文化创意产业发展，为人才交流合作、科技创新、区域经济发展、人才培养、企业创新等方面带来积极推动和助力。</w:t>
      </w:r>
    </w:p>
    <w:p>
      <w:pPr>
        <w:ind w:firstLine="640"/>
        <w:rPr>
          <w:rFonts w:hint="default" w:eastAsia="仿宋_GB2312"/>
          <w:color w:val="auto"/>
          <w:lang w:val="en-US" w:eastAsia="zh-CN"/>
        </w:rPr>
      </w:pPr>
      <w:r>
        <w:rPr>
          <w:color w:val="auto"/>
        </w:rPr>
        <w:t>乡创中心</w:t>
      </w:r>
      <w:r>
        <w:rPr>
          <w:rFonts w:hint="eastAsia"/>
          <w:color w:val="auto"/>
          <w:lang w:eastAsia="zh-CN"/>
        </w:rPr>
        <w:t>项目位于老</w:t>
      </w:r>
      <w:r>
        <w:rPr>
          <w:rFonts w:hint="eastAsia"/>
          <w:color w:val="auto"/>
          <w:lang w:val="en-US" w:eastAsia="zh-CN"/>
        </w:rPr>
        <w:t>S222东侧、沪陕高速南侧，常乐镇常青路18号，占地面积6689平方米，包括人才交流中心、创新创业载体基础设施、农业科研中心和大学生创业创新基地等多个字项目。</w:t>
      </w:r>
    </w:p>
    <w:p>
      <w:pPr>
        <w:pStyle w:val="3"/>
        <w:ind w:firstLine="640"/>
      </w:pPr>
      <w:bookmarkStart w:id="16" w:name="_Toc11573"/>
      <w:r>
        <w:rPr>
          <w:rFonts w:hint="eastAsia"/>
        </w:rPr>
        <w:t>（二）现代农业产业</w:t>
      </w:r>
      <w:bookmarkEnd w:id="16"/>
    </w:p>
    <w:p>
      <w:pPr>
        <w:ind w:firstLine="640"/>
        <w:rPr>
          <w:rFonts w:hint="eastAsia"/>
        </w:rPr>
      </w:pPr>
      <w:r>
        <w:rPr>
          <w:rFonts w:hint="eastAsia"/>
        </w:rPr>
        <w:t>现代农业以乡镇农业发展为基底，依托现有颐生酒厂、官公岛度假村、九龙岛湿地、中南村等农业发展基础优势，开展高效农业，扩大休闲农业，优化镇区经济。</w:t>
      </w:r>
    </w:p>
    <w:p>
      <w:pPr>
        <w:ind w:firstLine="640"/>
      </w:pPr>
      <w:r>
        <w:rPr>
          <w:rFonts w:hint="eastAsia"/>
        </w:rPr>
        <w:t>为地方乡村产业导入高校及科研院所的科研成果，提升本地产业的技术含量和竞争力。打造农业科技全产业服务链，建立科技与产业有机融合、专家团队与乡村振兴主体紧密对接、成果转化与生产效益直接挂钩的农业科技成果快速转化机制。</w:t>
      </w:r>
    </w:p>
    <w:p>
      <w:pPr>
        <w:ind w:firstLine="640"/>
      </w:pPr>
      <w:r>
        <w:rPr>
          <w:rFonts w:hint="eastAsia"/>
        </w:rPr>
        <w:t>同时可叠加航空、高铁需求，打造为旅行运输服务的中央厨房，做精临空现代农业，拓展物流、包装等上下游产业集群。包括智慧化农业、农产品精深加工、农业观光等产业承接临空航食加工等外溢产业。</w:t>
      </w:r>
    </w:p>
    <w:p>
      <w:pPr>
        <w:ind w:firstLine="640"/>
      </w:pPr>
      <w:r>
        <w:t>常乐镇现代</w:t>
      </w:r>
      <w:r>
        <w:rPr>
          <w:rFonts w:hint="eastAsia"/>
        </w:rPr>
        <w:t>农业</w:t>
      </w:r>
      <w:r>
        <w:t>发展重点方向</w:t>
      </w:r>
      <w:r>
        <w:rPr>
          <w:rFonts w:hint="eastAsia"/>
        </w:rPr>
        <w:t>：发挥交通区位优势，借助机场红利，区域互哺，打造服务机场的产业园区。</w:t>
      </w:r>
    </w:p>
    <w:p>
      <w:pPr>
        <w:ind w:firstLine="640"/>
      </w:pPr>
      <w:r>
        <w:t>旅行中央厨房</w:t>
      </w:r>
      <w:r>
        <w:rPr>
          <w:rFonts w:hint="eastAsia"/>
        </w:rPr>
        <w:t>：</w:t>
      </w:r>
      <w:r>
        <w:t>航食供应</w:t>
      </w:r>
      <w:r>
        <w:rPr>
          <w:rFonts w:hint="eastAsia"/>
        </w:rPr>
        <w:t>、</w:t>
      </w:r>
      <w:r>
        <w:t>航食加工</w:t>
      </w:r>
      <w:r>
        <w:rPr>
          <w:rFonts w:hint="eastAsia"/>
        </w:rPr>
        <w:t>、</w:t>
      </w:r>
      <w:r>
        <w:t>高铁食品加工</w:t>
      </w:r>
      <w:r>
        <w:rPr>
          <w:rFonts w:hint="eastAsia"/>
        </w:rPr>
        <w:t>、</w:t>
      </w:r>
      <w:r>
        <w:t>农产品初加工基地</w:t>
      </w:r>
      <w:r>
        <w:rPr>
          <w:rFonts w:hint="eastAsia"/>
        </w:rPr>
        <w:t>、</w:t>
      </w:r>
      <w:r>
        <w:t>农产品深加工基地</w:t>
      </w:r>
      <w:r>
        <w:rPr>
          <w:rFonts w:hint="eastAsia"/>
        </w:rPr>
        <w:t>。</w:t>
      </w:r>
    </w:p>
    <w:p>
      <w:pPr>
        <w:ind w:firstLine="640"/>
      </w:pPr>
      <w:r>
        <w:t>高效物流集散</w:t>
      </w:r>
      <w:r>
        <w:rPr>
          <w:rFonts w:hint="eastAsia"/>
        </w:rPr>
        <w:t>：</w:t>
      </w:r>
      <w:r>
        <w:t>生鲜果蔬集散中心</w:t>
      </w:r>
      <w:r>
        <w:rPr>
          <w:rFonts w:hint="eastAsia"/>
        </w:rPr>
        <w:t>、</w:t>
      </w:r>
      <w:r>
        <w:t>冷链物流中心</w:t>
      </w:r>
      <w:r>
        <w:rPr>
          <w:rFonts w:hint="eastAsia"/>
        </w:rPr>
        <w:t>、</w:t>
      </w:r>
      <w:r>
        <w:t>电子商务</w:t>
      </w:r>
      <w:r>
        <w:rPr>
          <w:rFonts w:hint="eastAsia"/>
        </w:rPr>
        <w:t>、</w:t>
      </w:r>
      <w:r>
        <w:t>物流仓储</w:t>
      </w:r>
      <w:r>
        <w:rPr>
          <w:rFonts w:hint="eastAsia"/>
        </w:rPr>
        <w:t>。</w:t>
      </w:r>
    </w:p>
    <w:p>
      <w:pPr>
        <w:ind w:firstLine="640"/>
      </w:pPr>
      <w:r>
        <w:t>配套产业</w:t>
      </w:r>
      <w:r>
        <w:rPr>
          <w:rFonts w:hint="eastAsia"/>
        </w:rPr>
        <w:t>：</w:t>
      </w:r>
      <w:r>
        <w:t>网红直播基地</w:t>
      </w:r>
      <w:r>
        <w:rPr>
          <w:rFonts w:hint="eastAsia"/>
        </w:rPr>
        <w:t>、</w:t>
      </w:r>
      <w:r>
        <w:t>农产品包装</w:t>
      </w:r>
      <w:r>
        <w:rPr>
          <w:rFonts w:hint="eastAsia"/>
        </w:rPr>
        <w:t>、</w:t>
      </w:r>
      <w:r>
        <w:t>农产品展销</w:t>
      </w:r>
      <w:r>
        <w:rPr>
          <w:rFonts w:hint="eastAsia"/>
        </w:rPr>
        <w:t>、</w:t>
      </w:r>
      <w:r>
        <w:t>农业金融</w:t>
      </w:r>
      <w:r>
        <w:rPr>
          <w:rFonts w:hint="eastAsia"/>
        </w:rPr>
        <w:t>、</w:t>
      </w:r>
      <w:r>
        <w:t>数据服务</w:t>
      </w:r>
      <w:r>
        <w:rPr>
          <w:rFonts w:hint="eastAsia"/>
        </w:rPr>
        <w:t>。</w:t>
      </w:r>
    </w:p>
    <w:p>
      <w:pPr>
        <w:pStyle w:val="3"/>
        <w:ind w:firstLine="640"/>
      </w:pPr>
      <w:bookmarkStart w:id="17" w:name="_Toc1546"/>
      <w:r>
        <w:rPr>
          <w:rFonts w:hint="eastAsia"/>
        </w:rPr>
        <w:t>（三）文化旅游产业</w:t>
      </w:r>
      <w:bookmarkEnd w:id="17"/>
    </w:p>
    <w:p>
      <w:pPr>
        <w:ind w:firstLine="640"/>
        <w:rPr>
          <w:rFonts w:hint="eastAsia"/>
        </w:rPr>
      </w:pPr>
      <w:r>
        <w:rPr>
          <w:rFonts w:hint="eastAsia"/>
        </w:rPr>
        <w:t>常乐镇历史文化资源丰富，依托张謇文化，立足南通、面向全省、服务全国，成为张謇企业家学院的实训基地，拓展教育培训、酒店、文创、实景演出、文化出版等配套产业，打造以张謇为核心的文化生态圈。主要包括实业爱国研学游、企业家高峰教育、乐游配套服务、红木文创四大板块。打响张謇名片，打造以张謇为核心的文化生态圈。</w:t>
      </w:r>
    </w:p>
    <w:p>
      <w:pPr>
        <w:ind w:firstLine="640"/>
      </w:pPr>
      <w:r>
        <w:t>结合国家政策导向</w:t>
      </w:r>
      <w:r>
        <w:rPr>
          <w:rFonts w:hint="eastAsia"/>
        </w:rPr>
        <w:t>、</w:t>
      </w:r>
      <w:r>
        <w:t>民营经济发展及爱国主义教育</w:t>
      </w:r>
      <w:r>
        <w:rPr>
          <w:rFonts w:hint="eastAsia"/>
        </w:rPr>
        <w:t>，</w:t>
      </w:r>
      <w:r>
        <w:t>孵化常乐镇文化生态圈</w:t>
      </w:r>
      <w:r>
        <w:rPr>
          <w:rFonts w:hint="eastAsia"/>
        </w:rPr>
        <w:t>。</w:t>
      </w:r>
    </w:p>
    <w:p>
      <w:pPr>
        <w:ind w:firstLine="640"/>
      </w:pPr>
      <w:r>
        <w:t>常乐镇文化旅游的发展方向</w:t>
      </w:r>
      <w:r>
        <w:rPr>
          <w:rFonts w:hint="eastAsia"/>
        </w:rPr>
        <w:t>：</w:t>
      </w:r>
    </w:p>
    <w:p>
      <w:pPr>
        <w:ind w:firstLine="640"/>
      </w:pPr>
      <w:r>
        <w:t>张謇爱国教育</w:t>
      </w:r>
      <w:r>
        <w:rPr>
          <w:rFonts w:hint="eastAsia"/>
        </w:rPr>
        <w:t>：干部培训中心、企业家训练营、民营企业素拓基地、近代工业数字博物馆、张謇纪念馆、张建文化研究院。</w:t>
      </w:r>
    </w:p>
    <w:p>
      <w:pPr>
        <w:ind w:firstLine="640"/>
      </w:pPr>
      <w:r>
        <w:t>张謇文旅商务</w:t>
      </w:r>
      <w:r>
        <w:rPr>
          <w:rFonts w:hint="eastAsia"/>
        </w:rPr>
        <w:t>：謇里特色小镇、商务酒店、文化出版、张謇文创产品、实业兴邦实景演出基地。</w:t>
      </w:r>
    </w:p>
    <w:p>
      <w:pPr>
        <w:ind w:firstLine="640"/>
      </w:pPr>
      <w:r>
        <w:t>张謇配套服务</w:t>
      </w:r>
      <w:r>
        <w:rPr>
          <w:rFonts w:hint="eastAsia"/>
        </w:rPr>
        <w:t>：度假酒店、民宿客栈、没事街区、文创集市、艺术家工作室。</w:t>
      </w:r>
    </w:p>
    <w:p>
      <w:pPr>
        <w:pStyle w:val="3"/>
        <w:ind w:firstLine="640"/>
      </w:pPr>
      <w:bookmarkStart w:id="18" w:name="_Toc14961"/>
      <w:r>
        <w:rPr>
          <w:rFonts w:hint="eastAsia"/>
        </w:rPr>
        <w:t>（四）</w:t>
      </w:r>
      <w:r>
        <w:rPr>
          <w:rFonts w:hint="eastAsia"/>
          <w:lang w:eastAsia="zh-CN"/>
        </w:rPr>
        <w:t>商贸</w:t>
      </w:r>
      <w:r>
        <w:rPr>
          <w:rFonts w:hint="eastAsia"/>
        </w:rPr>
        <w:t>服务产业</w:t>
      </w:r>
      <w:bookmarkEnd w:id="18"/>
    </w:p>
    <w:p>
      <w:pPr>
        <w:ind w:firstLine="640"/>
        <w:rPr>
          <w:rFonts w:hint="eastAsia" w:eastAsia="仿宋_GB2312"/>
          <w:lang w:eastAsia="zh-CN"/>
        </w:rPr>
      </w:pPr>
      <w:r>
        <w:rPr>
          <w:rFonts w:hint="eastAsia"/>
        </w:rPr>
        <w:t>商业服务业的发展直接体现了我国城市现代化的水平，是推动经济发展方式转变的强大引擎。常乐镇的商贸服务业</w:t>
      </w:r>
      <w:r>
        <w:rPr>
          <w:rFonts w:hint="eastAsia"/>
          <w:lang w:eastAsia="zh-CN"/>
        </w:rPr>
        <w:t>主要</w:t>
      </w:r>
      <w:r>
        <w:rPr>
          <w:rFonts w:hint="eastAsia"/>
        </w:rPr>
        <w:t>集中在</w:t>
      </w:r>
      <w:r>
        <w:rPr>
          <w:rFonts w:hint="eastAsia"/>
          <w:lang w:eastAsia="zh-CN"/>
        </w:rPr>
        <w:t>镇区</w:t>
      </w:r>
      <w:r>
        <w:rPr>
          <w:rFonts w:hint="eastAsia"/>
        </w:rPr>
        <w:t>，至2035年</w:t>
      </w:r>
      <w:r>
        <w:rPr>
          <w:rFonts w:hint="eastAsia"/>
          <w:lang w:eastAsia="zh-CN"/>
        </w:rPr>
        <w:t>，</w:t>
      </w:r>
      <w:r>
        <w:rPr>
          <w:rFonts w:hint="eastAsia"/>
          <w:lang w:val="en-US" w:eastAsia="zh-CN"/>
        </w:rPr>
        <w:t>常乐镇</w:t>
      </w:r>
      <w:r>
        <w:rPr>
          <w:rFonts w:hint="eastAsia"/>
        </w:rPr>
        <w:t>商业服务业用地约27.53公顷</w:t>
      </w:r>
      <w:r>
        <w:rPr>
          <w:rFonts w:hint="eastAsia"/>
          <w:lang w:eastAsia="zh-CN"/>
        </w:rPr>
        <w:t>，常乐镇的商贸服务业主要包括镇区的批发零售业、餐饮业、住宿业及旅游服务业、咨询信息服务业等，根据常乐镇的社会经济发展，在镇域合理布局上述产业。</w:t>
      </w:r>
    </w:p>
    <w:p>
      <w:pPr>
        <w:ind w:firstLine="640"/>
        <w:rPr>
          <w:rFonts w:hint="eastAsia"/>
        </w:rPr>
      </w:pPr>
      <w:r>
        <w:rPr>
          <w:rFonts w:hint="eastAsia"/>
        </w:rPr>
        <w:t>随着经济社会的快速发展，道路交通环境的日益改善，人民生活水平的不断提高，机动车（特别是私家车）数量仍将持续稳步增长。</w:t>
      </w:r>
      <w:r>
        <w:t>拟在常乐镇</w:t>
      </w:r>
      <w:r>
        <w:rPr>
          <w:rFonts w:hint="eastAsia"/>
        </w:rPr>
        <w:t>S</w:t>
      </w:r>
      <w:r>
        <w:t>336绕城公路南侧地块规划建设一座加油站</w:t>
      </w:r>
      <w:r>
        <w:rPr>
          <w:rFonts w:hint="eastAsia"/>
        </w:rPr>
        <w:t>，</w:t>
      </w:r>
      <w:r>
        <w:t>占地</w:t>
      </w:r>
      <w:r>
        <w:rPr>
          <w:rFonts w:hint="eastAsia"/>
        </w:rPr>
        <w:t>0</w:t>
      </w:r>
      <w:r>
        <w:t>.26公顷</w:t>
      </w:r>
      <w:r>
        <w:rPr>
          <w:rFonts w:hint="eastAsia"/>
        </w:rPr>
        <w:t>，</w:t>
      </w:r>
      <w:r>
        <w:t>现拟将出入口设置在S336绕城公路南侧</w:t>
      </w:r>
      <w:r>
        <w:rPr>
          <w:rFonts w:hint="eastAsia"/>
        </w:rPr>
        <w:t>，</w:t>
      </w:r>
      <w:r>
        <w:t>左进右出</w:t>
      </w:r>
      <w:r>
        <w:rPr>
          <w:rFonts w:hint="eastAsia"/>
        </w:rPr>
        <w:t>。</w:t>
      </w:r>
    </w:p>
    <w:p>
      <w:pPr>
        <w:ind w:firstLine="643"/>
        <w:jc w:val="center"/>
        <w:rPr>
          <w:highlight w:val="none"/>
        </w:rPr>
      </w:pPr>
      <w:r>
        <w:rPr>
          <w:highlight w:val="none"/>
        </w:rPr>
        <w:drawing>
          <wp:anchor distT="0" distB="0" distL="114300" distR="114300" simplePos="0" relativeHeight="251662336" behindDoc="1" locked="0" layoutInCell="1" allowOverlap="1">
            <wp:simplePos x="0" y="0"/>
            <wp:positionH relativeFrom="column">
              <wp:posOffset>10160</wp:posOffset>
            </wp:positionH>
            <wp:positionV relativeFrom="paragraph">
              <wp:posOffset>93980</wp:posOffset>
            </wp:positionV>
            <wp:extent cx="5274310" cy="2783205"/>
            <wp:effectExtent l="0" t="0" r="2540" b="17145"/>
            <wp:wrapTopAndBottom/>
            <wp:docPr id="3" name="图片 3" descr="C:\Users\boy\Desktop\图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boy\Desktop\图片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783205"/>
                    </a:xfrm>
                    <a:prstGeom prst="rect">
                      <a:avLst/>
                    </a:prstGeom>
                    <a:noFill/>
                    <a:ln>
                      <a:noFill/>
                    </a:ln>
                  </pic:spPr>
                </pic:pic>
              </a:graphicData>
            </a:graphic>
          </wp:anchor>
        </w:drawing>
      </w:r>
      <w:r>
        <w:rPr>
          <w:rFonts w:hint="eastAsia"/>
          <w:b/>
          <w:bCs/>
          <w:highlight w:val="none"/>
        </w:rPr>
        <w:t>图2-</w:t>
      </w:r>
      <w:r>
        <w:rPr>
          <w:rFonts w:hint="eastAsia"/>
          <w:b/>
          <w:bCs/>
          <w:highlight w:val="none"/>
          <w:lang w:val="en-US" w:eastAsia="zh-CN"/>
        </w:rPr>
        <w:t>5</w:t>
      </w:r>
      <w:r>
        <w:rPr>
          <w:b/>
          <w:bCs/>
          <w:highlight w:val="none"/>
        </w:rPr>
        <w:t xml:space="preserve">  常乐镇</w:t>
      </w:r>
      <w:r>
        <w:rPr>
          <w:rFonts w:hint="eastAsia"/>
          <w:b/>
          <w:bCs/>
          <w:highlight w:val="none"/>
        </w:rPr>
        <w:t>产业分布图</w:t>
      </w:r>
    </w:p>
    <w:p>
      <w:pPr>
        <w:pStyle w:val="2"/>
        <w:ind w:firstLine="640"/>
      </w:pPr>
      <w:bookmarkStart w:id="19" w:name="_Toc28857"/>
      <w:r>
        <w:rPr>
          <w:rFonts w:hint="eastAsia"/>
        </w:rPr>
        <w:t>六、重点任务</w:t>
      </w:r>
      <w:bookmarkEnd w:id="19"/>
    </w:p>
    <w:p>
      <w:pPr>
        <w:pStyle w:val="3"/>
        <w:ind w:firstLine="640"/>
      </w:pPr>
      <w:bookmarkStart w:id="20" w:name="_Toc25306"/>
      <w:r>
        <w:rPr>
          <w:rFonts w:hint="eastAsia"/>
        </w:rPr>
        <w:t>（一）加强项目引育</w:t>
      </w:r>
      <w:bookmarkEnd w:id="20"/>
    </w:p>
    <w:p>
      <w:pPr>
        <w:ind w:firstLine="640"/>
      </w:pPr>
      <w:r>
        <w:rPr>
          <w:rFonts w:hint="eastAsia"/>
        </w:rPr>
        <w:t>聚焦</w:t>
      </w:r>
      <w:bookmarkStart w:id="21" w:name="_Hlk70432439"/>
      <w:r>
        <w:rPr>
          <w:rFonts w:hint="eastAsia"/>
        </w:rPr>
        <w:t>文化旅游、现代农业和高端制造</w:t>
      </w:r>
      <w:bookmarkEnd w:id="21"/>
      <w:r>
        <w:rPr>
          <w:rFonts w:hint="eastAsia"/>
        </w:rPr>
        <w:t>三大主导产业定位，大力招引兼具影响力和带动力的重（特）大项目，切实做强做优领军型企业，更大力度培育一批高新技术企业和隐形冠军企业。</w:t>
      </w:r>
    </w:p>
    <w:p>
      <w:pPr>
        <w:pStyle w:val="3"/>
        <w:ind w:firstLine="640"/>
      </w:pPr>
      <w:bookmarkStart w:id="22" w:name="_Toc24379"/>
      <w:r>
        <w:rPr>
          <w:rFonts w:hint="eastAsia"/>
        </w:rPr>
        <w:t>（二）完善配套产业</w:t>
      </w:r>
      <w:bookmarkEnd w:id="22"/>
    </w:p>
    <w:p>
      <w:pPr>
        <w:ind w:firstLine="640"/>
      </w:pPr>
      <w:r>
        <w:rPr>
          <w:rFonts w:hint="eastAsia"/>
        </w:rPr>
        <w:t>重点推动物流与供应链服务、文旅服务、农产品加工和航食服务等产业在“十四五”期间实现跨越式发展</w:t>
      </w:r>
      <w:r>
        <w:rPr>
          <w:rFonts w:hint="eastAsia"/>
          <w:lang w:eastAsia="zh-CN"/>
        </w:rPr>
        <w:t>，重点完善常乐镇的商贸服务业，包括为产业和居民服务的商贸、宾馆、餐饮、加油站等</w:t>
      </w:r>
      <w:r>
        <w:rPr>
          <w:rFonts w:hint="eastAsia"/>
        </w:rPr>
        <w:t>。</w:t>
      </w:r>
    </w:p>
    <w:p>
      <w:pPr>
        <w:pStyle w:val="3"/>
        <w:ind w:firstLine="640"/>
      </w:pPr>
      <w:bookmarkStart w:id="23" w:name="_Toc31926"/>
      <w:r>
        <w:rPr>
          <w:rFonts w:hint="eastAsia"/>
        </w:rPr>
        <w:t>（三）强化产业支撑</w:t>
      </w:r>
      <w:bookmarkEnd w:id="23"/>
    </w:p>
    <w:p>
      <w:pPr>
        <w:ind w:firstLine="640"/>
      </w:pPr>
      <w:r>
        <w:rPr>
          <w:rFonts w:hint="eastAsia"/>
        </w:rPr>
        <w:t>秉持城乡融合发展思路，以提升硬实力、优化软环境为宗旨，有序推进基础设施建设，着力将常乐镇打造成为生态环境最优美、产业特色最鲜明、创新活力最强劲、生活配套最完善的特色小城镇。</w:t>
      </w:r>
    </w:p>
    <w:p>
      <w:pPr>
        <w:pStyle w:val="3"/>
        <w:ind w:firstLine="640"/>
      </w:pPr>
      <w:bookmarkStart w:id="24" w:name="_Toc2972"/>
      <w:r>
        <w:rPr>
          <w:rFonts w:hint="eastAsia"/>
        </w:rPr>
        <w:t>（四）建设重大平台</w:t>
      </w:r>
      <w:bookmarkEnd w:id="24"/>
    </w:p>
    <w:p>
      <w:pPr>
        <w:ind w:firstLine="640"/>
      </w:pPr>
      <w:r>
        <w:rPr>
          <w:rFonts w:hint="eastAsia"/>
        </w:rPr>
        <w:t>以打造长三角</w:t>
      </w:r>
      <w:r>
        <w:rPr>
          <w:rFonts w:hint="eastAsia"/>
          <w:lang w:eastAsia="zh-CN"/>
        </w:rPr>
        <w:t>特色</w:t>
      </w:r>
      <w:r>
        <w:rPr>
          <w:rFonts w:hint="eastAsia"/>
        </w:rPr>
        <w:t>的高端制造产业园为主题，主动对接中小型企业发展需求，充分整合企业和市场资源，进一步完善常乐镇功能载体平台体系，加快推动现有</w:t>
      </w:r>
      <w:r>
        <w:rPr>
          <w:rFonts w:hint="eastAsia"/>
          <w:lang w:eastAsia="zh-CN"/>
        </w:rPr>
        <w:t>常乐产业</w:t>
      </w:r>
      <w:r>
        <w:rPr>
          <w:rFonts w:hint="eastAsia"/>
        </w:rPr>
        <w:t>园区由要素驱动型向创新驱动型转变</w:t>
      </w:r>
      <w:r>
        <w:rPr>
          <w:rFonts w:hint="eastAsia"/>
          <w:lang w:eastAsia="zh-CN"/>
        </w:rPr>
        <w:t>，建设</w:t>
      </w:r>
      <w:r>
        <w:rPr>
          <w:rFonts w:hint="eastAsia" w:ascii="仿宋_GB2312" w:hAnsi="Times New Roman" w:eastAsia="仿宋_GB2312"/>
          <w:color w:val="000000"/>
          <w:spacing w:val="0"/>
          <w:sz w:val="32"/>
          <w:szCs w:val="32"/>
        </w:rPr>
        <w:t>“乡创+科创+文创”等载体平台</w:t>
      </w:r>
      <w:r>
        <w:rPr>
          <w:rFonts w:hint="eastAsia"/>
        </w:rPr>
        <w:t>。</w:t>
      </w:r>
    </w:p>
    <w:p>
      <w:pPr>
        <w:pStyle w:val="3"/>
        <w:ind w:firstLine="640"/>
      </w:pPr>
      <w:bookmarkStart w:id="25" w:name="_Toc2905"/>
      <w:r>
        <w:rPr>
          <w:rFonts w:hint="eastAsia"/>
        </w:rPr>
        <w:t>（五）创新招商模式</w:t>
      </w:r>
      <w:bookmarkEnd w:id="25"/>
    </w:p>
    <w:p>
      <w:pPr>
        <w:ind w:firstLine="640"/>
      </w:pPr>
      <w:r>
        <w:rPr>
          <w:rFonts w:hint="eastAsia"/>
        </w:rPr>
        <w:t>立足常乐镇的产业特色，深挖自身区位优势，通过产业生态招商、资本招商以及平台招商等新模式，着力推进招商项目建设实现新突破。同时，不断提升项目服务水平，充分放大“服务即招商”效应，进一步筑牢常乐镇产业发展“生命线”。</w:t>
      </w:r>
    </w:p>
    <w:p>
      <w:pPr>
        <w:pStyle w:val="3"/>
        <w:ind w:firstLine="640"/>
      </w:pPr>
      <w:bookmarkStart w:id="26" w:name="_Toc8069"/>
      <w:r>
        <w:rPr>
          <w:rFonts w:hint="eastAsia"/>
        </w:rPr>
        <w:t>（六）集聚关键人才</w:t>
      </w:r>
      <w:bookmarkEnd w:id="26"/>
    </w:p>
    <w:p>
      <w:pPr>
        <w:ind w:firstLine="640"/>
      </w:pPr>
      <w:r>
        <w:rPr>
          <w:rFonts w:hint="eastAsia"/>
        </w:rPr>
        <w:t>在当今快速发展的社会背景下，创新和人才成为推动国家和地区繁荣的核心要素。面对这一时代需求，常乐镇计划打造一个乡村综合创新创业中心，涵盖人才交流中心、创新创业载体基础设施、农业科研中心以及大学生创业创新基地。本项目的目标在于构建一个协同发展的平台，为各类人才提供展示、交流和合作的机会，助力区域创新发展。</w:t>
      </w:r>
    </w:p>
    <w:p>
      <w:pPr>
        <w:pStyle w:val="3"/>
        <w:ind w:firstLine="640"/>
      </w:pPr>
      <w:bookmarkStart w:id="27" w:name="_Toc7876"/>
      <w:r>
        <w:rPr>
          <w:rFonts w:hint="eastAsia"/>
        </w:rPr>
        <w:t>（七）优化营商环境</w:t>
      </w:r>
      <w:bookmarkEnd w:id="27"/>
    </w:p>
    <w:p>
      <w:pPr>
        <w:ind w:firstLine="640"/>
      </w:pPr>
      <w:r>
        <w:rPr>
          <w:rFonts w:hint="eastAsia"/>
        </w:rPr>
        <w:t>全面建立亲清新型政商关系，建立定期联系民营企业制度，多渠道宣传各级惠企政策。建立规上企业“一企一档”机制，分类指导、按企施策，着力解决企业生产经营中的困难问题。贯彻落实国家减税降费优惠政策，积极实施小微企业、科技型初创企业普惠性税收免除。充分发挥产业基金对企业培植的引导作用，加强对技术创新、产品升级和设备迭代等领域投资支持。</w:t>
      </w:r>
    </w:p>
    <w:p>
      <w:pPr>
        <w:ind w:firstLine="640"/>
      </w:pPr>
    </w:p>
    <w:p>
      <w:pPr>
        <w:pStyle w:val="2"/>
        <w:ind w:firstLine="640"/>
      </w:pPr>
      <w:bookmarkStart w:id="28" w:name="_Toc19441"/>
      <w:r>
        <w:rPr>
          <w:rFonts w:hint="eastAsia"/>
        </w:rPr>
        <w:t>七、保障措施</w:t>
      </w:r>
      <w:bookmarkEnd w:id="28"/>
    </w:p>
    <w:p>
      <w:pPr>
        <w:pStyle w:val="3"/>
        <w:ind w:firstLine="640"/>
      </w:pPr>
      <w:bookmarkStart w:id="29" w:name="_Toc26906"/>
      <w:r>
        <w:rPr>
          <w:rFonts w:hint="eastAsia"/>
        </w:rPr>
        <w:t>（一）完善工作机制</w:t>
      </w:r>
      <w:bookmarkEnd w:id="29"/>
    </w:p>
    <w:p>
      <w:pPr>
        <w:ind w:firstLine="640"/>
      </w:pPr>
      <w:r>
        <w:rPr>
          <w:rFonts w:hint="eastAsia"/>
        </w:rPr>
        <w:t>由</w:t>
      </w:r>
      <w:r>
        <w:rPr>
          <w:rFonts w:hint="eastAsia"/>
          <w:lang w:eastAsia="zh-CN"/>
        </w:rPr>
        <w:t>常乐镇委镇政府牵头</w:t>
      </w:r>
      <w:r>
        <w:rPr>
          <w:rFonts w:hint="eastAsia"/>
        </w:rPr>
        <w:t>，</w:t>
      </w:r>
      <w:r>
        <w:rPr>
          <w:rFonts w:hint="eastAsia"/>
          <w:lang w:eastAsia="zh-CN"/>
        </w:rPr>
        <w:t>对接产业项目和空间布局</w:t>
      </w:r>
      <w:r>
        <w:rPr>
          <w:rFonts w:hint="eastAsia"/>
        </w:rPr>
        <w:t>。研究制定产业发展的年度计划；定期听取各主导产业负责部门工作开展情况汇报，协调解决产业发展的重大问题；明确主体责任和目标，指导督促产业常乐镇的建设工作。</w:t>
      </w:r>
    </w:p>
    <w:p>
      <w:pPr>
        <w:pStyle w:val="3"/>
        <w:ind w:firstLine="640"/>
      </w:pPr>
      <w:bookmarkStart w:id="30" w:name="_Toc29504"/>
      <w:r>
        <w:rPr>
          <w:rFonts w:hint="eastAsia"/>
        </w:rPr>
        <w:t>（二）强化资金保障</w:t>
      </w:r>
      <w:bookmarkEnd w:id="30"/>
    </w:p>
    <w:p>
      <w:pPr>
        <w:ind w:firstLine="640"/>
      </w:pPr>
      <w:r>
        <w:rPr>
          <w:rFonts w:hint="eastAsia"/>
        </w:rPr>
        <w:t>积极发挥海门区</w:t>
      </w:r>
      <w:r>
        <w:rPr>
          <w:rFonts w:hint="eastAsia"/>
          <w:lang w:eastAsia="zh-CN"/>
        </w:rPr>
        <w:t>及</w:t>
      </w:r>
      <w:r>
        <w:rPr>
          <w:rFonts w:hint="eastAsia"/>
        </w:rPr>
        <w:t>常乐镇财政牵引、调控和带动作用，重点支持常乐镇快速转型。坚持以投促融，逐年扩大对常乐镇产业发展提供支持的财政预算，鼓励和引导社会资本投资常乐镇，进一步提高产业基金数量与规模，</w:t>
      </w:r>
      <w:r>
        <w:rPr>
          <w:rFonts w:hint="eastAsia"/>
          <w:lang w:eastAsia="zh-CN"/>
        </w:rPr>
        <w:t>协助</w:t>
      </w:r>
      <w:r>
        <w:rPr>
          <w:rFonts w:hint="eastAsia"/>
        </w:rPr>
        <w:t>企业与金融机构的对接工作，最大限度解决产业项目和企业发展资金需求。</w:t>
      </w:r>
    </w:p>
    <w:p>
      <w:pPr>
        <w:pStyle w:val="3"/>
        <w:ind w:firstLine="640"/>
      </w:pPr>
      <w:bookmarkStart w:id="31" w:name="_Toc224"/>
      <w:r>
        <w:rPr>
          <w:rFonts w:hint="eastAsia"/>
        </w:rPr>
        <w:t>（三）节约利用土地</w:t>
      </w:r>
      <w:bookmarkEnd w:id="31"/>
    </w:p>
    <w:p>
      <w:pPr>
        <w:ind w:firstLine="640"/>
      </w:pPr>
      <w:r>
        <w:rPr>
          <w:rFonts w:hint="eastAsia"/>
        </w:rPr>
        <w:t>依据常乐镇国土空间规划，强化节约集约用地，全力保障产业发展用地，优先安排高端制造、文化旅游、科技研发、现代农业项目用地供应</w:t>
      </w:r>
      <w:r>
        <w:rPr>
          <w:rFonts w:hint="eastAsia"/>
          <w:lang w:eastAsia="zh-CN"/>
        </w:rPr>
        <w:t>。</w:t>
      </w:r>
      <w:r>
        <w:rPr>
          <w:rFonts w:hint="eastAsia"/>
        </w:rPr>
        <w:t>支持工业企业利用存量房产发展新业态、创新商业模式，重点加快传统</w:t>
      </w:r>
      <w:r>
        <w:rPr>
          <w:rFonts w:hint="eastAsia"/>
          <w:lang w:val="en-US" w:eastAsia="zh-CN"/>
        </w:rPr>
        <w:t>工业</w:t>
      </w:r>
      <w:r>
        <w:rPr>
          <w:rFonts w:hint="eastAsia"/>
        </w:rPr>
        <w:t>企业向</w:t>
      </w:r>
      <w:r>
        <w:rPr>
          <w:rFonts w:hint="eastAsia"/>
          <w:lang w:val="en-US" w:eastAsia="zh-CN"/>
        </w:rPr>
        <w:t>现代服务业</w:t>
      </w:r>
      <w:r>
        <w:rPr>
          <w:rFonts w:hint="eastAsia"/>
        </w:rPr>
        <w:t>的转型升级步伐。</w:t>
      </w:r>
    </w:p>
    <w:p>
      <w:pPr>
        <w:pStyle w:val="3"/>
        <w:ind w:firstLine="640"/>
      </w:pPr>
      <w:bookmarkStart w:id="32" w:name="_Toc8443"/>
      <w:r>
        <w:rPr>
          <w:rFonts w:hint="eastAsia"/>
        </w:rPr>
        <w:t>（四）加强绩效考核</w:t>
      </w:r>
      <w:bookmarkEnd w:id="32"/>
    </w:p>
    <w:p>
      <w:pPr>
        <w:ind w:firstLine="640"/>
      </w:pPr>
      <w:r>
        <w:rPr>
          <w:rFonts w:hint="eastAsia"/>
        </w:rPr>
        <w:t>成立常乐镇产业项目建设和服务绩效</w:t>
      </w:r>
      <w:r>
        <w:rPr>
          <w:rFonts w:hint="eastAsia"/>
          <w:lang w:val="en-US" w:eastAsia="zh-CN"/>
        </w:rPr>
        <w:t>考核</w:t>
      </w:r>
      <w:r>
        <w:rPr>
          <w:rFonts w:hint="eastAsia"/>
        </w:rPr>
        <w:t>小组，围绕项目建设前期评估、项目实施中期管理、项目建成后期服务，明确绩效</w:t>
      </w:r>
      <w:r>
        <w:rPr>
          <w:rFonts w:hint="eastAsia"/>
          <w:lang w:val="en-US" w:eastAsia="zh-CN"/>
        </w:rPr>
        <w:t>考核</w:t>
      </w:r>
      <w:r>
        <w:rPr>
          <w:rFonts w:hint="eastAsia"/>
        </w:rPr>
        <w:t>的范围</w:t>
      </w:r>
      <w:r>
        <w:rPr>
          <w:rFonts w:hint="eastAsia"/>
          <w:lang w:eastAsia="zh-CN"/>
        </w:rPr>
        <w:t>，</w:t>
      </w:r>
      <w:r>
        <w:rPr>
          <w:rFonts w:hint="eastAsia"/>
        </w:rPr>
        <w:t>主动将</w:t>
      </w:r>
      <w:r>
        <w:rPr>
          <w:rFonts w:hint="eastAsia"/>
          <w:lang w:val="en-US" w:eastAsia="zh-CN"/>
        </w:rPr>
        <w:t>考核</w:t>
      </w:r>
      <w:r>
        <w:rPr>
          <w:rFonts w:hint="eastAsia"/>
        </w:rPr>
        <w:t>工作与</w:t>
      </w:r>
      <w:r>
        <w:rPr>
          <w:rFonts w:hint="eastAsia"/>
          <w:lang w:val="en-US" w:eastAsia="zh-CN"/>
        </w:rPr>
        <w:t>项目</w:t>
      </w:r>
      <w:r>
        <w:rPr>
          <w:rFonts w:hint="eastAsia"/>
        </w:rPr>
        <w:t>验收、督查相结合，</w:t>
      </w:r>
      <w:r>
        <w:rPr>
          <w:rFonts w:hint="eastAsia"/>
          <w:lang w:eastAsia="zh-CN"/>
        </w:rPr>
        <w:t>确保</w:t>
      </w:r>
      <w:r>
        <w:rPr>
          <w:rFonts w:hint="eastAsia"/>
        </w:rPr>
        <w:t>年度产业项目建设周期</w:t>
      </w:r>
      <w:r>
        <w:rPr>
          <w:rFonts w:hint="eastAsia"/>
          <w:lang w:eastAsia="zh-CN"/>
        </w:rPr>
        <w:t>。</w:t>
      </w:r>
    </w:p>
    <w:sectPr>
      <w:footerReference r:id="rId11"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auto"/>
    <w:pitch w:val="default"/>
    <w:sig w:usb0="00000000" w:usb1="00000000" w:usb2="00082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方正粗圆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0" w:firstLineChars="0"/>
      <w:jc w:val="center"/>
      <w:rPr>
        <w:sz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3827422"/>
      <w:docPartObj>
        <w:docPartGallery w:val="autotext"/>
      </w:docPartObj>
    </w:sdtPr>
    <w:sdtEndPr>
      <w:rPr>
        <w:sz w:val="32"/>
      </w:rPr>
    </w:sdtEndPr>
    <w:sdtContent>
      <w:p>
        <w:pPr>
          <w:pStyle w:val="5"/>
          <w:ind w:firstLine="0" w:firstLineChars="0"/>
          <w:jc w:val="center"/>
          <w:rPr>
            <w:sz w:val="32"/>
          </w:rPr>
        </w:pPr>
        <w:r>
          <w:rPr>
            <w:sz w:val="32"/>
          </w:rPr>
          <w:fldChar w:fldCharType="begin"/>
        </w:r>
        <w:r>
          <w:rPr>
            <w:sz w:val="32"/>
          </w:rPr>
          <w:instrText xml:space="preserve">PAGE   \* MERGEFORMAT</w:instrText>
        </w:r>
        <w:r>
          <w:rPr>
            <w:sz w:val="32"/>
          </w:rPr>
          <w:fldChar w:fldCharType="separate"/>
        </w:r>
        <w:r>
          <w:rPr>
            <w:sz w:val="32"/>
            <w:lang w:val="zh-CN"/>
          </w:rPr>
          <w:t>19</w:t>
        </w:r>
        <w:r>
          <w:rPr>
            <w:sz w:val="3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zMTAwMzk1NGE0ZDhmZjA3NWNkMzk1MWI5YThlODkifQ=="/>
  </w:docVars>
  <w:rsids>
    <w:rsidRoot w:val="00D90286"/>
    <w:rsid w:val="0000029C"/>
    <w:rsid w:val="00000AC7"/>
    <w:rsid w:val="000011D0"/>
    <w:rsid w:val="0000259F"/>
    <w:rsid w:val="000029A7"/>
    <w:rsid w:val="0000384B"/>
    <w:rsid w:val="00004FBD"/>
    <w:rsid w:val="00006736"/>
    <w:rsid w:val="00007A4B"/>
    <w:rsid w:val="0001025E"/>
    <w:rsid w:val="00010DE5"/>
    <w:rsid w:val="00011414"/>
    <w:rsid w:val="00011442"/>
    <w:rsid w:val="000117BB"/>
    <w:rsid w:val="00011DB8"/>
    <w:rsid w:val="00012938"/>
    <w:rsid w:val="00014803"/>
    <w:rsid w:val="00015F8B"/>
    <w:rsid w:val="00016240"/>
    <w:rsid w:val="00020EA7"/>
    <w:rsid w:val="00020F85"/>
    <w:rsid w:val="00020FD8"/>
    <w:rsid w:val="000210EF"/>
    <w:rsid w:val="00021155"/>
    <w:rsid w:val="0002186A"/>
    <w:rsid w:val="0002285C"/>
    <w:rsid w:val="0002450A"/>
    <w:rsid w:val="00025458"/>
    <w:rsid w:val="000264F3"/>
    <w:rsid w:val="000268A2"/>
    <w:rsid w:val="00027734"/>
    <w:rsid w:val="00027F01"/>
    <w:rsid w:val="000306A2"/>
    <w:rsid w:val="000318E1"/>
    <w:rsid w:val="00031997"/>
    <w:rsid w:val="00031CAD"/>
    <w:rsid w:val="0003218C"/>
    <w:rsid w:val="00034700"/>
    <w:rsid w:val="00035120"/>
    <w:rsid w:val="00037D54"/>
    <w:rsid w:val="00037EC9"/>
    <w:rsid w:val="000408D2"/>
    <w:rsid w:val="00042EE4"/>
    <w:rsid w:val="000444CC"/>
    <w:rsid w:val="00045351"/>
    <w:rsid w:val="000456A3"/>
    <w:rsid w:val="00046283"/>
    <w:rsid w:val="00047473"/>
    <w:rsid w:val="000504D0"/>
    <w:rsid w:val="00050542"/>
    <w:rsid w:val="00050B24"/>
    <w:rsid w:val="00052EB3"/>
    <w:rsid w:val="0005346B"/>
    <w:rsid w:val="000553F0"/>
    <w:rsid w:val="00055E8C"/>
    <w:rsid w:val="000608CE"/>
    <w:rsid w:val="00060A9B"/>
    <w:rsid w:val="00061711"/>
    <w:rsid w:val="00061B15"/>
    <w:rsid w:val="00063D4D"/>
    <w:rsid w:val="000647C4"/>
    <w:rsid w:val="00065187"/>
    <w:rsid w:val="000653A3"/>
    <w:rsid w:val="00065B1D"/>
    <w:rsid w:val="000667E0"/>
    <w:rsid w:val="000673F1"/>
    <w:rsid w:val="0007008C"/>
    <w:rsid w:val="000713B0"/>
    <w:rsid w:val="00071CAD"/>
    <w:rsid w:val="00071FBE"/>
    <w:rsid w:val="000726D9"/>
    <w:rsid w:val="00072744"/>
    <w:rsid w:val="000740A3"/>
    <w:rsid w:val="0007417D"/>
    <w:rsid w:val="000747BF"/>
    <w:rsid w:val="0007502D"/>
    <w:rsid w:val="000755CC"/>
    <w:rsid w:val="00085150"/>
    <w:rsid w:val="00086C9E"/>
    <w:rsid w:val="00086D1C"/>
    <w:rsid w:val="0008729E"/>
    <w:rsid w:val="00087527"/>
    <w:rsid w:val="00090CD9"/>
    <w:rsid w:val="000910B1"/>
    <w:rsid w:val="00091256"/>
    <w:rsid w:val="000929AB"/>
    <w:rsid w:val="00092AF0"/>
    <w:rsid w:val="000952B4"/>
    <w:rsid w:val="00095B67"/>
    <w:rsid w:val="00096BCC"/>
    <w:rsid w:val="000974F0"/>
    <w:rsid w:val="000978AA"/>
    <w:rsid w:val="000A0452"/>
    <w:rsid w:val="000A12FD"/>
    <w:rsid w:val="000A2D25"/>
    <w:rsid w:val="000A400C"/>
    <w:rsid w:val="000B02ED"/>
    <w:rsid w:val="000B379E"/>
    <w:rsid w:val="000B3EEB"/>
    <w:rsid w:val="000B75CA"/>
    <w:rsid w:val="000B7A95"/>
    <w:rsid w:val="000C017B"/>
    <w:rsid w:val="000C2DA8"/>
    <w:rsid w:val="000C3310"/>
    <w:rsid w:val="000C5143"/>
    <w:rsid w:val="000C6469"/>
    <w:rsid w:val="000C6BF8"/>
    <w:rsid w:val="000D1FA9"/>
    <w:rsid w:val="000D5F9B"/>
    <w:rsid w:val="000D6113"/>
    <w:rsid w:val="000D6269"/>
    <w:rsid w:val="000E0771"/>
    <w:rsid w:val="000E2A2B"/>
    <w:rsid w:val="000E3367"/>
    <w:rsid w:val="000E49A1"/>
    <w:rsid w:val="000E63BB"/>
    <w:rsid w:val="000F18FA"/>
    <w:rsid w:val="000F25F2"/>
    <w:rsid w:val="000F327B"/>
    <w:rsid w:val="000F379D"/>
    <w:rsid w:val="000F39AC"/>
    <w:rsid w:val="000F39D3"/>
    <w:rsid w:val="000F3BBB"/>
    <w:rsid w:val="000F429C"/>
    <w:rsid w:val="000F445D"/>
    <w:rsid w:val="000F4BA2"/>
    <w:rsid w:val="000F59AA"/>
    <w:rsid w:val="000F7B14"/>
    <w:rsid w:val="00100A60"/>
    <w:rsid w:val="001019A6"/>
    <w:rsid w:val="00102AD5"/>
    <w:rsid w:val="0010469C"/>
    <w:rsid w:val="001048AF"/>
    <w:rsid w:val="00104A82"/>
    <w:rsid w:val="00106E72"/>
    <w:rsid w:val="0010764B"/>
    <w:rsid w:val="00110054"/>
    <w:rsid w:val="0011169C"/>
    <w:rsid w:val="001125AB"/>
    <w:rsid w:val="00112F7A"/>
    <w:rsid w:val="0012068B"/>
    <w:rsid w:val="00120F44"/>
    <w:rsid w:val="00121DB2"/>
    <w:rsid w:val="00122174"/>
    <w:rsid w:val="00122F12"/>
    <w:rsid w:val="001255F4"/>
    <w:rsid w:val="00125BE0"/>
    <w:rsid w:val="001261CF"/>
    <w:rsid w:val="001268C8"/>
    <w:rsid w:val="001310DD"/>
    <w:rsid w:val="00132B11"/>
    <w:rsid w:val="00133F78"/>
    <w:rsid w:val="00133FE6"/>
    <w:rsid w:val="0013448B"/>
    <w:rsid w:val="00135AB2"/>
    <w:rsid w:val="0013644C"/>
    <w:rsid w:val="00136E2B"/>
    <w:rsid w:val="00136E48"/>
    <w:rsid w:val="00140C40"/>
    <w:rsid w:val="001413E7"/>
    <w:rsid w:val="00141C4A"/>
    <w:rsid w:val="00143941"/>
    <w:rsid w:val="00146A33"/>
    <w:rsid w:val="00146EC9"/>
    <w:rsid w:val="00147B97"/>
    <w:rsid w:val="0015045F"/>
    <w:rsid w:val="00150A56"/>
    <w:rsid w:val="001524A8"/>
    <w:rsid w:val="00152966"/>
    <w:rsid w:val="00152D3F"/>
    <w:rsid w:val="001533C7"/>
    <w:rsid w:val="00153699"/>
    <w:rsid w:val="00154D69"/>
    <w:rsid w:val="00154E40"/>
    <w:rsid w:val="001569A0"/>
    <w:rsid w:val="00156D8B"/>
    <w:rsid w:val="00160281"/>
    <w:rsid w:val="00160293"/>
    <w:rsid w:val="00162149"/>
    <w:rsid w:val="0016560B"/>
    <w:rsid w:val="0016560F"/>
    <w:rsid w:val="00165826"/>
    <w:rsid w:val="00165867"/>
    <w:rsid w:val="00165DF3"/>
    <w:rsid w:val="00166D78"/>
    <w:rsid w:val="00167968"/>
    <w:rsid w:val="0017153E"/>
    <w:rsid w:val="00171876"/>
    <w:rsid w:val="00172036"/>
    <w:rsid w:val="00172833"/>
    <w:rsid w:val="00174285"/>
    <w:rsid w:val="0017490F"/>
    <w:rsid w:val="00174C20"/>
    <w:rsid w:val="00174E75"/>
    <w:rsid w:val="00175211"/>
    <w:rsid w:val="00176ACC"/>
    <w:rsid w:val="00176CEF"/>
    <w:rsid w:val="00177791"/>
    <w:rsid w:val="00177A99"/>
    <w:rsid w:val="00177EB2"/>
    <w:rsid w:val="001812D5"/>
    <w:rsid w:val="00181674"/>
    <w:rsid w:val="00181E6C"/>
    <w:rsid w:val="00181F1A"/>
    <w:rsid w:val="0018222F"/>
    <w:rsid w:val="00183EAD"/>
    <w:rsid w:val="00185C84"/>
    <w:rsid w:val="001864AC"/>
    <w:rsid w:val="00187215"/>
    <w:rsid w:val="0018773A"/>
    <w:rsid w:val="00194E92"/>
    <w:rsid w:val="00196522"/>
    <w:rsid w:val="001968A0"/>
    <w:rsid w:val="00196C15"/>
    <w:rsid w:val="00197658"/>
    <w:rsid w:val="00197E9A"/>
    <w:rsid w:val="00197FB2"/>
    <w:rsid w:val="001A1635"/>
    <w:rsid w:val="001A3928"/>
    <w:rsid w:val="001A502C"/>
    <w:rsid w:val="001A5A35"/>
    <w:rsid w:val="001B0AD9"/>
    <w:rsid w:val="001B0AF9"/>
    <w:rsid w:val="001B16D6"/>
    <w:rsid w:val="001B2656"/>
    <w:rsid w:val="001B4C05"/>
    <w:rsid w:val="001B4DB1"/>
    <w:rsid w:val="001B5DDF"/>
    <w:rsid w:val="001C0229"/>
    <w:rsid w:val="001C02BA"/>
    <w:rsid w:val="001C08BF"/>
    <w:rsid w:val="001C222F"/>
    <w:rsid w:val="001C4D24"/>
    <w:rsid w:val="001C5621"/>
    <w:rsid w:val="001C7152"/>
    <w:rsid w:val="001C7219"/>
    <w:rsid w:val="001C729A"/>
    <w:rsid w:val="001C7CD6"/>
    <w:rsid w:val="001D3239"/>
    <w:rsid w:val="001D4756"/>
    <w:rsid w:val="001D5A4C"/>
    <w:rsid w:val="001D5DA9"/>
    <w:rsid w:val="001D7F47"/>
    <w:rsid w:val="001E0A19"/>
    <w:rsid w:val="001E160B"/>
    <w:rsid w:val="001E174D"/>
    <w:rsid w:val="001E22AC"/>
    <w:rsid w:val="001E6523"/>
    <w:rsid w:val="001E6792"/>
    <w:rsid w:val="001E76F3"/>
    <w:rsid w:val="001E7FE2"/>
    <w:rsid w:val="001F1005"/>
    <w:rsid w:val="001F1906"/>
    <w:rsid w:val="001F367B"/>
    <w:rsid w:val="001F3EAA"/>
    <w:rsid w:val="001F4210"/>
    <w:rsid w:val="001F5298"/>
    <w:rsid w:val="001F5B9C"/>
    <w:rsid w:val="001F6D23"/>
    <w:rsid w:val="00204DB4"/>
    <w:rsid w:val="00204DE1"/>
    <w:rsid w:val="0020659D"/>
    <w:rsid w:val="00207B0E"/>
    <w:rsid w:val="00211C4E"/>
    <w:rsid w:val="00211E22"/>
    <w:rsid w:val="00211E76"/>
    <w:rsid w:val="00211FF5"/>
    <w:rsid w:val="00212322"/>
    <w:rsid w:val="002143F3"/>
    <w:rsid w:val="00217460"/>
    <w:rsid w:val="002179A8"/>
    <w:rsid w:val="00220161"/>
    <w:rsid w:val="00220183"/>
    <w:rsid w:val="00221F0A"/>
    <w:rsid w:val="0022287D"/>
    <w:rsid w:val="00224D75"/>
    <w:rsid w:val="002258CB"/>
    <w:rsid w:val="00226246"/>
    <w:rsid w:val="002264FC"/>
    <w:rsid w:val="002269FC"/>
    <w:rsid w:val="0023085F"/>
    <w:rsid w:val="00231391"/>
    <w:rsid w:val="00231452"/>
    <w:rsid w:val="002319C8"/>
    <w:rsid w:val="00233E93"/>
    <w:rsid w:val="002340CD"/>
    <w:rsid w:val="002343CF"/>
    <w:rsid w:val="0023466E"/>
    <w:rsid w:val="0023522D"/>
    <w:rsid w:val="00236594"/>
    <w:rsid w:val="002365BB"/>
    <w:rsid w:val="0024155B"/>
    <w:rsid w:val="00242EA8"/>
    <w:rsid w:val="00242EC3"/>
    <w:rsid w:val="00244570"/>
    <w:rsid w:val="0024479C"/>
    <w:rsid w:val="00245ABD"/>
    <w:rsid w:val="00246E1E"/>
    <w:rsid w:val="00251654"/>
    <w:rsid w:val="00252C6A"/>
    <w:rsid w:val="00252E2B"/>
    <w:rsid w:val="00253004"/>
    <w:rsid w:val="002535E2"/>
    <w:rsid w:val="00254A8F"/>
    <w:rsid w:val="00256589"/>
    <w:rsid w:val="00256F99"/>
    <w:rsid w:val="00257387"/>
    <w:rsid w:val="002604D8"/>
    <w:rsid w:val="0026172F"/>
    <w:rsid w:val="002628B2"/>
    <w:rsid w:val="00263118"/>
    <w:rsid w:val="00263790"/>
    <w:rsid w:val="00263CB7"/>
    <w:rsid w:val="00264308"/>
    <w:rsid w:val="0026536A"/>
    <w:rsid w:val="002669D5"/>
    <w:rsid w:val="00271ACF"/>
    <w:rsid w:val="00276F09"/>
    <w:rsid w:val="00277D69"/>
    <w:rsid w:val="00282EC9"/>
    <w:rsid w:val="002830BF"/>
    <w:rsid w:val="00283829"/>
    <w:rsid w:val="00285CBE"/>
    <w:rsid w:val="0028659F"/>
    <w:rsid w:val="00286EA6"/>
    <w:rsid w:val="00290A56"/>
    <w:rsid w:val="00290BBE"/>
    <w:rsid w:val="00292D9D"/>
    <w:rsid w:val="00292EEC"/>
    <w:rsid w:val="00293E5E"/>
    <w:rsid w:val="00296298"/>
    <w:rsid w:val="00297702"/>
    <w:rsid w:val="00297CAD"/>
    <w:rsid w:val="002A34B0"/>
    <w:rsid w:val="002A55F6"/>
    <w:rsid w:val="002A5807"/>
    <w:rsid w:val="002A580F"/>
    <w:rsid w:val="002A6966"/>
    <w:rsid w:val="002A7AFC"/>
    <w:rsid w:val="002B1051"/>
    <w:rsid w:val="002B5704"/>
    <w:rsid w:val="002B621B"/>
    <w:rsid w:val="002B6A25"/>
    <w:rsid w:val="002C2B88"/>
    <w:rsid w:val="002C3322"/>
    <w:rsid w:val="002C356B"/>
    <w:rsid w:val="002C39C2"/>
    <w:rsid w:val="002C3C0B"/>
    <w:rsid w:val="002C3C4C"/>
    <w:rsid w:val="002C48B1"/>
    <w:rsid w:val="002C4FAB"/>
    <w:rsid w:val="002C57BA"/>
    <w:rsid w:val="002C5F8B"/>
    <w:rsid w:val="002C682E"/>
    <w:rsid w:val="002C6835"/>
    <w:rsid w:val="002D0854"/>
    <w:rsid w:val="002D0EB2"/>
    <w:rsid w:val="002D2307"/>
    <w:rsid w:val="002D27AA"/>
    <w:rsid w:val="002D2EBE"/>
    <w:rsid w:val="002D35DA"/>
    <w:rsid w:val="002D3764"/>
    <w:rsid w:val="002D3FE1"/>
    <w:rsid w:val="002D5985"/>
    <w:rsid w:val="002D5EAC"/>
    <w:rsid w:val="002D6071"/>
    <w:rsid w:val="002D638A"/>
    <w:rsid w:val="002E0A16"/>
    <w:rsid w:val="002E31E4"/>
    <w:rsid w:val="002E38FE"/>
    <w:rsid w:val="002E53C1"/>
    <w:rsid w:val="002F0FF2"/>
    <w:rsid w:val="002F3DA5"/>
    <w:rsid w:val="002F4C51"/>
    <w:rsid w:val="002F55A7"/>
    <w:rsid w:val="002F6377"/>
    <w:rsid w:val="002F6D82"/>
    <w:rsid w:val="002F6DA0"/>
    <w:rsid w:val="002F75DF"/>
    <w:rsid w:val="002F76BE"/>
    <w:rsid w:val="00300106"/>
    <w:rsid w:val="003019E4"/>
    <w:rsid w:val="0030260A"/>
    <w:rsid w:val="0030287A"/>
    <w:rsid w:val="00302B58"/>
    <w:rsid w:val="00302B89"/>
    <w:rsid w:val="00303401"/>
    <w:rsid w:val="00303F99"/>
    <w:rsid w:val="00305536"/>
    <w:rsid w:val="00307022"/>
    <w:rsid w:val="0030714F"/>
    <w:rsid w:val="0031000A"/>
    <w:rsid w:val="003101F9"/>
    <w:rsid w:val="0031287D"/>
    <w:rsid w:val="00312B19"/>
    <w:rsid w:val="003137AB"/>
    <w:rsid w:val="00313C11"/>
    <w:rsid w:val="003163D3"/>
    <w:rsid w:val="0032007C"/>
    <w:rsid w:val="003200A7"/>
    <w:rsid w:val="00323813"/>
    <w:rsid w:val="00326983"/>
    <w:rsid w:val="003274B2"/>
    <w:rsid w:val="003274CE"/>
    <w:rsid w:val="00327C2D"/>
    <w:rsid w:val="003318E2"/>
    <w:rsid w:val="0033195F"/>
    <w:rsid w:val="00332EE7"/>
    <w:rsid w:val="00333207"/>
    <w:rsid w:val="00333A47"/>
    <w:rsid w:val="003346A8"/>
    <w:rsid w:val="003354B5"/>
    <w:rsid w:val="00335AB8"/>
    <w:rsid w:val="00335E6E"/>
    <w:rsid w:val="00336383"/>
    <w:rsid w:val="0033652A"/>
    <w:rsid w:val="00337B74"/>
    <w:rsid w:val="003407CE"/>
    <w:rsid w:val="00341A6D"/>
    <w:rsid w:val="00341AE6"/>
    <w:rsid w:val="00341EA2"/>
    <w:rsid w:val="00342FD2"/>
    <w:rsid w:val="00343411"/>
    <w:rsid w:val="00344F50"/>
    <w:rsid w:val="00345BD6"/>
    <w:rsid w:val="00350702"/>
    <w:rsid w:val="00350781"/>
    <w:rsid w:val="00352009"/>
    <w:rsid w:val="00352929"/>
    <w:rsid w:val="0035485F"/>
    <w:rsid w:val="0035510E"/>
    <w:rsid w:val="00356B53"/>
    <w:rsid w:val="00356B8B"/>
    <w:rsid w:val="00357F81"/>
    <w:rsid w:val="00360717"/>
    <w:rsid w:val="003636FA"/>
    <w:rsid w:val="00364485"/>
    <w:rsid w:val="003645B7"/>
    <w:rsid w:val="00365554"/>
    <w:rsid w:val="00365F49"/>
    <w:rsid w:val="0036609D"/>
    <w:rsid w:val="0036632D"/>
    <w:rsid w:val="00370B30"/>
    <w:rsid w:val="0037139A"/>
    <w:rsid w:val="0037176F"/>
    <w:rsid w:val="00372C75"/>
    <w:rsid w:val="00373431"/>
    <w:rsid w:val="00374C78"/>
    <w:rsid w:val="00374C79"/>
    <w:rsid w:val="0037659A"/>
    <w:rsid w:val="003770C6"/>
    <w:rsid w:val="00377D42"/>
    <w:rsid w:val="00380CF3"/>
    <w:rsid w:val="00380F4B"/>
    <w:rsid w:val="00384985"/>
    <w:rsid w:val="00384FD9"/>
    <w:rsid w:val="00385B9C"/>
    <w:rsid w:val="00386812"/>
    <w:rsid w:val="00386F46"/>
    <w:rsid w:val="0038778A"/>
    <w:rsid w:val="003878CF"/>
    <w:rsid w:val="003903DE"/>
    <w:rsid w:val="0039274F"/>
    <w:rsid w:val="00392DB6"/>
    <w:rsid w:val="00392ECA"/>
    <w:rsid w:val="00393593"/>
    <w:rsid w:val="00395376"/>
    <w:rsid w:val="00396126"/>
    <w:rsid w:val="003A0138"/>
    <w:rsid w:val="003A12AE"/>
    <w:rsid w:val="003A19B7"/>
    <w:rsid w:val="003A1ABC"/>
    <w:rsid w:val="003A2986"/>
    <w:rsid w:val="003A30B0"/>
    <w:rsid w:val="003A323F"/>
    <w:rsid w:val="003A3394"/>
    <w:rsid w:val="003A3454"/>
    <w:rsid w:val="003A36E1"/>
    <w:rsid w:val="003A39C0"/>
    <w:rsid w:val="003A46F7"/>
    <w:rsid w:val="003A5715"/>
    <w:rsid w:val="003A5761"/>
    <w:rsid w:val="003A5CC7"/>
    <w:rsid w:val="003A628D"/>
    <w:rsid w:val="003A6AB3"/>
    <w:rsid w:val="003A6E64"/>
    <w:rsid w:val="003A7797"/>
    <w:rsid w:val="003B1BE8"/>
    <w:rsid w:val="003B2758"/>
    <w:rsid w:val="003B3457"/>
    <w:rsid w:val="003B4F0E"/>
    <w:rsid w:val="003B6799"/>
    <w:rsid w:val="003B7402"/>
    <w:rsid w:val="003C1233"/>
    <w:rsid w:val="003C24B5"/>
    <w:rsid w:val="003C24C3"/>
    <w:rsid w:val="003C2FD5"/>
    <w:rsid w:val="003D0473"/>
    <w:rsid w:val="003D0DE0"/>
    <w:rsid w:val="003D10C8"/>
    <w:rsid w:val="003D136D"/>
    <w:rsid w:val="003D1F09"/>
    <w:rsid w:val="003D266C"/>
    <w:rsid w:val="003D38C9"/>
    <w:rsid w:val="003D3BC9"/>
    <w:rsid w:val="003D4D95"/>
    <w:rsid w:val="003D5C0E"/>
    <w:rsid w:val="003D5F8C"/>
    <w:rsid w:val="003D6C51"/>
    <w:rsid w:val="003E154E"/>
    <w:rsid w:val="003E24E6"/>
    <w:rsid w:val="003E3924"/>
    <w:rsid w:val="003E3B9C"/>
    <w:rsid w:val="003E4E65"/>
    <w:rsid w:val="003E536A"/>
    <w:rsid w:val="003E5DEC"/>
    <w:rsid w:val="003E6E70"/>
    <w:rsid w:val="003E7168"/>
    <w:rsid w:val="003E770E"/>
    <w:rsid w:val="003F00D0"/>
    <w:rsid w:val="003F05FD"/>
    <w:rsid w:val="003F110E"/>
    <w:rsid w:val="003F1AEC"/>
    <w:rsid w:val="003F3615"/>
    <w:rsid w:val="003F3D4D"/>
    <w:rsid w:val="003F5EDD"/>
    <w:rsid w:val="003F6ADA"/>
    <w:rsid w:val="003F7DC5"/>
    <w:rsid w:val="00401266"/>
    <w:rsid w:val="004019BE"/>
    <w:rsid w:val="00401A07"/>
    <w:rsid w:val="00403711"/>
    <w:rsid w:val="00405033"/>
    <w:rsid w:val="00405925"/>
    <w:rsid w:val="00406C4E"/>
    <w:rsid w:val="004100CD"/>
    <w:rsid w:val="00410CF5"/>
    <w:rsid w:val="00411684"/>
    <w:rsid w:val="004124D5"/>
    <w:rsid w:val="00412604"/>
    <w:rsid w:val="00413187"/>
    <w:rsid w:val="004131FF"/>
    <w:rsid w:val="00414A87"/>
    <w:rsid w:val="00414D97"/>
    <w:rsid w:val="00415021"/>
    <w:rsid w:val="00415AC9"/>
    <w:rsid w:val="00415B3F"/>
    <w:rsid w:val="00416CBA"/>
    <w:rsid w:val="004200DF"/>
    <w:rsid w:val="00420365"/>
    <w:rsid w:val="00420CA8"/>
    <w:rsid w:val="00420ECD"/>
    <w:rsid w:val="00421CC8"/>
    <w:rsid w:val="0042260A"/>
    <w:rsid w:val="00424644"/>
    <w:rsid w:val="00424D19"/>
    <w:rsid w:val="0042571E"/>
    <w:rsid w:val="00427599"/>
    <w:rsid w:val="0043012D"/>
    <w:rsid w:val="00431843"/>
    <w:rsid w:val="00431F47"/>
    <w:rsid w:val="004332A1"/>
    <w:rsid w:val="00435785"/>
    <w:rsid w:val="00435EC2"/>
    <w:rsid w:val="00435EF9"/>
    <w:rsid w:val="00436AAD"/>
    <w:rsid w:val="00437A98"/>
    <w:rsid w:val="00437BAD"/>
    <w:rsid w:val="00441C00"/>
    <w:rsid w:val="004427FC"/>
    <w:rsid w:val="004430B4"/>
    <w:rsid w:val="0044390A"/>
    <w:rsid w:val="004452B6"/>
    <w:rsid w:val="00446EE2"/>
    <w:rsid w:val="0045015F"/>
    <w:rsid w:val="004507B8"/>
    <w:rsid w:val="00451188"/>
    <w:rsid w:val="0045162F"/>
    <w:rsid w:val="00453748"/>
    <w:rsid w:val="004537A8"/>
    <w:rsid w:val="00453D5F"/>
    <w:rsid w:val="00454B67"/>
    <w:rsid w:val="004556D6"/>
    <w:rsid w:val="00455850"/>
    <w:rsid w:val="004573D9"/>
    <w:rsid w:val="00461B20"/>
    <w:rsid w:val="00461F1F"/>
    <w:rsid w:val="00462C61"/>
    <w:rsid w:val="00465A95"/>
    <w:rsid w:val="00466A0F"/>
    <w:rsid w:val="00466A2D"/>
    <w:rsid w:val="00467FD5"/>
    <w:rsid w:val="004702AB"/>
    <w:rsid w:val="004706B6"/>
    <w:rsid w:val="0047086D"/>
    <w:rsid w:val="00470EB0"/>
    <w:rsid w:val="00471096"/>
    <w:rsid w:val="004738E9"/>
    <w:rsid w:val="00474941"/>
    <w:rsid w:val="00476750"/>
    <w:rsid w:val="00476994"/>
    <w:rsid w:val="00476FC6"/>
    <w:rsid w:val="00481277"/>
    <w:rsid w:val="00481F3C"/>
    <w:rsid w:val="004823C9"/>
    <w:rsid w:val="004823DA"/>
    <w:rsid w:val="00482829"/>
    <w:rsid w:val="00484142"/>
    <w:rsid w:val="00484439"/>
    <w:rsid w:val="00485763"/>
    <w:rsid w:val="004857E4"/>
    <w:rsid w:val="00486790"/>
    <w:rsid w:val="00487869"/>
    <w:rsid w:val="00490852"/>
    <w:rsid w:val="004922F0"/>
    <w:rsid w:val="00493B7C"/>
    <w:rsid w:val="0049488C"/>
    <w:rsid w:val="00495260"/>
    <w:rsid w:val="00496E2B"/>
    <w:rsid w:val="004A07C5"/>
    <w:rsid w:val="004A2D2B"/>
    <w:rsid w:val="004A301D"/>
    <w:rsid w:val="004A4B4B"/>
    <w:rsid w:val="004A7987"/>
    <w:rsid w:val="004A7BA5"/>
    <w:rsid w:val="004B0492"/>
    <w:rsid w:val="004B0AF9"/>
    <w:rsid w:val="004B14B2"/>
    <w:rsid w:val="004B178E"/>
    <w:rsid w:val="004B2934"/>
    <w:rsid w:val="004B38B6"/>
    <w:rsid w:val="004B62F1"/>
    <w:rsid w:val="004C0B85"/>
    <w:rsid w:val="004C12FB"/>
    <w:rsid w:val="004C22B8"/>
    <w:rsid w:val="004C327E"/>
    <w:rsid w:val="004C32AE"/>
    <w:rsid w:val="004C3A39"/>
    <w:rsid w:val="004C3D8C"/>
    <w:rsid w:val="004C4517"/>
    <w:rsid w:val="004C4F24"/>
    <w:rsid w:val="004C5861"/>
    <w:rsid w:val="004C7664"/>
    <w:rsid w:val="004D0847"/>
    <w:rsid w:val="004D08C9"/>
    <w:rsid w:val="004D122B"/>
    <w:rsid w:val="004D4818"/>
    <w:rsid w:val="004D4AD2"/>
    <w:rsid w:val="004D5552"/>
    <w:rsid w:val="004D64B9"/>
    <w:rsid w:val="004D64BE"/>
    <w:rsid w:val="004D7B8A"/>
    <w:rsid w:val="004E19FE"/>
    <w:rsid w:val="004E1C01"/>
    <w:rsid w:val="004E22B4"/>
    <w:rsid w:val="004E25F4"/>
    <w:rsid w:val="004E2631"/>
    <w:rsid w:val="004E419B"/>
    <w:rsid w:val="004E5E0E"/>
    <w:rsid w:val="004E6A83"/>
    <w:rsid w:val="004E6E2C"/>
    <w:rsid w:val="004E781A"/>
    <w:rsid w:val="004E7973"/>
    <w:rsid w:val="004E7DAE"/>
    <w:rsid w:val="004F0593"/>
    <w:rsid w:val="004F1052"/>
    <w:rsid w:val="004F1187"/>
    <w:rsid w:val="004F1396"/>
    <w:rsid w:val="004F3D38"/>
    <w:rsid w:val="004F47FA"/>
    <w:rsid w:val="004F5538"/>
    <w:rsid w:val="004F6ED0"/>
    <w:rsid w:val="004F7C67"/>
    <w:rsid w:val="005019B1"/>
    <w:rsid w:val="005028BF"/>
    <w:rsid w:val="00503AA9"/>
    <w:rsid w:val="00503ADB"/>
    <w:rsid w:val="005049DE"/>
    <w:rsid w:val="00504CD5"/>
    <w:rsid w:val="0050565E"/>
    <w:rsid w:val="0050598B"/>
    <w:rsid w:val="00507453"/>
    <w:rsid w:val="0051078A"/>
    <w:rsid w:val="00511590"/>
    <w:rsid w:val="005129E0"/>
    <w:rsid w:val="00513F3D"/>
    <w:rsid w:val="00517711"/>
    <w:rsid w:val="00517BCE"/>
    <w:rsid w:val="00520AB0"/>
    <w:rsid w:val="00521580"/>
    <w:rsid w:val="00521B4C"/>
    <w:rsid w:val="0052217A"/>
    <w:rsid w:val="0052299B"/>
    <w:rsid w:val="005234DE"/>
    <w:rsid w:val="00524475"/>
    <w:rsid w:val="00525D4B"/>
    <w:rsid w:val="0052794B"/>
    <w:rsid w:val="00527B8F"/>
    <w:rsid w:val="00530903"/>
    <w:rsid w:val="005311B6"/>
    <w:rsid w:val="005311E2"/>
    <w:rsid w:val="0053185F"/>
    <w:rsid w:val="00533E1C"/>
    <w:rsid w:val="005346E9"/>
    <w:rsid w:val="00534B39"/>
    <w:rsid w:val="00535FF1"/>
    <w:rsid w:val="00537183"/>
    <w:rsid w:val="00540543"/>
    <w:rsid w:val="00541765"/>
    <w:rsid w:val="00541A57"/>
    <w:rsid w:val="00550348"/>
    <w:rsid w:val="00550C76"/>
    <w:rsid w:val="005518BD"/>
    <w:rsid w:val="0055253F"/>
    <w:rsid w:val="00552C49"/>
    <w:rsid w:val="00554F9E"/>
    <w:rsid w:val="00555CE0"/>
    <w:rsid w:val="00557270"/>
    <w:rsid w:val="00560709"/>
    <w:rsid w:val="00560BFB"/>
    <w:rsid w:val="00562038"/>
    <w:rsid w:val="00562A68"/>
    <w:rsid w:val="005636C0"/>
    <w:rsid w:val="00563B98"/>
    <w:rsid w:val="005648B1"/>
    <w:rsid w:val="00564A90"/>
    <w:rsid w:val="00564DD0"/>
    <w:rsid w:val="0056530F"/>
    <w:rsid w:val="0056568C"/>
    <w:rsid w:val="005656F3"/>
    <w:rsid w:val="00567F44"/>
    <w:rsid w:val="0057096C"/>
    <w:rsid w:val="00570A84"/>
    <w:rsid w:val="005710C2"/>
    <w:rsid w:val="0057350F"/>
    <w:rsid w:val="005762EA"/>
    <w:rsid w:val="005778AA"/>
    <w:rsid w:val="00577D63"/>
    <w:rsid w:val="0058196A"/>
    <w:rsid w:val="00582523"/>
    <w:rsid w:val="0058297E"/>
    <w:rsid w:val="005834CF"/>
    <w:rsid w:val="00584AF5"/>
    <w:rsid w:val="00584B78"/>
    <w:rsid w:val="00584C0C"/>
    <w:rsid w:val="00585E84"/>
    <w:rsid w:val="00586679"/>
    <w:rsid w:val="00586FB0"/>
    <w:rsid w:val="00587FA4"/>
    <w:rsid w:val="005904FA"/>
    <w:rsid w:val="00590621"/>
    <w:rsid w:val="00590DC6"/>
    <w:rsid w:val="00592FAF"/>
    <w:rsid w:val="00593F05"/>
    <w:rsid w:val="00595591"/>
    <w:rsid w:val="0059683E"/>
    <w:rsid w:val="005972A8"/>
    <w:rsid w:val="005A0754"/>
    <w:rsid w:val="005A2A24"/>
    <w:rsid w:val="005A4E6B"/>
    <w:rsid w:val="005A5F6E"/>
    <w:rsid w:val="005A6514"/>
    <w:rsid w:val="005A7306"/>
    <w:rsid w:val="005B069E"/>
    <w:rsid w:val="005B0E74"/>
    <w:rsid w:val="005B2DE4"/>
    <w:rsid w:val="005B3A75"/>
    <w:rsid w:val="005B461F"/>
    <w:rsid w:val="005B5281"/>
    <w:rsid w:val="005B5563"/>
    <w:rsid w:val="005B68CA"/>
    <w:rsid w:val="005B7D31"/>
    <w:rsid w:val="005C2084"/>
    <w:rsid w:val="005C2102"/>
    <w:rsid w:val="005C23D5"/>
    <w:rsid w:val="005C2A34"/>
    <w:rsid w:val="005C2A57"/>
    <w:rsid w:val="005C497F"/>
    <w:rsid w:val="005C4DF1"/>
    <w:rsid w:val="005C5403"/>
    <w:rsid w:val="005C54EC"/>
    <w:rsid w:val="005C670D"/>
    <w:rsid w:val="005C6FA8"/>
    <w:rsid w:val="005C7152"/>
    <w:rsid w:val="005C754E"/>
    <w:rsid w:val="005D3915"/>
    <w:rsid w:val="005D41E3"/>
    <w:rsid w:val="005D625F"/>
    <w:rsid w:val="005D6625"/>
    <w:rsid w:val="005E0D43"/>
    <w:rsid w:val="005E0D6D"/>
    <w:rsid w:val="005E2063"/>
    <w:rsid w:val="005E2CD7"/>
    <w:rsid w:val="005E4E2C"/>
    <w:rsid w:val="005E4F32"/>
    <w:rsid w:val="005E4F66"/>
    <w:rsid w:val="005F072A"/>
    <w:rsid w:val="005F0892"/>
    <w:rsid w:val="005F381A"/>
    <w:rsid w:val="005F3CD0"/>
    <w:rsid w:val="005F3E12"/>
    <w:rsid w:val="005F4654"/>
    <w:rsid w:val="005F49EB"/>
    <w:rsid w:val="005F4B8E"/>
    <w:rsid w:val="005F4E36"/>
    <w:rsid w:val="005F5105"/>
    <w:rsid w:val="005F5E62"/>
    <w:rsid w:val="005F6D55"/>
    <w:rsid w:val="006006FC"/>
    <w:rsid w:val="00600860"/>
    <w:rsid w:val="00600B25"/>
    <w:rsid w:val="006024BF"/>
    <w:rsid w:val="00603681"/>
    <w:rsid w:val="00605887"/>
    <w:rsid w:val="006105F9"/>
    <w:rsid w:val="00610B7D"/>
    <w:rsid w:val="00611097"/>
    <w:rsid w:val="00612301"/>
    <w:rsid w:val="006127ED"/>
    <w:rsid w:val="00612D56"/>
    <w:rsid w:val="006138F0"/>
    <w:rsid w:val="00613F93"/>
    <w:rsid w:val="00614195"/>
    <w:rsid w:val="00615304"/>
    <w:rsid w:val="00615335"/>
    <w:rsid w:val="006168CC"/>
    <w:rsid w:val="00617082"/>
    <w:rsid w:val="006170E1"/>
    <w:rsid w:val="00620528"/>
    <w:rsid w:val="00620DFD"/>
    <w:rsid w:val="0062108B"/>
    <w:rsid w:val="0062226A"/>
    <w:rsid w:val="00623296"/>
    <w:rsid w:val="00623306"/>
    <w:rsid w:val="00625937"/>
    <w:rsid w:val="006259B4"/>
    <w:rsid w:val="0062649F"/>
    <w:rsid w:val="00631654"/>
    <w:rsid w:val="00632ABD"/>
    <w:rsid w:val="00634975"/>
    <w:rsid w:val="006364EA"/>
    <w:rsid w:val="0063651F"/>
    <w:rsid w:val="00636E7E"/>
    <w:rsid w:val="00637C03"/>
    <w:rsid w:val="00640480"/>
    <w:rsid w:val="00640D3A"/>
    <w:rsid w:val="0064203D"/>
    <w:rsid w:val="00643A59"/>
    <w:rsid w:val="00643C61"/>
    <w:rsid w:val="00644FA8"/>
    <w:rsid w:val="006474F2"/>
    <w:rsid w:val="00650801"/>
    <w:rsid w:val="006510C4"/>
    <w:rsid w:val="00651E18"/>
    <w:rsid w:val="00652612"/>
    <w:rsid w:val="00653367"/>
    <w:rsid w:val="00654E73"/>
    <w:rsid w:val="00654F2D"/>
    <w:rsid w:val="00655333"/>
    <w:rsid w:val="0065649F"/>
    <w:rsid w:val="00656698"/>
    <w:rsid w:val="00657125"/>
    <w:rsid w:val="00660CC6"/>
    <w:rsid w:val="00661134"/>
    <w:rsid w:val="006614DB"/>
    <w:rsid w:val="00661E5F"/>
    <w:rsid w:val="00662BC9"/>
    <w:rsid w:val="00662EDD"/>
    <w:rsid w:val="006646BB"/>
    <w:rsid w:val="00664FE5"/>
    <w:rsid w:val="0067053B"/>
    <w:rsid w:val="00670B17"/>
    <w:rsid w:val="006725A2"/>
    <w:rsid w:val="006725FA"/>
    <w:rsid w:val="0067286C"/>
    <w:rsid w:val="00672F25"/>
    <w:rsid w:val="00673902"/>
    <w:rsid w:val="00673B8D"/>
    <w:rsid w:val="006742AB"/>
    <w:rsid w:val="00674A69"/>
    <w:rsid w:val="006751DE"/>
    <w:rsid w:val="00675D40"/>
    <w:rsid w:val="006829C6"/>
    <w:rsid w:val="00682C5B"/>
    <w:rsid w:val="00684293"/>
    <w:rsid w:val="00684382"/>
    <w:rsid w:val="006849AB"/>
    <w:rsid w:val="00685763"/>
    <w:rsid w:val="00686E21"/>
    <w:rsid w:val="00687676"/>
    <w:rsid w:val="00687F5B"/>
    <w:rsid w:val="006919E2"/>
    <w:rsid w:val="00693BA6"/>
    <w:rsid w:val="0069437A"/>
    <w:rsid w:val="00695627"/>
    <w:rsid w:val="00696B72"/>
    <w:rsid w:val="00696BA2"/>
    <w:rsid w:val="00697D34"/>
    <w:rsid w:val="006A013C"/>
    <w:rsid w:val="006A12BA"/>
    <w:rsid w:val="006A252C"/>
    <w:rsid w:val="006A27D8"/>
    <w:rsid w:val="006A3E60"/>
    <w:rsid w:val="006A4C2E"/>
    <w:rsid w:val="006A5FE6"/>
    <w:rsid w:val="006A609D"/>
    <w:rsid w:val="006A74E8"/>
    <w:rsid w:val="006B06B5"/>
    <w:rsid w:val="006B2950"/>
    <w:rsid w:val="006B2BFA"/>
    <w:rsid w:val="006B314D"/>
    <w:rsid w:val="006B4C61"/>
    <w:rsid w:val="006B5DA9"/>
    <w:rsid w:val="006B612A"/>
    <w:rsid w:val="006B69AD"/>
    <w:rsid w:val="006B6AED"/>
    <w:rsid w:val="006B72A2"/>
    <w:rsid w:val="006B76DF"/>
    <w:rsid w:val="006C426E"/>
    <w:rsid w:val="006C4389"/>
    <w:rsid w:val="006C53AB"/>
    <w:rsid w:val="006C7770"/>
    <w:rsid w:val="006D0DFE"/>
    <w:rsid w:val="006D1DE4"/>
    <w:rsid w:val="006D360F"/>
    <w:rsid w:val="006D368B"/>
    <w:rsid w:val="006D4661"/>
    <w:rsid w:val="006D47F3"/>
    <w:rsid w:val="006D6FBC"/>
    <w:rsid w:val="006D754C"/>
    <w:rsid w:val="006E0026"/>
    <w:rsid w:val="006E03D0"/>
    <w:rsid w:val="006E3C5B"/>
    <w:rsid w:val="006F04B3"/>
    <w:rsid w:val="006F23A0"/>
    <w:rsid w:val="006F2EE0"/>
    <w:rsid w:val="006F441A"/>
    <w:rsid w:val="006F4567"/>
    <w:rsid w:val="006F5BC7"/>
    <w:rsid w:val="006F6D2A"/>
    <w:rsid w:val="006F7401"/>
    <w:rsid w:val="006F77E8"/>
    <w:rsid w:val="00700B48"/>
    <w:rsid w:val="00701416"/>
    <w:rsid w:val="007015A4"/>
    <w:rsid w:val="007027AF"/>
    <w:rsid w:val="00702DB8"/>
    <w:rsid w:val="007032F8"/>
    <w:rsid w:val="00703622"/>
    <w:rsid w:val="0070476F"/>
    <w:rsid w:val="00705A78"/>
    <w:rsid w:val="00706749"/>
    <w:rsid w:val="00712178"/>
    <w:rsid w:val="0071390C"/>
    <w:rsid w:val="00713F7A"/>
    <w:rsid w:val="00720248"/>
    <w:rsid w:val="00720E77"/>
    <w:rsid w:val="00720F75"/>
    <w:rsid w:val="00722727"/>
    <w:rsid w:val="00722C15"/>
    <w:rsid w:val="00722FCD"/>
    <w:rsid w:val="00724EDF"/>
    <w:rsid w:val="00725133"/>
    <w:rsid w:val="00725420"/>
    <w:rsid w:val="00725735"/>
    <w:rsid w:val="00730567"/>
    <w:rsid w:val="00731176"/>
    <w:rsid w:val="007313C1"/>
    <w:rsid w:val="007317C1"/>
    <w:rsid w:val="0073289A"/>
    <w:rsid w:val="007334F8"/>
    <w:rsid w:val="00733E4B"/>
    <w:rsid w:val="0073626E"/>
    <w:rsid w:val="0073711D"/>
    <w:rsid w:val="007375BE"/>
    <w:rsid w:val="00740CEB"/>
    <w:rsid w:val="0074169E"/>
    <w:rsid w:val="007416D6"/>
    <w:rsid w:val="00742102"/>
    <w:rsid w:val="00743200"/>
    <w:rsid w:val="00747956"/>
    <w:rsid w:val="00750790"/>
    <w:rsid w:val="00750837"/>
    <w:rsid w:val="0075085B"/>
    <w:rsid w:val="00750F54"/>
    <w:rsid w:val="00751024"/>
    <w:rsid w:val="0075291F"/>
    <w:rsid w:val="00752A3B"/>
    <w:rsid w:val="00752CD2"/>
    <w:rsid w:val="0075510B"/>
    <w:rsid w:val="00755211"/>
    <w:rsid w:val="007553F4"/>
    <w:rsid w:val="0075793C"/>
    <w:rsid w:val="007631BE"/>
    <w:rsid w:val="00764131"/>
    <w:rsid w:val="00764A53"/>
    <w:rsid w:val="00765D62"/>
    <w:rsid w:val="0076637E"/>
    <w:rsid w:val="00766C76"/>
    <w:rsid w:val="00770A72"/>
    <w:rsid w:val="007712EA"/>
    <w:rsid w:val="00771D9E"/>
    <w:rsid w:val="00772037"/>
    <w:rsid w:val="0077241C"/>
    <w:rsid w:val="00773220"/>
    <w:rsid w:val="0077373F"/>
    <w:rsid w:val="00773C33"/>
    <w:rsid w:val="0077481F"/>
    <w:rsid w:val="00774C61"/>
    <w:rsid w:val="00774C7A"/>
    <w:rsid w:val="00775C42"/>
    <w:rsid w:val="00776001"/>
    <w:rsid w:val="007763D7"/>
    <w:rsid w:val="007776DD"/>
    <w:rsid w:val="00777A0A"/>
    <w:rsid w:val="0078045B"/>
    <w:rsid w:val="00781AFE"/>
    <w:rsid w:val="00783E75"/>
    <w:rsid w:val="00784570"/>
    <w:rsid w:val="00785106"/>
    <w:rsid w:val="0078605E"/>
    <w:rsid w:val="00786213"/>
    <w:rsid w:val="007876A6"/>
    <w:rsid w:val="00790119"/>
    <w:rsid w:val="0079012B"/>
    <w:rsid w:val="007905FE"/>
    <w:rsid w:val="007928FD"/>
    <w:rsid w:val="0079422C"/>
    <w:rsid w:val="00794BFC"/>
    <w:rsid w:val="007957DB"/>
    <w:rsid w:val="007958B1"/>
    <w:rsid w:val="0079609C"/>
    <w:rsid w:val="00796DBC"/>
    <w:rsid w:val="007A0145"/>
    <w:rsid w:val="007A138E"/>
    <w:rsid w:val="007A17B9"/>
    <w:rsid w:val="007A274F"/>
    <w:rsid w:val="007A3E2E"/>
    <w:rsid w:val="007A5014"/>
    <w:rsid w:val="007A5676"/>
    <w:rsid w:val="007A640A"/>
    <w:rsid w:val="007A6760"/>
    <w:rsid w:val="007A69F8"/>
    <w:rsid w:val="007A6B5F"/>
    <w:rsid w:val="007A75F1"/>
    <w:rsid w:val="007B2271"/>
    <w:rsid w:val="007B235F"/>
    <w:rsid w:val="007B282C"/>
    <w:rsid w:val="007B2C36"/>
    <w:rsid w:val="007B3765"/>
    <w:rsid w:val="007B576C"/>
    <w:rsid w:val="007B5A1F"/>
    <w:rsid w:val="007B5F9F"/>
    <w:rsid w:val="007B7D1F"/>
    <w:rsid w:val="007B7D65"/>
    <w:rsid w:val="007C02F6"/>
    <w:rsid w:val="007C0305"/>
    <w:rsid w:val="007C1F79"/>
    <w:rsid w:val="007C242E"/>
    <w:rsid w:val="007C2AF0"/>
    <w:rsid w:val="007C2D48"/>
    <w:rsid w:val="007C42D9"/>
    <w:rsid w:val="007C665E"/>
    <w:rsid w:val="007D00B5"/>
    <w:rsid w:val="007D0B74"/>
    <w:rsid w:val="007D1E84"/>
    <w:rsid w:val="007D29DB"/>
    <w:rsid w:val="007D343F"/>
    <w:rsid w:val="007D365B"/>
    <w:rsid w:val="007D4D84"/>
    <w:rsid w:val="007D6320"/>
    <w:rsid w:val="007E0283"/>
    <w:rsid w:val="007E0E16"/>
    <w:rsid w:val="007E1FC2"/>
    <w:rsid w:val="007E419E"/>
    <w:rsid w:val="007E53FE"/>
    <w:rsid w:val="007E5825"/>
    <w:rsid w:val="007E5FF2"/>
    <w:rsid w:val="007E60FA"/>
    <w:rsid w:val="007E62F3"/>
    <w:rsid w:val="007E6706"/>
    <w:rsid w:val="007E6D9D"/>
    <w:rsid w:val="007F017D"/>
    <w:rsid w:val="007F0547"/>
    <w:rsid w:val="007F12B1"/>
    <w:rsid w:val="007F1A91"/>
    <w:rsid w:val="007F1C3C"/>
    <w:rsid w:val="007F211E"/>
    <w:rsid w:val="007F2532"/>
    <w:rsid w:val="007F25B7"/>
    <w:rsid w:val="007F3DB9"/>
    <w:rsid w:val="00801006"/>
    <w:rsid w:val="00802503"/>
    <w:rsid w:val="00802D09"/>
    <w:rsid w:val="00803383"/>
    <w:rsid w:val="00803D7D"/>
    <w:rsid w:val="00803F2F"/>
    <w:rsid w:val="0080504E"/>
    <w:rsid w:val="008058E0"/>
    <w:rsid w:val="00805D02"/>
    <w:rsid w:val="00812997"/>
    <w:rsid w:val="00812D24"/>
    <w:rsid w:val="0081310A"/>
    <w:rsid w:val="008157F4"/>
    <w:rsid w:val="00815A21"/>
    <w:rsid w:val="008178DC"/>
    <w:rsid w:val="00820786"/>
    <w:rsid w:val="00821618"/>
    <w:rsid w:val="008218F9"/>
    <w:rsid w:val="00821B35"/>
    <w:rsid w:val="0082241F"/>
    <w:rsid w:val="00822E0D"/>
    <w:rsid w:val="0082323A"/>
    <w:rsid w:val="00823381"/>
    <w:rsid w:val="008237BE"/>
    <w:rsid w:val="00824573"/>
    <w:rsid w:val="00824DAE"/>
    <w:rsid w:val="00825947"/>
    <w:rsid w:val="00826EE6"/>
    <w:rsid w:val="00827E2F"/>
    <w:rsid w:val="0083143B"/>
    <w:rsid w:val="00831785"/>
    <w:rsid w:val="008343A4"/>
    <w:rsid w:val="0083496A"/>
    <w:rsid w:val="0083675D"/>
    <w:rsid w:val="00837E50"/>
    <w:rsid w:val="00841434"/>
    <w:rsid w:val="008417F0"/>
    <w:rsid w:val="00841B5C"/>
    <w:rsid w:val="00842065"/>
    <w:rsid w:val="008426B1"/>
    <w:rsid w:val="00842960"/>
    <w:rsid w:val="0084369F"/>
    <w:rsid w:val="00845086"/>
    <w:rsid w:val="00845C19"/>
    <w:rsid w:val="00846ED0"/>
    <w:rsid w:val="008517DC"/>
    <w:rsid w:val="00853A7A"/>
    <w:rsid w:val="0085459E"/>
    <w:rsid w:val="00854A9E"/>
    <w:rsid w:val="008557D0"/>
    <w:rsid w:val="008567C9"/>
    <w:rsid w:val="0085737A"/>
    <w:rsid w:val="00857BCC"/>
    <w:rsid w:val="00860045"/>
    <w:rsid w:val="0086099D"/>
    <w:rsid w:val="00861333"/>
    <w:rsid w:val="0086261C"/>
    <w:rsid w:val="00863772"/>
    <w:rsid w:val="00863B3F"/>
    <w:rsid w:val="00864AF6"/>
    <w:rsid w:val="00864D26"/>
    <w:rsid w:val="00867148"/>
    <w:rsid w:val="008673C8"/>
    <w:rsid w:val="0086791B"/>
    <w:rsid w:val="008679A0"/>
    <w:rsid w:val="008702D5"/>
    <w:rsid w:val="00870817"/>
    <w:rsid w:val="00871174"/>
    <w:rsid w:val="00871774"/>
    <w:rsid w:val="0087360A"/>
    <w:rsid w:val="00873895"/>
    <w:rsid w:val="00874A40"/>
    <w:rsid w:val="00876E0A"/>
    <w:rsid w:val="008777D0"/>
    <w:rsid w:val="00877C58"/>
    <w:rsid w:val="008800DA"/>
    <w:rsid w:val="0088073E"/>
    <w:rsid w:val="00882A67"/>
    <w:rsid w:val="00883330"/>
    <w:rsid w:val="00886ED3"/>
    <w:rsid w:val="00887008"/>
    <w:rsid w:val="008926C8"/>
    <w:rsid w:val="008929A2"/>
    <w:rsid w:val="00893BCC"/>
    <w:rsid w:val="00894B0A"/>
    <w:rsid w:val="00895ADD"/>
    <w:rsid w:val="00896AFD"/>
    <w:rsid w:val="00897077"/>
    <w:rsid w:val="00897728"/>
    <w:rsid w:val="008A0628"/>
    <w:rsid w:val="008A3469"/>
    <w:rsid w:val="008A5F4E"/>
    <w:rsid w:val="008A6607"/>
    <w:rsid w:val="008B05FC"/>
    <w:rsid w:val="008B466B"/>
    <w:rsid w:val="008B525E"/>
    <w:rsid w:val="008B5D31"/>
    <w:rsid w:val="008B6010"/>
    <w:rsid w:val="008B7CD4"/>
    <w:rsid w:val="008B7D29"/>
    <w:rsid w:val="008C0AC6"/>
    <w:rsid w:val="008C1809"/>
    <w:rsid w:val="008C2685"/>
    <w:rsid w:val="008C36EC"/>
    <w:rsid w:val="008C4EC6"/>
    <w:rsid w:val="008C504B"/>
    <w:rsid w:val="008C6C6B"/>
    <w:rsid w:val="008C7F3D"/>
    <w:rsid w:val="008D0E73"/>
    <w:rsid w:val="008D1809"/>
    <w:rsid w:val="008D20F8"/>
    <w:rsid w:val="008D2778"/>
    <w:rsid w:val="008D2B7B"/>
    <w:rsid w:val="008D2F67"/>
    <w:rsid w:val="008D421B"/>
    <w:rsid w:val="008D4FC3"/>
    <w:rsid w:val="008D59CF"/>
    <w:rsid w:val="008D7028"/>
    <w:rsid w:val="008E07C4"/>
    <w:rsid w:val="008E0DC5"/>
    <w:rsid w:val="008E1B22"/>
    <w:rsid w:val="008E29A3"/>
    <w:rsid w:val="008E2F75"/>
    <w:rsid w:val="008E2FBB"/>
    <w:rsid w:val="008E3334"/>
    <w:rsid w:val="008E3545"/>
    <w:rsid w:val="008E3E6A"/>
    <w:rsid w:val="008E48B9"/>
    <w:rsid w:val="008E4E73"/>
    <w:rsid w:val="008E51F6"/>
    <w:rsid w:val="008E53B3"/>
    <w:rsid w:val="008E664F"/>
    <w:rsid w:val="008E7063"/>
    <w:rsid w:val="008F2702"/>
    <w:rsid w:val="008F2C0C"/>
    <w:rsid w:val="008F30DA"/>
    <w:rsid w:val="008F40A7"/>
    <w:rsid w:val="008F4DE5"/>
    <w:rsid w:val="008F68FB"/>
    <w:rsid w:val="008F75D1"/>
    <w:rsid w:val="008F7652"/>
    <w:rsid w:val="008F7ED5"/>
    <w:rsid w:val="0090033D"/>
    <w:rsid w:val="00900802"/>
    <w:rsid w:val="00901232"/>
    <w:rsid w:val="0090464F"/>
    <w:rsid w:val="00904996"/>
    <w:rsid w:val="009056B2"/>
    <w:rsid w:val="009059AF"/>
    <w:rsid w:val="00905A95"/>
    <w:rsid w:val="0090653C"/>
    <w:rsid w:val="00906E49"/>
    <w:rsid w:val="00907638"/>
    <w:rsid w:val="00910632"/>
    <w:rsid w:val="0091111B"/>
    <w:rsid w:val="009118B6"/>
    <w:rsid w:val="0091292F"/>
    <w:rsid w:val="00912CAD"/>
    <w:rsid w:val="009133FA"/>
    <w:rsid w:val="009136AF"/>
    <w:rsid w:val="00914162"/>
    <w:rsid w:val="009146FB"/>
    <w:rsid w:val="00915116"/>
    <w:rsid w:val="0091529C"/>
    <w:rsid w:val="0091555E"/>
    <w:rsid w:val="00917A95"/>
    <w:rsid w:val="00917E87"/>
    <w:rsid w:val="00917FF3"/>
    <w:rsid w:val="00920859"/>
    <w:rsid w:val="009224BE"/>
    <w:rsid w:val="00923260"/>
    <w:rsid w:val="00926FEF"/>
    <w:rsid w:val="00930A1C"/>
    <w:rsid w:val="00931DB3"/>
    <w:rsid w:val="00931E2F"/>
    <w:rsid w:val="00932583"/>
    <w:rsid w:val="009327F1"/>
    <w:rsid w:val="00933240"/>
    <w:rsid w:val="00933F7D"/>
    <w:rsid w:val="00934EAA"/>
    <w:rsid w:val="00937765"/>
    <w:rsid w:val="00937930"/>
    <w:rsid w:val="009414F9"/>
    <w:rsid w:val="009423B5"/>
    <w:rsid w:val="00943C07"/>
    <w:rsid w:val="00946446"/>
    <w:rsid w:val="00946657"/>
    <w:rsid w:val="00946A5A"/>
    <w:rsid w:val="009472EF"/>
    <w:rsid w:val="00950075"/>
    <w:rsid w:val="009501C6"/>
    <w:rsid w:val="009508EB"/>
    <w:rsid w:val="0095146C"/>
    <w:rsid w:val="009531FD"/>
    <w:rsid w:val="00953370"/>
    <w:rsid w:val="00953892"/>
    <w:rsid w:val="00953A31"/>
    <w:rsid w:val="009540D1"/>
    <w:rsid w:val="0095467B"/>
    <w:rsid w:val="0095532F"/>
    <w:rsid w:val="009553B7"/>
    <w:rsid w:val="00955850"/>
    <w:rsid w:val="00957235"/>
    <w:rsid w:val="00960442"/>
    <w:rsid w:val="00962910"/>
    <w:rsid w:val="00962992"/>
    <w:rsid w:val="0096349E"/>
    <w:rsid w:val="009635F6"/>
    <w:rsid w:val="00963D91"/>
    <w:rsid w:val="009679AA"/>
    <w:rsid w:val="00967E48"/>
    <w:rsid w:val="00970B93"/>
    <w:rsid w:val="00972AF4"/>
    <w:rsid w:val="0097300C"/>
    <w:rsid w:val="00973CF2"/>
    <w:rsid w:val="00974093"/>
    <w:rsid w:val="00974725"/>
    <w:rsid w:val="009757B9"/>
    <w:rsid w:val="00975D67"/>
    <w:rsid w:val="0097730A"/>
    <w:rsid w:val="00977B74"/>
    <w:rsid w:val="00981C97"/>
    <w:rsid w:val="0098244F"/>
    <w:rsid w:val="009826FA"/>
    <w:rsid w:val="00984944"/>
    <w:rsid w:val="00984E2B"/>
    <w:rsid w:val="00985A68"/>
    <w:rsid w:val="0099081F"/>
    <w:rsid w:val="0099255B"/>
    <w:rsid w:val="009928EF"/>
    <w:rsid w:val="00993B5F"/>
    <w:rsid w:val="00994B9C"/>
    <w:rsid w:val="00995EA6"/>
    <w:rsid w:val="009961AB"/>
    <w:rsid w:val="00996619"/>
    <w:rsid w:val="00997325"/>
    <w:rsid w:val="00997574"/>
    <w:rsid w:val="009A0637"/>
    <w:rsid w:val="009A0C2F"/>
    <w:rsid w:val="009A2F58"/>
    <w:rsid w:val="009A3337"/>
    <w:rsid w:val="009A51EF"/>
    <w:rsid w:val="009A6B37"/>
    <w:rsid w:val="009A6DA6"/>
    <w:rsid w:val="009B1C03"/>
    <w:rsid w:val="009B1D4F"/>
    <w:rsid w:val="009B1EA2"/>
    <w:rsid w:val="009B40E4"/>
    <w:rsid w:val="009B45B2"/>
    <w:rsid w:val="009B6305"/>
    <w:rsid w:val="009B6537"/>
    <w:rsid w:val="009B77B6"/>
    <w:rsid w:val="009C00F3"/>
    <w:rsid w:val="009C0828"/>
    <w:rsid w:val="009C4A6E"/>
    <w:rsid w:val="009C71F6"/>
    <w:rsid w:val="009D11A8"/>
    <w:rsid w:val="009D1A95"/>
    <w:rsid w:val="009D3AAB"/>
    <w:rsid w:val="009D597B"/>
    <w:rsid w:val="009D7407"/>
    <w:rsid w:val="009D746D"/>
    <w:rsid w:val="009E238D"/>
    <w:rsid w:val="009E2CBA"/>
    <w:rsid w:val="009E5F61"/>
    <w:rsid w:val="009E6590"/>
    <w:rsid w:val="009E7544"/>
    <w:rsid w:val="009F1849"/>
    <w:rsid w:val="009F2520"/>
    <w:rsid w:val="009F2DE4"/>
    <w:rsid w:val="009F4CDA"/>
    <w:rsid w:val="00A020C2"/>
    <w:rsid w:val="00A03B90"/>
    <w:rsid w:val="00A03EC9"/>
    <w:rsid w:val="00A05A9C"/>
    <w:rsid w:val="00A05C51"/>
    <w:rsid w:val="00A0794D"/>
    <w:rsid w:val="00A11868"/>
    <w:rsid w:val="00A1303E"/>
    <w:rsid w:val="00A134A3"/>
    <w:rsid w:val="00A136AA"/>
    <w:rsid w:val="00A15038"/>
    <w:rsid w:val="00A1529B"/>
    <w:rsid w:val="00A161E9"/>
    <w:rsid w:val="00A164E5"/>
    <w:rsid w:val="00A170F3"/>
    <w:rsid w:val="00A2050A"/>
    <w:rsid w:val="00A20580"/>
    <w:rsid w:val="00A2132C"/>
    <w:rsid w:val="00A21A4D"/>
    <w:rsid w:val="00A22169"/>
    <w:rsid w:val="00A232A7"/>
    <w:rsid w:val="00A23828"/>
    <w:rsid w:val="00A23E68"/>
    <w:rsid w:val="00A2510C"/>
    <w:rsid w:val="00A25132"/>
    <w:rsid w:val="00A26C73"/>
    <w:rsid w:val="00A31A07"/>
    <w:rsid w:val="00A33B0B"/>
    <w:rsid w:val="00A33F6E"/>
    <w:rsid w:val="00A366E1"/>
    <w:rsid w:val="00A37B62"/>
    <w:rsid w:val="00A401BC"/>
    <w:rsid w:val="00A401CA"/>
    <w:rsid w:val="00A42117"/>
    <w:rsid w:val="00A455FB"/>
    <w:rsid w:val="00A45D52"/>
    <w:rsid w:val="00A4648D"/>
    <w:rsid w:val="00A47030"/>
    <w:rsid w:val="00A50C76"/>
    <w:rsid w:val="00A50F04"/>
    <w:rsid w:val="00A513FC"/>
    <w:rsid w:val="00A51ECD"/>
    <w:rsid w:val="00A5202F"/>
    <w:rsid w:val="00A52B95"/>
    <w:rsid w:val="00A53624"/>
    <w:rsid w:val="00A53CC8"/>
    <w:rsid w:val="00A556A3"/>
    <w:rsid w:val="00A5712D"/>
    <w:rsid w:val="00A6180D"/>
    <w:rsid w:val="00A61CC6"/>
    <w:rsid w:val="00A61CDB"/>
    <w:rsid w:val="00A65919"/>
    <w:rsid w:val="00A70966"/>
    <w:rsid w:val="00A7128C"/>
    <w:rsid w:val="00A72038"/>
    <w:rsid w:val="00A7264A"/>
    <w:rsid w:val="00A729E2"/>
    <w:rsid w:val="00A72C78"/>
    <w:rsid w:val="00A73814"/>
    <w:rsid w:val="00A73D23"/>
    <w:rsid w:val="00A74D93"/>
    <w:rsid w:val="00A7641B"/>
    <w:rsid w:val="00A77501"/>
    <w:rsid w:val="00A77852"/>
    <w:rsid w:val="00A7794E"/>
    <w:rsid w:val="00A77C36"/>
    <w:rsid w:val="00A84E56"/>
    <w:rsid w:val="00A903D1"/>
    <w:rsid w:val="00A913F1"/>
    <w:rsid w:val="00A92E91"/>
    <w:rsid w:val="00A94F3F"/>
    <w:rsid w:val="00A9556C"/>
    <w:rsid w:val="00A96E01"/>
    <w:rsid w:val="00AA2E8A"/>
    <w:rsid w:val="00AA3AE4"/>
    <w:rsid w:val="00AA44B0"/>
    <w:rsid w:val="00AA4B46"/>
    <w:rsid w:val="00AA5F92"/>
    <w:rsid w:val="00AB11C2"/>
    <w:rsid w:val="00AB1599"/>
    <w:rsid w:val="00AB202A"/>
    <w:rsid w:val="00AB35F6"/>
    <w:rsid w:val="00AB7660"/>
    <w:rsid w:val="00AC3055"/>
    <w:rsid w:val="00AC36EE"/>
    <w:rsid w:val="00AC485F"/>
    <w:rsid w:val="00AC539B"/>
    <w:rsid w:val="00AC57FC"/>
    <w:rsid w:val="00AC647D"/>
    <w:rsid w:val="00AC6843"/>
    <w:rsid w:val="00AC7A50"/>
    <w:rsid w:val="00AD0A7A"/>
    <w:rsid w:val="00AD1815"/>
    <w:rsid w:val="00AD1D57"/>
    <w:rsid w:val="00AD5643"/>
    <w:rsid w:val="00AD7587"/>
    <w:rsid w:val="00AD76FE"/>
    <w:rsid w:val="00AD7B2A"/>
    <w:rsid w:val="00AE0BBB"/>
    <w:rsid w:val="00AE2B06"/>
    <w:rsid w:val="00AE3DE2"/>
    <w:rsid w:val="00AE3E33"/>
    <w:rsid w:val="00AE5450"/>
    <w:rsid w:val="00AE55AB"/>
    <w:rsid w:val="00AE6E5B"/>
    <w:rsid w:val="00AE7857"/>
    <w:rsid w:val="00AE7D2E"/>
    <w:rsid w:val="00AF0777"/>
    <w:rsid w:val="00AF2E02"/>
    <w:rsid w:val="00AF3BAF"/>
    <w:rsid w:val="00AF3E1C"/>
    <w:rsid w:val="00AF43E5"/>
    <w:rsid w:val="00AF467F"/>
    <w:rsid w:val="00AF4C0C"/>
    <w:rsid w:val="00AF6519"/>
    <w:rsid w:val="00AF75D2"/>
    <w:rsid w:val="00AF7935"/>
    <w:rsid w:val="00AF7D77"/>
    <w:rsid w:val="00B00C40"/>
    <w:rsid w:val="00B01067"/>
    <w:rsid w:val="00B026DD"/>
    <w:rsid w:val="00B04964"/>
    <w:rsid w:val="00B04C52"/>
    <w:rsid w:val="00B05F6E"/>
    <w:rsid w:val="00B0634C"/>
    <w:rsid w:val="00B06652"/>
    <w:rsid w:val="00B07047"/>
    <w:rsid w:val="00B072A7"/>
    <w:rsid w:val="00B1137F"/>
    <w:rsid w:val="00B14392"/>
    <w:rsid w:val="00B1635E"/>
    <w:rsid w:val="00B16D9E"/>
    <w:rsid w:val="00B16F01"/>
    <w:rsid w:val="00B173BB"/>
    <w:rsid w:val="00B17B88"/>
    <w:rsid w:val="00B20D89"/>
    <w:rsid w:val="00B21877"/>
    <w:rsid w:val="00B21C67"/>
    <w:rsid w:val="00B25208"/>
    <w:rsid w:val="00B26035"/>
    <w:rsid w:val="00B2680C"/>
    <w:rsid w:val="00B26A0B"/>
    <w:rsid w:val="00B26A7B"/>
    <w:rsid w:val="00B26C9D"/>
    <w:rsid w:val="00B3054D"/>
    <w:rsid w:val="00B30FCC"/>
    <w:rsid w:val="00B31952"/>
    <w:rsid w:val="00B3217C"/>
    <w:rsid w:val="00B32636"/>
    <w:rsid w:val="00B34BEF"/>
    <w:rsid w:val="00B3592E"/>
    <w:rsid w:val="00B35A08"/>
    <w:rsid w:val="00B36172"/>
    <w:rsid w:val="00B363D5"/>
    <w:rsid w:val="00B373E7"/>
    <w:rsid w:val="00B400B3"/>
    <w:rsid w:val="00B42671"/>
    <w:rsid w:val="00B42814"/>
    <w:rsid w:val="00B44423"/>
    <w:rsid w:val="00B46388"/>
    <w:rsid w:val="00B522FC"/>
    <w:rsid w:val="00B53165"/>
    <w:rsid w:val="00B5346C"/>
    <w:rsid w:val="00B53B35"/>
    <w:rsid w:val="00B54BA8"/>
    <w:rsid w:val="00B54D8B"/>
    <w:rsid w:val="00B55AD4"/>
    <w:rsid w:val="00B565C5"/>
    <w:rsid w:val="00B56A32"/>
    <w:rsid w:val="00B60136"/>
    <w:rsid w:val="00B6019C"/>
    <w:rsid w:val="00B612FE"/>
    <w:rsid w:val="00B6211C"/>
    <w:rsid w:val="00B633D5"/>
    <w:rsid w:val="00B63EE8"/>
    <w:rsid w:val="00B641A4"/>
    <w:rsid w:val="00B65A2A"/>
    <w:rsid w:val="00B6780A"/>
    <w:rsid w:val="00B71A32"/>
    <w:rsid w:val="00B726D2"/>
    <w:rsid w:val="00B72C62"/>
    <w:rsid w:val="00B734D1"/>
    <w:rsid w:val="00B73A81"/>
    <w:rsid w:val="00B7685A"/>
    <w:rsid w:val="00B76981"/>
    <w:rsid w:val="00B80851"/>
    <w:rsid w:val="00B80BA6"/>
    <w:rsid w:val="00B818EC"/>
    <w:rsid w:val="00B82C64"/>
    <w:rsid w:val="00B84165"/>
    <w:rsid w:val="00B843EB"/>
    <w:rsid w:val="00B850D6"/>
    <w:rsid w:val="00B86155"/>
    <w:rsid w:val="00B873A5"/>
    <w:rsid w:val="00B873DB"/>
    <w:rsid w:val="00B873EB"/>
    <w:rsid w:val="00B87AF1"/>
    <w:rsid w:val="00B90B46"/>
    <w:rsid w:val="00B920B8"/>
    <w:rsid w:val="00B92E2C"/>
    <w:rsid w:val="00B9319E"/>
    <w:rsid w:val="00B93A5A"/>
    <w:rsid w:val="00B93D5B"/>
    <w:rsid w:val="00B93E00"/>
    <w:rsid w:val="00B9400D"/>
    <w:rsid w:val="00B94174"/>
    <w:rsid w:val="00B9476F"/>
    <w:rsid w:val="00B94C16"/>
    <w:rsid w:val="00B94D61"/>
    <w:rsid w:val="00B95EE7"/>
    <w:rsid w:val="00B9725B"/>
    <w:rsid w:val="00BA1285"/>
    <w:rsid w:val="00BA1924"/>
    <w:rsid w:val="00BA1F71"/>
    <w:rsid w:val="00BA2A87"/>
    <w:rsid w:val="00BA5720"/>
    <w:rsid w:val="00BA7D5D"/>
    <w:rsid w:val="00BB1A61"/>
    <w:rsid w:val="00BB2EE3"/>
    <w:rsid w:val="00BB3AE9"/>
    <w:rsid w:val="00BB3F07"/>
    <w:rsid w:val="00BC3088"/>
    <w:rsid w:val="00BC42A5"/>
    <w:rsid w:val="00BC43BD"/>
    <w:rsid w:val="00BC4C4D"/>
    <w:rsid w:val="00BC53F5"/>
    <w:rsid w:val="00BC5A62"/>
    <w:rsid w:val="00BC6807"/>
    <w:rsid w:val="00BC6B54"/>
    <w:rsid w:val="00BC78B5"/>
    <w:rsid w:val="00BD020D"/>
    <w:rsid w:val="00BD05C4"/>
    <w:rsid w:val="00BD17AE"/>
    <w:rsid w:val="00BD1806"/>
    <w:rsid w:val="00BD1E5C"/>
    <w:rsid w:val="00BD28C5"/>
    <w:rsid w:val="00BD2AF3"/>
    <w:rsid w:val="00BD2C70"/>
    <w:rsid w:val="00BD429C"/>
    <w:rsid w:val="00BD68D6"/>
    <w:rsid w:val="00BD78A5"/>
    <w:rsid w:val="00BE0824"/>
    <w:rsid w:val="00BE1EEC"/>
    <w:rsid w:val="00BE2B62"/>
    <w:rsid w:val="00BE2E20"/>
    <w:rsid w:val="00BE38E0"/>
    <w:rsid w:val="00BE5353"/>
    <w:rsid w:val="00BE7286"/>
    <w:rsid w:val="00BE7BC6"/>
    <w:rsid w:val="00BF06F5"/>
    <w:rsid w:val="00BF2830"/>
    <w:rsid w:val="00BF34CD"/>
    <w:rsid w:val="00BF3549"/>
    <w:rsid w:val="00BF4F6D"/>
    <w:rsid w:val="00BF5D07"/>
    <w:rsid w:val="00C018AC"/>
    <w:rsid w:val="00C044CC"/>
    <w:rsid w:val="00C06BD7"/>
    <w:rsid w:val="00C07A33"/>
    <w:rsid w:val="00C1091A"/>
    <w:rsid w:val="00C10CB7"/>
    <w:rsid w:val="00C123A5"/>
    <w:rsid w:val="00C12693"/>
    <w:rsid w:val="00C13180"/>
    <w:rsid w:val="00C132CB"/>
    <w:rsid w:val="00C1387E"/>
    <w:rsid w:val="00C13AD7"/>
    <w:rsid w:val="00C13C5A"/>
    <w:rsid w:val="00C14131"/>
    <w:rsid w:val="00C1421B"/>
    <w:rsid w:val="00C14692"/>
    <w:rsid w:val="00C159E3"/>
    <w:rsid w:val="00C17305"/>
    <w:rsid w:val="00C2109B"/>
    <w:rsid w:val="00C2117E"/>
    <w:rsid w:val="00C21588"/>
    <w:rsid w:val="00C21DC9"/>
    <w:rsid w:val="00C21E15"/>
    <w:rsid w:val="00C22AF7"/>
    <w:rsid w:val="00C2325C"/>
    <w:rsid w:val="00C2393A"/>
    <w:rsid w:val="00C2404B"/>
    <w:rsid w:val="00C24BCA"/>
    <w:rsid w:val="00C258F7"/>
    <w:rsid w:val="00C259AD"/>
    <w:rsid w:val="00C25ECB"/>
    <w:rsid w:val="00C26502"/>
    <w:rsid w:val="00C26FC4"/>
    <w:rsid w:val="00C3024C"/>
    <w:rsid w:val="00C307B6"/>
    <w:rsid w:val="00C30854"/>
    <w:rsid w:val="00C31E4F"/>
    <w:rsid w:val="00C3248F"/>
    <w:rsid w:val="00C32D02"/>
    <w:rsid w:val="00C332A3"/>
    <w:rsid w:val="00C333B3"/>
    <w:rsid w:val="00C33E84"/>
    <w:rsid w:val="00C3610E"/>
    <w:rsid w:val="00C378F0"/>
    <w:rsid w:val="00C41E6F"/>
    <w:rsid w:val="00C4251B"/>
    <w:rsid w:val="00C431CD"/>
    <w:rsid w:val="00C45963"/>
    <w:rsid w:val="00C45A24"/>
    <w:rsid w:val="00C466F3"/>
    <w:rsid w:val="00C504FB"/>
    <w:rsid w:val="00C509E2"/>
    <w:rsid w:val="00C516B9"/>
    <w:rsid w:val="00C51B37"/>
    <w:rsid w:val="00C534D5"/>
    <w:rsid w:val="00C54CB3"/>
    <w:rsid w:val="00C54F60"/>
    <w:rsid w:val="00C55D1F"/>
    <w:rsid w:val="00C56D94"/>
    <w:rsid w:val="00C5715C"/>
    <w:rsid w:val="00C60577"/>
    <w:rsid w:val="00C6095E"/>
    <w:rsid w:val="00C61F3D"/>
    <w:rsid w:val="00C626A6"/>
    <w:rsid w:val="00C62F27"/>
    <w:rsid w:val="00C64776"/>
    <w:rsid w:val="00C648BB"/>
    <w:rsid w:val="00C655E3"/>
    <w:rsid w:val="00C66F40"/>
    <w:rsid w:val="00C723D2"/>
    <w:rsid w:val="00C736C1"/>
    <w:rsid w:val="00C74C12"/>
    <w:rsid w:val="00C75DE6"/>
    <w:rsid w:val="00C76A3A"/>
    <w:rsid w:val="00C76DF3"/>
    <w:rsid w:val="00C77551"/>
    <w:rsid w:val="00C77953"/>
    <w:rsid w:val="00C801D0"/>
    <w:rsid w:val="00C81AB4"/>
    <w:rsid w:val="00C849C5"/>
    <w:rsid w:val="00C84AB2"/>
    <w:rsid w:val="00C85B46"/>
    <w:rsid w:val="00C860A1"/>
    <w:rsid w:val="00C864D1"/>
    <w:rsid w:val="00C8661C"/>
    <w:rsid w:val="00C900ED"/>
    <w:rsid w:val="00C91475"/>
    <w:rsid w:val="00C92310"/>
    <w:rsid w:val="00C92E07"/>
    <w:rsid w:val="00C94CFD"/>
    <w:rsid w:val="00C94FCA"/>
    <w:rsid w:val="00C9536A"/>
    <w:rsid w:val="00CA0219"/>
    <w:rsid w:val="00CA1B60"/>
    <w:rsid w:val="00CA3B88"/>
    <w:rsid w:val="00CA4302"/>
    <w:rsid w:val="00CA51FD"/>
    <w:rsid w:val="00CA57D9"/>
    <w:rsid w:val="00CA72A0"/>
    <w:rsid w:val="00CA7D30"/>
    <w:rsid w:val="00CA7EC3"/>
    <w:rsid w:val="00CB21DB"/>
    <w:rsid w:val="00CB294B"/>
    <w:rsid w:val="00CB33D2"/>
    <w:rsid w:val="00CB4504"/>
    <w:rsid w:val="00CB4667"/>
    <w:rsid w:val="00CB4FEC"/>
    <w:rsid w:val="00CB6682"/>
    <w:rsid w:val="00CB6CAF"/>
    <w:rsid w:val="00CC061F"/>
    <w:rsid w:val="00CC1AD3"/>
    <w:rsid w:val="00CC2685"/>
    <w:rsid w:val="00CC2865"/>
    <w:rsid w:val="00CC28E1"/>
    <w:rsid w:val="00CC3237"/>
    <w:rsid w:val="00CC364A"/>
    <w:rsid w:val="00CC3B3C"/>
    <w:rsid w:val="00CC4C77"/>
    <w:rsid w:val="00CC77C5"/>
    <w:rsid w:val="00CC7827"/>
    <w:rsid w:val="00CD04BA"/>
    <w:rsid w:val="00CD0E2A"/>
    <w:rsid w:val="00CD1FBB"/>
    <w:rsid w:val="00CD2425"/>
    <w:rsid w:val="00CD32E9"/>
    <w:rsid w:val="00CD3FE8"/>
    <w:rsid w:val="00CD469F"/>
    <w:rsid w:val="00CD46AC"/>
    <w:rsid w:val="00CD5260"/>
    <w:rsid w:val="00CD5796"/>
    <w:rsid w:val="00CD60AA"/>
    <w:rsid w:val="00CD6FCD"/>
    <w:rsid w:val="00CD7ABD"/>
    <w:rsid w:val="00CD7C9B"/>
    <w:rsid w:val="00CD7CF8"/>
    <w:rsid w:val="00CD7F7D"/>
    <w:rsid w:val="00CE12FA"/>
    <w:rsid w:val="00CE32FC"/>
    <w:rsid w:val="00CE4044"/>
    <w:rsid w:val="00CE553E"/>
    <w:rsid w:val="00CE6DB1"/>
    <w:rsid w:val="00CE6EC2"/>
    <w:rsid w:val="00CE73D4"/>
    <w:rsid w:val="00CE7DC1"/>
    <w:rsid w:val="00CF02F4"/>
    <w:rsid w:val="00CF2013"/>
    <w:rsid w:val="00CF30B2"/>
    <w:rsid w:val="00CF3BC3"/>
    <w:rsid w:val="00CF5EFA"/>
    <w:rsid w:val="00CF6074"/>
    <w:rsid w:val="00CF64FF"/>
    <w:rsid w:val="00D045D7"/>
    <w:rsid w:val="00D065E2"/>
    <w:rsid w:val="00D10BCE"/>
    <w:rsid w:val="00D1121C"/>
    <w:rsid w:val="00D1165A"/>
    <w:rsid w:val="00D11A74"/>
    <w:rsid w:val="00D14C81"/>
    <w:rsid w:val="00D14D31"/>
    <w:rsid w:val="00D1608A"/>
    <w:rsid w:val="00D16AFF"/>
    <w:rsid w:val="00D171F1"/>
    <w:rsid w:val="00D2058D"/>
    <w:rsid w:val="00D30088"/>
    <w:rsid w:val="00D31058"/>
    <w:rsid w:val="00D31CB7"/>
    <w:rsid w:val="00D31F03"/>
    <w:rsid w:val="00D32D85"/>
    <w:rsid w:val="00D337DB"/>
    <w:rsid w:val="00D34644"/>
    <w:rsid w:val="00D349D8"/>
    <w:rsid w:val="00D359D9"/>
    <w:rsid w:val="00D35D12"/>
    <w:rsid w:val="00D3696A"/>
    <w:rsid w:val="00D37CA3"/>
    <w:rsid w:val="00D37F48"/>
    <w:rsid w:val="00D40443"/>
    <w:rsid w:val="00D40879"/>
    <w:rsid w:val="00D409F2"/>
    <w:rsid w:val="00D42D74"/>
    <w:rsid w:val="00D4395B"/>
    <w:rsid w:val="00D459FF"/>
    <w:rsid w:val="00D511B3"/>
    <w:rsid w:val="00D514FF"/>
    <w:rsid w:val="00D525DB"/>
    <w:rsid w:val="00D52F24"/>
    <w:rsid w:val="00D530F4"/>
    <w:rsid w:val="00D53A09"/>
    <w:rsid w:val="00D5417C"/>
    <w:rsid w:val="00D544AA"/>
    <w:rsid w:val="00D54D93"/>
    <w:rsid w:val="00D54E9B"/>
    <w:rsid w:val="00D5632F"/>
    <w:rsid w:val="00D56581"/>
    <w:rsid w:val="00D63112"/>
    <w:rsid w:val="00D63C84"/>
    <w:rsid w:val="00D63FC7"/>
    <w:rsid w:val="00D648E7"/>
    <w:rsid w:val="00D650F7"/>
    <w:rsid w:val="00D6603E"/>
    <w:rsid w:val="00D66058"/>
    <w:rsid w:val="00D67216"/>
    <w:rsid w:val="00D678D8"/>
    <w:rsid w:val="00D67E39"/>
    <w:rsid w:val="00D67FE3"/>
    <w:rsid w:val="00D70705"/>
    <w:rsid w:val="00D70876"/>
    <w:rsid w:val="00D7248F"/>
    <w:rsid w:val="00D72829"/>
    <w:rsid w:val="00D75088"/>
    <w:rsid w:val="00D75C58"/>
    <w:rsid w:val="00D77E7B"/>
    <w:rsid w:val="00D8264D"/>
    <w:rsid w:val="00D83705"/>
    <w:rsid w:val="00D83B9C"/>
    <w:rsid w:val="00D855D3"/>
    <w:rsid w:val="00D862A3"/>
    <w:rsid w:val="00D90031"/>
    <w:rsid w:val="00D90286"/>
    <w:rsid w:val="00D91077"/>
    <w:rsid w:val="00D93A06"/>
    <w:rsid w:val="00D9415A"/>
    <w:rsid w:val="00D95F65"/>
    <w:rsid w:val="00D969DA"/>
    <w:rsid w:val="00DA0BD9"/>
    <w:rsid w:val="00DA124C"/>
    <w:rsid w:val="00DA1473"/>
    <w:rsid w:val="00DA1DD5"/>
    <w:rsid w:val="00DA295E"/>
    <w:rsid w:val="00DA49D4"/>
    <w:rsid w:val="00DA4C99"/>
    <w:rsid w:val="00DA5472"/>
    <w:rsid w:val="00DA580D"/>
    <w:rsid w:val="00DA6B05"/>
    <w:rsid w:val="00DA7146"/>
    <w:rsid w:val="00DA765E"/>
    <w:rsid w:val="00DB0641"/>
    <w:rsid w:val="00DB1141"/>
    <w:rsid w:val="00DB11F8"/>
    <w:rsid w:val="00DB1849"/>
    <w:rsid w:val="00DB229C"/>
    <w:rsid w:val="00DB3B87"/>
    <w:rsid w:val="00DB41FC"/>
    <w:rsid w:val="00DB45C3"/>
    <w:rsid w:val="00DB4724"/>
    <w:rsid w:val="00DB513E"/>
    <w:rsid w:val="00DB5727"/>
    <w:rsid w:val="00DB585F"/>
    <w:rsid w:val="00DB6875"/>
    <w:rsid w:val="00DB739C"/>
    <w:rsid w:val="00DB7E6C"/>
    <w:rsid w:val="00DC0418"/>
    <w:rsid w:val="00DC1602"/>
    <w:rsid w:val="00DC21E4"/>
    <w:rsid w:val="00DC3D11"/>
    <w:rsid w:val="00DC47F0"/>
    <w:rsid w:val="00DC62CA"/>
    <w:rsid w:val="00DC6935"/>
    <w:rsid w:val="00DC70FE"/>
    <w:rsid w:val="00DC7351"/>
    <w:rsid w:val="00DC789A"/>
    <w:rsid w:val="00DD053E"/>
    <w:rsid w:val="00DD08B3"/>
    <w:rsid w:val="00DD0AD9"/>
    <w:rsid w:val="00DD0F0A"/>
    <w:rsid w:val="00DD19C8"/>
    <w:rsid w:val="00DD1CE7"/>
    <w:rsid w:val="00DD2A74"/>
    <w:rsid w:val="00DD2B21"/>
    <w:rsid w:val="00DD35AD"/>
    <w:rsid w:val="00DD42A4"/>
    <w:rsid w:val="00DD4322"/>
    <w:rsid w:val="00DD4685"/>
    <w:rsid w:val="00DD6097"/>
    <w:rsid w:val="00DD7681"/>
    <w:rsid w:val="00DE0784"/>
    <w:rsid w:val="00DE129C"/>
    <w:rsid w:val="00DE3CD7"/>
    <w:rsid w:val="00DE63B0"/>
    <w:rsid w:val="00DE73DD"/>
    <w:rsid w:val="00DE74C0"/>
    <w:rsid w:val="00DF2E4B"/>
    <w:rsid w:val="00DF3370"/>
    <w:rsid w:val="00DF362D"/>
    <w:rsid w:val="00DF4A00"/>
    <w:rsid w:val="00DF51FE"/>
    <w:rsid w:val="00DF6063"/>
    <w:rsid w:val="00DF6085"/>
    <w:rsid w:val="00DF7D37"/>
    <w:rsid w:val="00E01149"/>
    <w:rsid w:val="00E017EF"/>
    <w:rsid w:val="00E022CF"/>
    <w:rsid w:val="00E02806"/>
    <w:rsid w:val="00E02BC2"/>
    <w:rsid w:val="00E0385A"/>
    <w:rsid w:val="00E03E88"/>
    <w:rsid w:val="00E03EF2"/>
    <w:rsid w:val="00E05B34"/>
    <w:rsid w:val="00E10EC8"/>
    <w:rsid w:val="00E13028"/>
    <w:rsid w:val="00E1532C"/>
    <w:rsid w:val="00E16D86"/>
    <w:rsid w:val="00E17473"/>
    <w:rsid w:val="00E206F6"/>
    <w:rsid w:val="00E21015"/>
    <w:rsid w:val="00E212E3"/>
    <w:rsid w:val="00E23375"/>
    <w:rsid w:val="00E23502"/>
    <w:rsid w:val="00E25646"/>
    <w:rsid w:val="00E25657"/>
    <w:rsid w:val="00E25840"/>
    <w:rsid w:val="00E25BDD"/>
    <w:rsid w:val="00E26099"/>
    <w:rsid w:val="00E27008"/>
    <w:rsid w:val="00E273BF"/>
    <w:rsid w:val="00E27935"/>
    <w:rsid w:val="00E27FBA"/>
    <w:rsid w:val="00E301B5"/>
    <w:rsid w:val="00E34FC9"/>
    <w:rsid w:val="00E373C7"/>
    <w:rsid w:val="00E37EA7"/>
    <w:rsid w:val="00E4100A"/>
    <w:rsid w:val="00E4109C"/>
    <w:rsid w:val="00E42001"/>
    <w:rsid w:val="00E444F8"/>
    <w:rsid w:val="00E44B26"/>
    <w:rsid w:val="00E46540"/>
    <w:rsid w:val="00E503D1"/>
    <w:rsid w:val="00E50B23"/>
    <w:rsid w:val="00E5178F"/>
    <w:rsid w:val="00E53C21"/>
    <w:rsid w:val="00E54B85"/>
    <w:rsid w:val="00E54DAC"/>
    <w:rsid w:val="00E553F4"/>
    <w:rsid w:val="00E559FA"/>
    <w:rsid w:val="00E562F8"/>
    <w:rsid w:val="00E566A6"/>
    <w:rsid w:val="00E5716E"/>
    <w:rsid w:val="00E57D54"/>
    <w:rsid w:val="00E60014"/>
    <w:rsid w:val="00E61614"/>
    <w:rsid w:val="00E61A75"/>
    <w:rsid w:val="00E621D4"/>
    <w:rsid w:val="00E632C6"/>
    <w:rsid w:val="00E645F1"/>
    <w:rsid w:val="00E64673"/>
    <w:rsid w:val="00E653AD"/>
    <w:rsid w:val="00E66B1D"/>
    <w:rsid w:val="00E6758A"/>
    <w:rsid w:val="00E70C6D"/>
    <w:rsid w:val="00E72931"/>
    <w:rsid w:val="00E72BDC"/>
    <w:rsid w:val="00E72DB6"/>
    <w:rsid w:val="00E73234"/>
    <w:rsid w:val="00E73D15"/>
    <w:rsid w:val="00E749CC"/>
    <w:rsid w:val="00E75F80"/>
    <w:rsid w:val="00E774C4"/>
    <w:rsid w:val="00E808A9"/>
    <w:rsid w:val="00E8172D"/>
    <w:rsid w:val="00E8207F"/>
    <w:rsid w:val="00E82472"/>
    <w:rsid w:val="00E826A4"/>
    <w:rsid w:val="00E83154"/>
    <w:rsid w:val="00E84BA9"/>
    <w:rsid w:val="00E855BE"/>
    <w:rsid w:val="00E85A64"/>
    <w:rsid w:val="00E85D44"/>
    <w:rsid w:val="00E90591"/>
    <w:rsid w:val="00E90E28"/>
    <w:rsid w:val="00E9160F"/>
    <w:rsid w:val="00E91C46"/>
    <w:rsid w:val="00E954C5"/>
    <w:rsid w:val="00E96E5D"/>
    <w:rsid w:val="00E97760"/>
    <w:rsid w:val="00E97932"/>
    <w:rsid w:val="00E97B88"/>
    <w:rsid w:val="00EA243E"/>
    <w:rsid w:val="00EA27AE"/>
    <w:rsid w:val="00EA3353"/>
    <w:rsid w:val="00EA43B8"/>
    <w:rsid w:val="00EA46D4"/>
    <w:rsid w:val="00EA7B39"/>
    <w:rsid w:val="00EB07FE"/>
    <w:rsid w:val="00EB1334"/>
    <w:rsid w:val="00EB1386"/>
    <w:rsid w:val="00EB21F4"/>
    <w:rsid w:val="00EB2345"/>
    <w:rsid w:val="00EB24B3"/>
    <w:rsid w:val="00EB267E"/>
    <w:rsid w:val="00EB4A62"/>
    <w:rsid w:val="00EB4E7A"/>
    <w:rsid w:val="00EB5B12"/>
    <w:rsid w:val="00EB6C7E"/>
    <w:rsid w:val="00EC0090"/>
    <w:rsid w:val="00EC0943"/>
    <w:rsid w:val="00EC0A62"/>
    <w:rsid w:val="00EC1E47"/>
    <w:rsid w:val="00EC3EF7"/>
    <w:rsid w:val="00EC3F57"/>
    <w:rsid w:val="00EC58CC"/>
    <w:rsid w:val="00EC758B"/>
    <w:rsid w:val="00ED01AB"/>
    <w:rsid w:val="00ED4A0B"/>
    <w:rsid w:val="00ED4E60"/>
    <w:rsid w:val="00ED54D1"/>
    <w:rsid w:val="00ED5893"/>
    <w:rsid w:val="00ED5F0B"/>
    <w:rsid w:val="00ED695F"/>
    <w:rsid w:val="00EE0369"/>
    <w:rsid w:val="00EE102D"/>
    <w:rsid w:val="00EE13DE"/>
    <w:rsid w:val="00EE13E1"/>
    <w:rsid w:val="00EE21C7"/>
    <w:rsid w:val="00EE38A7"/>
    <w:rsid w:val="00EE44C6"/>
    <w:rsid w:val="00EE4F58"/>
    <w:rsid w:val="00EE5BBA"/>
    <w:rsid w:val="00EE60E3"/>
    <w:rsid w:val="00EE7885"/>
    <w:rsid w:val="00EF06D3"/>
    <w:rsid w:val="00EF27F7"/>
    <w:rsid w:val="00EF318A"/>
    <w:rsid w:val="00EF373B"/>
    <w:rsid w:val="00EF3B46"/>
    <w:rsid w:val="00EF58C1"/>
    <w:rsid w:val="00EF60AA"/>
    <w:rsid w:val="00EF60C7"/>
    <w:rsid w:val="00EF6C66"/>
    <w:rsid w:val="00EF78D2"/>
    <w:rsid w:val="00F00039"/>
    <w:rsid w:val="00F006AE"/>
    <w:rsid w:val="00F01CD8"/>
    <w:rsid w:val="00F0252A"/>
    <w:rsid w:val="00F04112"/>
    <w:rsid w:val="00F04338"/>
    <w:rsid w:val="00F0577F"/>
    <w:rsid w:val="00F07E34"/>
    <w:rsid w:val="00F109CB"/>
    <w:rsid w:val="00F10C4C"/>
    <w:rsid w:val="00F1117A"/>
    <w:rsid w:val="00F12243"/>
    <w:rsid w:val="00F13390"/>
    <w:rsid w:val="00F13B12"/>
    <w:rsid w:val="00F14037"/>
    <w:rsid w:val="00F1407D"/>
    <w:rsid w:val="00F166E6"/>
    <w:rsid w:val="00F17F36"/>
    <w:rsid w:val="00F17FE8"/>
    <w:rsid w:val="00F217B2"/>
    <w:rsid w:val="00F22040"/>
    <w:rsid w:val="00F242BB"/>
    <w:rsid w:val="00F25396"/>
    <w:rsid w:val="00F25BF2"/>
    <w:rsid w:val="00F26DC2"/>
    <w:rsid w:val="00F26DEA"/>
    <w:rsid w:val="00F307AC"/>
    <w:rsid w:val="00F31E23"/>
    <w:rsid w:val="00F331E7"/>
    <w:rsid w:val="00F332BE"/>
    <w:rsid w:val="00F33365"/>
    <w:rsid w:val="00F33D5E"/>
    <w:rsid w:val="00F355DA"/>
    <w:rsid w:val="00F36A20"/>
    <w:rsid w:val="00F36DDF"/>
    <w:rsid w:val="00F413F2"/>
    <w:rsid w:val="00F416AF"/>
    <w:rsid w:val="00F42E5E"/>
    <w:rsid w:val="00F44D7D"/>
    <w:rsid w:val="00F45CB6"/>
    <w:rsid w:val="00F4746C"/>
    <w:rsid w:val="00F475DF"/>
    <w:rsid w:val="00F51189"/>
    <w:rsid w:val="00F52CA2"/>
    <w:rsid w:val="00F539A6"/>
    <w:rsid w:val="00F5557E"/>
    <w:rsid w:val="00F55681"/>
    <w:rsid w:val="00F56D99"/>
    <w:rsid w:val="00F5734A"/>
    <w:rsid w:val="00F600FB"/>
    <w:rsid w:val="00F60E6D"/>
    <w:rsid w:val="00F612AE"/>
    <w:rsid w:val="00F618A4"/>
    <w:rsid w:val="00F62AD8"/>
    <w:rsid w:val="00F634B6"/>
    <w:rsid w:val="00F63F43"/>
    <w:rsid w:val="00F64417"/>
    <w:rsid w:val="00F66463"/>
    <w:rsid w:val="00F67AF6"/>
    <w:rsid w:val="00F718E0"/>
    <w:rsid w:val="00F7195F"/>
    <w:rsid w:val="00F7621E"/>
    <w:rsid w:val="00F8412E"/>
    <w:rsid w:val="00F8485A"/>
    <w:rsid w:val="00F85122"/>
    <w:rsid w:val="00F85628"/>
    <w:rsid w:val="00F86165"/>
    <w:rsid w:val="00F87110"/>
    <w:rsid w:val="00F90ED4"/>
    <w:rsid w:val="00F921A2"/>
    <w:rsid w:val="00F9549E"/>
    <w:rsid w:val="00F965CD"/>
    <w:rsid w:val="00FA08FA"/>
    <w:rsid w:val="00FA0B66"/>
    <w:rsid w:val="00FA29FF"/>
    <w:rsid w:val="00FA423F"/>
    <w:rsid w:val="00FA42E8"/>
    <w:rsid w:val="00FA4502"/>
    <w:rsid w:val="00FA5901"/>
    <w:rsid w:val="00FA687C"/>
    <w:rsid w:val="00FA7D9E"/>
    <w:rsid w:val="00FB0313"/>
    <w:rsid w:val="00FB1254"/>
    <w:rsid w:val="00FB188F"/>
    <w:rsid w:val="00FB1D13"/>
    <w:rsid w:val="00FB21AD"/>
    <w:rsid w:val="00FB37EF"/>
    <w:rsid w:val="00FB45C0"/>
    <w:rsid w:val="00FB6185"/>
    <w:rsid w:val="00FB6B02"/>
    <w:rsid w:val="00FB6FA4"/>
    <w:rsid w:val="00FB703B"/>
    <w:rsid w:val="00FC151A"/>
    <w:rsid w:val="00FC6714"/>
    <w:rsid w:val="00FC6767"/>
    <w:rsid w:val="00FD49FB"/>
    <w:rsid w:val="00FD7826"/>
    <w:rsid w:val="00FE088D"/>
    <w:rsid w:val="00FE28F2"/>
    <w:rsid w:val="00FE34AE"/>
    <w:rsid w:val="00FE570D"/>
    <w:rsid w:val="00FE7F6A"/>
    <w:rsid w:val="00FF043B"/>
    <w:rsid w:val="00FF0899"/>
    <w:rsid w:val="00FF1570"/>
    <w:rsid w:val="00FF203D"/>
    <w:rsid w:val="00FF3303"/>
    <w:rsid w:val="00FF3727"/>
    <w:rsid w:val="00FF3A53"/>
    <w:rsid w:val="00FF5093"/>
    <w:rsid w:val="00FF5F18"/>
    <w:rsid w:val="15DF277C"/>
    <w:rsid w:val="187F2B40"/>
    <w:rsid w:val="28376267"/>
    <w:rsid w:val="2BB53D21"/>
    <w:rsid w:val="36D46792"/>
    <w:rsid w:val="39CE644F"/>
    <w:rsid w:val="64455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16"/>
    <w:qFormat/>
    <w:uiPriority w:val="9"/>
    <w:pPr>
      <w:keepNext/>
      <w:keepLines/>
      <w:outlineLvl w:val="0"/>
    </w:pPr>
    <w:rPr>
      <w:rFonts w:eastAsia="黑体"/>
      <w:bCs/>
      <w:kern w:val="44"/>
      <w:szCs w:val="44"/>
    </w:rPr>
  </w:style>
  <w:style w:type="paragraph" w:styleId="3">
    <w:name w:val="heading 2"/>
    <w:basedOn w:val="1"/>
    <w:next w:val="1"/>
    <w:link w:val="17"/>
    <w:unhideWhenUsed/>
    <w:qFormat/>
    <w:uiPriority w:val="9"/>
    <w:pPr>
      <w:keepNext/>
      <w:keepLines/>
      <w:outlineLvl w:val="1"/>
    </w:pPr>
    <w:rPr>
      <w:rFonts w:eastAsia="楷体_GB2312" w:cstheme="majorBidi"/>
      <w:bCs/>
      <w:szCs w:val="32"/>
    </w:rPr>
  </w:style>
  <w:style w:type="paragraph" w:styleId="4">
    <w:name w:val="heading 3"/>
    <w:basedOn w:val="1"/>
    <w:next w:val="1"/>
    <w:link w:val="18"/>
    <w:unhideWhenUsed/>
    <w:qFormat/>
    <w:uiPriority w:val="9"/>
    <w:pPr>
      <w:keepNext/>
      <w:keepLines/>
      <w:outlineLvl w:val="2"/>
    </w:pPr>
    <w:rPr>
      <w:bCs/>
      <w:szCs w:val="32"/>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footer"/>
    <w:basedOn w:val="1"/>
    <w:link w:val="20"/>
    <w:unhideWhenUsed/>
    <w:qFormat/>
    <w:uiPriority w:val="99"/>
    <w:pPr>
      <w:tabs>
        <w:tab w:val="center" w:pos="4153"/>
        <w:tab w:val="right" w:pos="8306"/>
      </w:tabs>
      <w:snapToGrid w:val="0"/>
      <w:spacing w:line="240" w:lineRule="atLeast"/>
      <w:jc w:val="left"/>
    </w:pPr>
    <w:rPr>
      <w:sz w:val="18"/>
      <w:szCs w:val="18"/>
    </w:rPr>
  </w:style>
  <w:style w:type="paragraph" w:styleId="6">
    <w:name w:val="header"/>
    <w:basedOn w:val="1"/>
    <w:link w:val="19"/>
    <w:unhideWhenUsed/>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7">
    <w:name w:val="toc 1"/>
    <w:basedOn w:val="1"/>
    <w:next w:val="1"/>
    <w:unhideWhenUsed/>
    <w:qFormat/>
    <w:uiPriority w:val="39"/>
    <w:pPr>
      <w:ind w:firstLine="0" w:firstLineChars="0"/>
    </w:pPr>
    <w:rPr>
      <w:rFonts w:eastAsia="黑体"/>
    </w:rPr>
  </w:style>
  <w:style w:type="paragraph" w:styleId="8">
    <w:name w:val="footnote text"/>
    <w:basedOn w:val="1"/>
    <w:link w:val="21"/>
    <w:semiHidden/>
    <w:unhideWhenUsed/>
    <w:qFormat/>
    <w:uiPriority w:val="99"/>
    <w:pPr>
      <w:snapToGrid w:val="0"/>
      <w:jc w:val="left"/>
    </w:pPr>
    <w:rPr>
      <w:sz w:val="18"/>
      <w:szCs w:val="18"/>
    </w:rPr>
  </w:style>
  <w:style w:type="paragraph" w:styleId="9">
    <w:name w:val="toc 2"/>
    <w:basedOn w:val="1"/>
    <w:next w:val="1"/>
    <w:unhideWhenUsed/>
    <w:uiPriority w:val="39"/>
    <w:pPr>
      <w:ind w:left="200" w:leftChars="200" w:firstLine="0" w:firstLineChars="0"/>
    </w:pPr>
    <w:rPr>
      <w:rFonts w:eastAsia="楷体_GB2312"/>
    </w:rPr>
  </w:style>
  <w:style w:type="paragraph" w:styleId="10">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uiPriority w:val="99"/>
    <w:rPr>
      <w:color w:val="0563C1" w:themeColor="hyperlink"/>
      <w:u w:val="single"/>
      <w14:textFill>
        <w14:solidFill>
          <w14:schemeClr w14:val="hlink"/>
        </w14:solidFill>
      </w14:textFill>
    </w:rPr>
  </w:style>
  <w:style w:type="character" w:styleId="15">
    <w:name w:val="footnote reference"/>
    <w:basedOn w:val="13"/>
    <w:semiHidden/>
    <w:unhideWhenUsed/>
    <w:qFormat/>
    <w:uiPriority w:val="99"/>
    <w:rPr>
      <w:vertAlign w:val="superscript"/>
    </w:rPr>
  </w:style>
  <w:style w:type="character" w:customStyle="1" w:styleId="16">
    <w:name w:val="标题 1 Char"/>
    <w:basedOn w:val="13"/>
    <w:link w:val="2"/>
    <w:uiPriority w:val="9"/>
    <w:rPr>
      <w:rFonts w:ascii="Times New Roman" w:hAnsi="Times New Roman" w:eastAsia="黑体"/>
      <w:bCs/>
      <w:kern w:val="44"/>
      <w:sz w:val="32"/>
      <w:szCs w:val="44"/>
    </w:rPr>
  </w:style>
  <w:style w:type="character" w:customStyle="1" w:styleId="17">
    <w:name w:val="标题 2 Char"/>
    <w:basedOn w:val="13"/>
    <w:link w:val="3"/>
    <w:qFormat/>
    <w:uiPriority w:val="9"/>
    <w:rPr>
      <w:rFonts w:ascii="Times New Roman" w:hAnsi="Times New Roman" w:eastAsia="楷体_GB2312" w:cstheme="majorBidi"/>
      <w:bCs/>
      <w:sz w:val="32"/>
      <w:szCs w:val="32"/>
    </w:rPr>
  </w:style>
  <w:style w:type="character" w:customStyle="1" w:styleId="18">
    <w:name w:val="标题 3 Char"/>
    <w:basedOn w:val="13"/>
    <w:link w:val="4"/>
    <w:uiPriority w:val="9"/>
    <w:rPr>
      <w:rFonts w:ascii="Times New Roman" w:hAnsi="Times New Roman" w:eastAsia="仿宋_GB2312"/>
      <w:bCs/>
      <w:sz w:val="32"/>
      <w:szCs w:val="32"/>
    </w:rPr>
  </w:style>
  <w:style w:type="character" w:customStyle="1" w:styleId="19">
    <w:name w:val="页眉 Char"/>
    <w:basedOn w:val="13"/>
    <w:link w:val="6"/>
    <w:uiPriority w:val="99"/>
    <w:rPr>
      <w:rFonts w:ascii="Times New Roman" w:hAnsi="Times New Roman" w:eastAsia="仿宋_GB2312"/>
      <w:sz w:val="18"/>
      <w:szCs w:val="18"/>
    </w:rPr>
  </w:style>
  <w:style w:type="character" w:customStyle="1" w:styleId="20">
    <w:name w:val="页脚 Char"/>
    <w:basedOn w:val="13"/>
    <w:link w:val="5"/>
    <w:uiPriority w:val="99"/>
    <w:rPr>
      <w:rFonts w:ascii="Times New Roman" w:hAnsi="Times New Roman" w:eastAsia="仿宋_GB2312"/>
      <w:sz w:val="18"/>
      <w:szCs w:val="18"/>
    </w:rPr>
  </w:style>
  <w:style w:type="character" w:customStyle="1" w:styleId="21">
    <w:name w:val="脚注文本 Char"/>
    <w:basedOn w:val="13"/>
    <w:link w:val="8"/>
    <w:semiHidden/>
    <w:uiPriority w:val="99"/>
    <w:rPr>
      <w:rFonts w:ascii="Times New Roman" w:hAnsi="Times New Roman" w:eastAsia="仿宋_GB231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43675-B820-4D9C-A8A8-8E4B177895A6}">
  <ds:schemaRefs/>
</ds:datastoreItem>
</file>

<file path=docProps/app.xml><?xml version="1.0" encoding="utf-8"?>
<Properties xmlns="http://schemas.openxmlformats.org/officeDocument/2006/extended-properties" xmlns:vt="http://schemas.openxmlformats.org/officeDocument/2006/docPropsVTypes">
  <Template>Normal.dotm</Template>
  <Pages>24</Pages>
  <Words>1768</Words>
  <Characters>10084</Characters>
  <Lines>84</Lines>
  <Paragraphs>23</Paragraphs>
  <TotalTime>3</TotalTime>
  <ScaleCrop>false</ScaleCrop>
  <LinksUpToDate>false</LinksUpToDate>
  <CharactersWithSpaces>11829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2021-06-16T16:04:00Z</dcterms:created>
  <dc:creator>Administrator</dc:creator>
  <cp:lastModifiedBy>彩Sē泡泡</cp:lastModifiedBy>
  <cp:lastPrinted>2021-04-14T07:34:00Z</cp:lastPrinted>
  <dcterms:modified xsi:type="dcterms:W3CDTF">2023-11-15T02:10:29Z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24B0A359D219442E87E3AFB0CB9AFB5A_13</vt:lpwstr>
  </property>
</Properties>
</file>