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left"/>
        <w:rPr>
          <w:rFonts w:ascii="微软雅黑" w:hAnsi="微软雅黑" w:eastAsia="微软雅黑" w:cs="微软雅黑"/>
          <w:b/>
          <w:bCs/>
          <w:color w:val="000000"/>
          <w:kern w:val="0"/>
          <w:sz w:val="30"/>
          <w:szCs w:val="30"/>
          <w:lang w:val="en-US" w:eastAsia="zh-CN" w:bidi="ar"/>
        </w:rPr>
      </w:pPr>
    </w:p>
    <w:p>
      <w:pPr>
        <w:pStyle w:val="8"/>
        <w:spacing w:line="360" w:lineRule="auto"/>
        <w:rPr>
          <w:lang w:val="en-US" w:eastAsia="zh-CN"/>
        </w:rPr>
      </w:pPr>
    </w:p>
    <w:p>
      <w:pPr>
        <w:keepNext w:val="0"/>
        <w:keepLines w:val="0"/>
        <w:widowControl/>
        <w:suppressLineNumbers w:val="0"/>
        <w:spacing w:line="360" w:lineRule="auto"/>
        <w:jc w:val="left"/>
        <w:rPr>
          <w:rFonts w:ascii="微软雅黑" w:hAnsi="微软雅黑" w:eastAsia="微软雅黑" w:cs="微软雅黑"/>
          <w:b/>
          <w:bCs/>
          <w:color w:val="000000"/>
          <w:kern w:val="0"/>
          <w:sz w:val="30"/>
          <w:szCs w:val="30"/>
          <w:lang w:val="en-US" w:eastAsia="zh-CN" w:bidi="ar"/>
        </w:rPr>
      </w:pPr>
    </w:p>
    <w:p>
      <w:pPr>
        <w:pStyle w:val="8"/>
        <w:spacing w:line="360" w:lineRule="auto"/>
        <w:rPr>
          <w:rFonts w:ascii="微软雅黑" w:hAnsi="微软雅黑" w:eastAsia="微软雅黑" w:cs="微软雅黑"/>
          <w:b/>
          <w:bCs/>
          <w:color w:val="000000"/>
          <w:kern w:val="0"/>
          <w:sz w:val="30"/>
          <w:szCs w:val="30"/>
          <w:lang w:val="en-US" w:eastAsia="zh-CN" w:bidi="ar"/>
        </w:rPr>
      </w:pPr>
    </w:p>
    <w:p>
      <w:pPr>
        <w:pStyle w:val="8"/>
        <w:spacing w:line="360" w:lineRule="auto"/>
        <w:rPr>
          <w:rFonts w:ascii="微软雅黑" w:hAnsi="微软雅黑" w:eastAsia="微软雅黑" w:cs="微软雅黑"/>
          <w:b/>
          <w:bCs/>
          <w:color w:val="000000"/>
          <w:kern w:val="0"/>
          <w:sz w:val="30"/>
          <w:szCs w:val="30"/>
          <w:lang w:val="en-US" w:eastAsia="zh-CN" w:bidi="ar"/>
        </w:rPr>
      </w:pPr>
    </w:p>
    <w:p>
      <w:pPr>
        <w:pStyle w:val="8"/>
        <w:spacing w:line="360" w:lineRule="auto"/>
        <w:rPr>
          <w:rFonts w:ascii="微软雅黑" w:hAnsi="微软雅黑" w:eastAsia="微软雅黑" w:cs="微软雅黑"/>
          <w:b/>
          <w:bCs/>
          <w:color w:val="000000"/>
          <w:kern w:val="0"/>
          <w:sz w:val="30"/>
          <w:szCs w:val="30"/>
          <w:lang w:val="en-US" w:eastAsia="zh-CN" w:bidi="ar"/>
        </w:rPr>
      </w:pPr>
    </w:p>
    <w:p>
      <w:pPr>
        <w:keepNext w:val="0"/>
        <w:keepLines w:val="0"/>
        <w:widowControl/>
        <w:suppressLineNumbers w:val="0"/>
        <w:spacing w:line="360" w:lineRule="auto"/>
        <w:jc w:val="center"/>
        <w:rPr>
          <w:sz w:val="56"/>
          <w:szCs w:val="56"/>
        </w:rPr>
      </w:pPr>
      <w:r>
        <w:rPr>
          <w:rFonts w:ascii="微软雅黑" w:hAnsi="微软雅黑" w:eastAsia="微软雅黑" w:cs="微软雅黑"/>
          <w:b/>
          <w:bCs/>
          <w:color w:val="000000"/>
          <w:kern w:val="0"/>
          <w:sz w:val="56"/>
          <w:szCs w:val="56"/>
          <w:lang w:val="en-US" w:eastAsia="zh-CN" w:bidi="ar"/>
        </w:rPr>
        <w:t>南通市海门区市场监督管理局</w:t>
      </w:r>
    </w:p>
    <w:p>
      <w:pPr>
        <w:keepNext w:val="0"/>
        <w:keepLines w:val="0"/>
        <w:widowControl/>
        <w:suppressLineNumbers w:val="0"/>
        <w:spacing w:line="360" w:lineRule="auto"/>
        <w:jc w:val="center"/>
        <w:rPr>
          <w:sz w:val="48"/>
          <w:szCs w:val="48"/>
        </w:rPr>
      </w:pPr>
      <w:r>
        <w:rPr>
          <w:rFonts w:hint="eastAsia" w:ascii="微软雅黑" w:hAnsi="微软雅黑" w:eastAsia="微软雅黑" w:cs="微软雅黑"/>
          <w:b/>
          <w:bCs/>
          <w:color w:val="000000"/>
          <w:kern w:val="0"/>
          <w:sz w:val="48"/>
          <w:szCs w:val="48"/>
          <w:lang w:val="en-US" w:eastAsia="zh-CN" w:bidi="ar"/>
        </w:rPr>
        <w:t>食品安全监督抽检工作情况分析报告</w:t>
      </w:r>
    </w:p>
    <w:p>
      <w:pPr>
        <w:keepNext w:val="0"/>
        <w:keepLines w:val="0"/>
        <w:widowControl/>
        <w:suppressLineNumbers w:val="0"/>
        <w:spacing w:line="360" w:lineRule="auto"/>
        <w:jc w:val="center"/>
        <w:rPr>
          <w:rFonts w:hint="eastAsia" w:ascii="微软雅黑" w:hAnsi="微软雅黑" w:eastAsia="微软雅黑" w:cs="微软雅黑"/>
          <w:b/>
          <w:bCs/>
          <w:color w:val="000000"/>
          <w:kern w:val="0"/>
          <w:sz w:val="48"/>
          <w:szCs w:val="48"/>
          <w:lang w:val="en-US" w:eastAsia="zh-CN" w:bidi="ar"/>
        </w:rPr>
      </w:pPr>
      <w:r>
        <w:rPr>
          <w:rFonts w:hint="eastAsia" w:ascii="微软雅黑" w:hAnsi="微软雅黑" w:eastAsia="微软雅黑" w:cs="微软雅黑"/>
          <w:b/>
          <w:bCs/>
          <w:color w:val="000000"/>
          <w:kern w:val="0"/>
          <w:sz w:val="48"/>
          <w:szCs w:val="48"/>
          <w:lang w:val="en-US" w:eastAsia="zh-CN" w:bidi="ar"/>
        </w:rPr>
        <w:t>（2023年）</w:t>
      </w:r>
    </w:p>
    <w:p>
      <w:pPr>
        <w:keepNext w:val="0"/>
        <w:keepLines w:val="0"/>
        <w:widowControl/>
        <w:suppressLineNumbers w:val="0"/>
        <w:spacing w:line="360" w:lineRule="auto"/>
        <w:jc w:val="left"/>
        <w:rPr>
          <w:rFonts w:hint="eastAsia" w:ascii="微软雅黑" w:hAnsi="微软雅黑" w:eastAsia="微软雅黑" w:cs="微软雅黑"/>
          <w:b/>
          <w:bCs/>
          <w:color w:val="000000"/>
          <w:kern w:val="0"/>
          <w:sz w:val="48"/>
          <w:szCs w:val="48"/>
          <w:lang w:val="en-US" w:eastAsia="zh-CN" w:bidi="ar"/>
        </w:rPr>
      </w:pPr>
    </w:p>
    <w:p>
      <w:pPr>
        <w:pStyle w:val="8"/>
        <w:spacing w:line="360" w:lineRule="auto"/>
        <w:rPr>
          <w:rFonts w:hint="eastAsia" w:ascii="微软雅黑" w:hAnsi="微软雅黑" w:eastAsia="微软雅黑" w:cs="微软雅黑"/>
          <w:b/>
          <w:bCs/>
          <w:color w:val="000000"/>
          <w:kern w:val="0"/>
          <w:sz w:val="48"/>
          <w:szCs w:val="48"/>
          <w:lang w:val="en-US" w:eastAsia="zh-CN" w:bidi="ar"/>
        </w:rPr>
      </w:pPr>
    </w:p>
    <w:p>
      <w:pPr>
        <w:pStyle w:val="8"/>
        <w:spacing w:line="360" w:lineRule="auto"/>
        <w:rPr>
          <w:rFonts w:hint="eastAsia" w:ascii="微软雅黑" w:hAnsi="微软雅黑" w:eastAsia="微软雅黑" w:cs="微软雅黑"/>
          <w:b/>
          <w:bCs/>
          <w:color w:val="000000"/>
          <w:kern w:val="0"/>
          <w:sz w:val="48"/>
          <w:szCs w:val="48"/>
          <w:lang w:val="en-US" w:eastAsia="zh-CN" w:bidi="ar"/>
        </w:rPr>
      </w:pPr>
    </w:p>
    <w:p>
      <w:pPr>
        <w:pStyle w:val="8"/>
        <w:spacing w:line="360" w:lineRule="auto"/>
        <w:rPr>
          <w:rFonts w:hint="eastAsia" w:ascii="微软雅黑" w:hAnsi="微软雅黑" w:eastAsia="微软雅黑" w:cs="微软雅黑"/>
          <w:b/>
          <w:bCs/>
          <w:color w:val="000000"/>
          <w:kern w:val="0"/>
          <w:sz w:val="48"/>
          <w:szCs w:val="48"/>
          <w:lang w:val="en-US" w:eastAsia="zh-CN" w:bidi="ar"/>
        </w:rPr>
      </w:pPr>
    </w:p>
    <w:p>
      <w:pPr>
        <w:keepNext w:val="0"/>
        <w:keepLines w:val="0"/>
        <w:widowControl/>
        <w:suppressLineNumbers w:val="0"/>
        <w:spacing w:line="360" w:lineRule="auto"/>
        <w:jc w:val="left"/>
        <w:rPr>
          <w:rFonts w:hint="eastAsia" w:ascii="微软雅黑" w:hAnsi="微软雅黑" w:eastAsia="微软雅黑" w:cs="微软雅黑"/>
          <w:b/>
          <w:bCs/>
          <w:color w:val="000000"/>
          <w:kern w:val="0"/>
          <w:sz w:val="48"/>
          <w:szCs w:val="48"/>
          <w:lang w:val="en-US" w:eastAsia="zh-CN" w:bidi="ar"/>
        </w:rPr>
      </w:pPr>
    </w:p>
    <w:p>
      <w:pPr>
        <w:keepNext w:val="0"/>
        <w:keepLines w:val="0"/>
        <w:widowControl/>
        <w:suppressLineNumbers w:val="0"/>
        <w:spacing w:line="360" w:lineRule="auto"/>
        <w:jc w:val="left"/>
        <w:rPr>
          <w:rFonts w:hint="eastAsia" w:ascii="微软雅黑" w:hAnsi="微软雅黑" w:eastAsia="微软雅黑" w:cs="微软雅黑"/>
          <w:b/>
          <w:bCs/>
          <w:color w:val="000000"/>
          <w:kern w:val="0"/>
          <w:sz w:val="48"/>
          <w:szCs w:val="48"/>
          <w:lang w:val="en-US" w:eastAsia="zh-CN" w:bidi="ar"/>
        </w:rPr>
      </w:pPr>
    </w:p>
    <w:p>
      <w:pPr>
        <w:keepNext w:val="0"/>
        <w:keepLines w:val="0"/>
        <w:widowControl/>
        <w:suppressLineNumbers w:val="0"/>
        <w:spacing w:line="360" w:lineRule="auto"/>
        <w:jc w:val="center"/>
        <w:rPr>
          <w:sz w:val="48"/>
          <w:szCs w:val="48"/>
        </w:rPr>
      </w:pPr>
      <w:r>
        <w:rPr>
          <w:rFonts w:ascii="仿宋" w:hAnsi="仿宋" w:eastAsia="仿宋" w:cs="仿宋"/>
          <w:color w:val="000000"/>
          <w:kern w:val="0"/>
          <w:sz w:val="48"/>
          <w:szCs w:val="48"/>
          <w:lang w:val="en-US" w:eastAsia="zh-CN" w:bidi="ar"/>
        </w:rPr>
        <w:t>南通市海门区市场监督管理局</w:t>
      </w:r>
    </w:p>
    <w:p>
      <w:pPr>
        <w:keepNext w:val="0"/>
        <w:keepLines w:val="0"/>
        <w:widowControl/>
        <w:suppressLineNumbers w:val="0"/>
        <w:spacing w:line="360" w:lineRule="auto"/>
        <w:jc w:val="center"/>
        <w:rPr>
          <w:sz w:val="48"/>
          <w:szCs w:val="48"/>
        </w:rPr>
      </w:pPr>
      <w:r>
        <w:rPr>
          <w:rFonts w:hint="default" w:ascii="Times New Roman" w:hAnsi="Times New Roman" w:eastAsia="宋体" w:cs="Times New Roman"/>
          <w:color w:val="000000"/>
          <w:kern w:val="0"/>
          <w:sz w:val="48"/>
          <w:szCs w:val="48"/>
          <w:lang w:val="en-US" w:eastAsia="zh-CN" w:bidi="ar"/>
        </w:rPr>
        <w:t>202</w:t>
      </w:r>
      <w:r>
        <w:rPr>
          <w:rFonts w:hint="eastAsia" w:ascii="Times New Roman" w:hAnsi="Times New Roman" w:eastAsia="宋体" w:cs="Times New Roman"/>
          <w:color w:val="000000"/>
          <w:kern w:val="0"/>
          <w:sz w:val="48"/>
          <w:szCs w:val="48"/>
          <w:lang w:val="en-US" w:eastAsia="zh-CN" w:bidi="ar"/>
        </w:rPr>
        <w:t>4</w:t>
      </w:r>
      <w:r>
        <w:rPr>
          <w:rFonts w:hint="eastAsia" w:ascii="仿宋" w:hAnsi="仿宋" w:eastAsia="仿宋" w:cs="仿宋"/>
          <w:color w:val="000000"/>
          <w:kern w:val="0"/>
          <w:sz w:val="48"/>
          <w:szCs w:val="48"/>
          <w:lang w:val="en-US" w:eastAsia="zh-CN" w:bidi="ar"/>
        </w:rPr>
        <w:t>年</w:t>
      </w:r>
      <w:r>
        <w:rPr>
          <w:rFonts w:hint="default" w:ascii="Times New Roman" w:hAnsi="Times New Roman" w:eastAsia="宋体" w:cs="Times New Roman"/>
          <w:color w:val="000000"/>
          <w:kern w:val="0"/>
          <w:sz w:val="48"/>
          <w:szCs w:val="48"/>
          <w:lang w:val="en-US" w:eastAsia="zh-CN" w:bidi="ar"/>
        </w:rPr>
        <w:t>1</w:t>
      </w:r>
      <w:r>
        <w:rPr>
          <w:rFonts w:hint="eastAsia" w:ascii="仿宋" w:hAnsi="仿宋" w:eastAsia="仿宋" w:cs="仿宋"/>
          <w:color w:val="000000"/>
          <w:kern w:val="0"/>
          <w:sz w:val="48"/>
          <w:szCs w:val="48"/>
          <w:lang w:val="en-US" w:eastAsia="zh-CN" w:bidi="ar"/>
        </w:rPr>
        <w:t>月</w:t>
      </w:r>
      <w:r>
        <w:rPr>
          <w:rFonts w:hint="eastAsia" w:ascii="Times New Roman" w:hAnsi="Times New Roman" w:eastAsia="宋体" w:cs="Times New Roman"/>
          <w:color w:val="000000"/>
          <w:kern w:val="0"/>
          <w:sz w:val="48"/>
          <w:szCs w:val="48"/>
          <w:lang w:val="en-US" w:eastAsia="zh-CN" w:bidi="ar"/>
        </w:rPr>
        <w:t>10</w:t>
      </w:r>
      <w:r>
        <w:rPr>
          <w:rFonts w:hint="eastAsia" w:ascii="仿宋" w:hAnsi="仿宋" w:eastAsia="仿宋" w:cs="仿宋"/>
          <w:color w:val="000000"/>
          <w:kern w:val="0"/>
          <w:sz w:val="48"/>
          <w:szCs w:val="48"/>
          <w:lang w:val="en-US" w:eastAsia="zh-CN" w:bidi="ar"/>
        </w:rPr>
        <w:t>日</w:t>
      </w:r>
    </w:p>
    <w:p>
      <w:pPr>
        <w:keepNext w:val="0"/>
        <w:keepLines w:val="0"/>
        <w:widowControl/>
        <w:suppressLineNumbers w:val="0"/>
        <w:spacing w:line="360" w:lineRule="auto"/>
        <w:jc w:val="left"/>
        <w:rPr>
          <w:rFonts w:hint="eastAsia" w:ascii="仿宋" w:hAnsi="仿宋" w:eastAsia="仿宋" w:cs="仿宋"/>
          <w:b/>
          <w:bCs/>
          <w:sz w:val="30"/>
          <w:szCs w:val="30"/>
        </w:rPr>
      </w:pPr>
      <w:r>
        <w:rPr>
          <w:rFonts w:hint="eastAsia" w:ascii="仿宋" w:hAnsi="仿宋" w:eastAsia="仿宋" w:cs="仿宋"/>
          <w:b/>
          <w:bCs/>
          <w:color w:val="000000"/>
          <w:kern w:val="0"/>
          <w:sz w:val="30"/>
          <w:szCs w:val="30"/>
          <w:lang w:val="en-US" w:eastAsia="zh-CN" w:bidi="ar"/>
        </w:rPr>
        <w:t>一、基本概况</w:t>
      </w:r>
    </w:p>
    <w:p>
      <w:pPr>
        <w:keepNext w:val="0"/>
        <w:keepLines w:val="0"/>
        <w:widowControl/>
        <w:suppressLineNumbers w:val="0"/>
        <w:spacing w:line="360" w:lineRule="auto"/>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为加强对食品生产经营环节食品安全监管，保障食品消费安全，按照《中华人民共和国食品安全法》、《食品安全抽样检验管理办法》等法规规定，依据《南通市海门区市场监督管理局2023年度食品监督抽检工作计划》，完成了规定样品的采样、检测和数据汇总。本次监督抽检包括粮食加工品、食用油、油脂及其制品、调味品、肉制品、乳制品、饮料、方便食品、饼干、罐头、冷冻饮品、速冻食品、薯类和膨化食品、糖果制品、茶叶及相关制品、酒类、蔬菜制品、水果制品、炒货食品及坚果制品、蛋制品、可可及焙烤咖啡产品、食糖、水产制品、淀粉及淀粉制品、糕点、豆制品、蜂产品、保健食品、特殊膳食食品、婴幼儿配方食品、餐饮食品及餐饮具、食用农产品、食品添加剂等32大类，共计抽取7350批次样品。食品监督抽检采取随机抽样原则，保证了样品具有代表性。经检测发现，有271批次不合格，抽检产品合格率为96.33%，其中食用农产品专项抽检600批次，不合格41批次，合格率93.17%。所有不合格食品都依法实施了核查处置工作。</w:t>
      </w:r>
    </w:p>
    <w:p>
      <w:pPr>
        <w:keepNext w:val="0"/>
        <w:keepLines w:val="0"/>
        <w:widowControl/>
        <w:numPr>
          <w:ilvl w:val="0"/>
          <w:numId w:val="1"/>
        </w:numPr>
        <w:suppressLineNumbers w:val="0"/>
        <w:spacing w:line="360" w:lineRule="auto"/>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抽查结果总体情况</w:t>
      </w:r>
    </w:p>
    <w:p>
      <w:pPr>
        <w:keepNext w:val="0"/>
        <w:keepLines w:val="0"/>
        <w:widowControl/>
        <w:suppressLineNumbers w:val="0"/>
        <w:spacing w:line="360" w:lineRule="auto"/>
        <w:ind w:left="0" w:leftChars="0" w:firstLine="683" w:firstLineChars="228"/>
        <w:jc w:val="left"/>
      </w:pPr>
      <w:r>
        <w:rPr>
          <w:rFonts w:hint="eastAsia" w:ascii="仿宋" w:hAnsi="仿宋" w:eastAsia="仿宋" w:cs="仿宋"/>
          <w:color w:val="000000"/>
          <w:kern w:val="0"/>
          <w:sz w:val="30"/>
          <w:szCs w:val="30"/>
          <w:lang w:val="en-US" w:eastAsia="zh-CN" w:bidi="ar"/>
        </w:rPr>
        <w:t>本次监督抽检对海门区的超市、农贸市场、小食杂店、药店、食品生产单位等进行采样，主要集中于全区食品生产、销售、餐饮环节，共计抽取7350批次样品，其中7079批次合格，271批次不合格，抽检产品合格率为96.33%。</w:t>
      </w:r>
      <w:r>
        <w:rPr>
          <w:rFonts w:hint="eastAsia"/>
          <w:lang w:val="en-US" w:eastAsia="zh-CN"/>
        </w:rPr>
        <w:t xml:space="preserve"> </w:t>
      </w:r>
      <w:r>
        <w:drawing>
          <wp:inline distT="0" distB="0" distL="114300" distR="114300">
            <wp:extent cx="4920615" cy="3457575"/>
            <wp:effectExtent l="6350" t="6350" r="13335" b="15875"/>
            <wp:docPr id="1128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widowControl/>
        <w:suppressLineNumbers w:val="0"/>
        <w:spacing w:line="360" w:lineRule="auto"/>
        <w:ind w:left="0" w:leftChars="0" w:firstLine="683" w:firstLineChars="228"/>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不合格食品为食用农产品60批次,餐饮食品及餐饮具204批次，饮料1批次，酒类3批次，豆制品2批次，粮食加工品1批次。</w:t>
      </w:r>
    </w:p>
    <w:p>
      <w:pPr>
        <w:keepNext w:val="0"/>
        <w:keepLines w:val="0"/>
        <w:widowControl/>
        <w:suppressLineNumbers w:val="0"/>
        <w:spacing w:line="360" w:lineRule="auto"/>
        <w:jc w:val="left"/>
        <w:rPr>
          <w:rFonts w:hint="eastAsia" w:ascii="仿宋" w:hAnsi="仿宋" w:eastAsia="仿宋" w:cs="仿宋"/>
          <w:color w:val="000000"/>
          <w:kern w:val="0"/>
          <w:sz w:val="30"/>
          <w:szCs w:val="30"/>
          <w:lang w:val="en-US" w:eastAsia="zh-CN" w:bidi="ar"/>
        </w:rPr>
      </w:pPr>
      <w:r>
        <w:drawing>
          <wp:inline distT="0" distB="0" distL="114300" distR="114300">
            <wp:extent cx="5268595" cy="4300220"/>
            <wp:effectExtent l="5080" t="4445" r="9525" b="13335"/>
            <wp:docPr id="1128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widowControl/>
        <w:numPr>
          <w:ilvl w:val="0"/>
          <w:numId w:val="2"/>
        </w:numPr>
        <w:suppressLineNumbers w:val="0"/>
        <w:spacing w:line="360" w:lineRule="auto"/>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从抽检区域来看，各分局区域监督抽检情况：</w:t>
      </w:r>
    </w:p>
    <w:tbl>
      <w:tblPr>
        <w:tblStyle w:val="5"/>
        <w:tblW w:w="878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9"/>
        <w:gridCol w:w="1725"/>
        <w:gridCol w:w="1438"/>
        <w:gridCol w:w="1425"/>
        <w:gridCol w:w="1450"/>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939" w:type="dxa"/>
            <w:tcBorders>
              <w:top w:val="single" w:color="000000"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序号</w:t>
            </w:r>
          </w:p>
        </w:tc>
        <w:tc>
          <w:tcPr>
            <w:tcW w:w="17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分局</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样品数</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合格数</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不合格数</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合格率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城区</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1563</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1446</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117</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开发区</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1434</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1363</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71</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三星</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697</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683</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14</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5"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海门港新区</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888</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875</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13</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5</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三厂</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330</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321</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常乐</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379</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371</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8</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7</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余东</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422</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415</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7</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98.34%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39" w:type="dxa"/>
            <w:tcBorders>
              <w:top w:val="nil"/>
              <w:left w:val="single" w:color="000000" w:sz="8" w:space="0"/>
              <w:bottom w:val="single" w:color="auto"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8</w:t>
            </w:r>
          </w:p>
        </w:tc>
        <w:tc>
          <w:tcPr>
            <w:tcW w:w="1725" w:type="dxa"/>
            <w:tcBorders>
              <w:top w:val="nil"/>
              <w:left w:val="nil"/>
              <w:bottom w:val="single" w:color="auto"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四甲</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428</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421</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7</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39" w:type="dxa"/>
            <w:tcBorders>
              <w:top w:val="single" w:color="auto" w:sz="8" w:space="0"/>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9</w:t>
            </w:r>
          </w:p>
        </w:tc>
        <w:tc>
          <w:tcPr>
            <w:tcW w:w="1725" w:type="dxa"/>
            <w:tcBorders>
              <w:top w:val="single" w:color="auto" w:sz="8"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正余</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497</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487</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10</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临江</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401</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395</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6</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98.50%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11</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悦来</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292</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283</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96.92%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939" w:type="dxa"/>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12</w:t>
            </w:r>
          </w:p>
        </w:tc>
        <w:tc>
          <w:tcPr>
            <w:tcW w:w="1725"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44"/>
                <w:szCs w:val="44"/>
                <w:u w:val="none"/>
              </w:rPr>
            </w:pPr>
            <w:r>
              <w:rPr>
                <w:rFonts w:hint="eastAsia" w:ascii="宋体" w:hAnsi="宋体" w:eastAsia="宋体" w:cs="宋体"/>
                <w:i w:val="0"/>
                <w:iCs w:val="0"/>
                <w:color w:val="000000"/>
                <w:kern w:val="0"/>
                <w:sz w:val="28"/>
                <w:szCs w:val="28"/>
                <w:u w:val="none"/>
                <w:lang w:val="en-US" w:eastAsia="zh-CN" w:bidi="ar"/>
              </w:rPr>
              <w:t>海永</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19</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19</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0</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5" w:hRule="atLeast"/>
          <w:jc w:val="center"/>
        </w:trPr>
        <w:tc>
          <w:tcPr>
            <w:tcW w:w="2664" w:type="dxa"/>
            <w:gridSpan w:val="2"/>
            <w:tcBorders>
              <w:top w:val="nil"/>
              <w:left w:val="single" w:color="000000" w:sz="8" w:space="0"/>
              <w:bottom w:val="single" w:color="000000" w:sz="8" w:space="0"/>
              <w:right w:val="single" w:color="000000" w:sz="8"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合计</w:t>
            </w:r>
          </w:p>
        </w:tc>
        <w:tc>
          <w:tcPr>
            <w:tcW w:w="1438"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7350</w:t>
            </w:r>
          </w:p>
        </w:tc>
        <w:tc>
          <w:tcPr>
            <w:tcW w:w="1425"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7079</w:t>
            </w:r>
          </w:p>
        </w:tc>
        <w:tc>
          <w:tcPr>
            <w:tcW w:w="1450"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271</w:t>
            </w:r>
          </w:p>
        </w:tc>
        <w:tc>
          <w:tcPr>
            <w:tcW w:w="1812" w:type="dxa"/>
            <w:tcBorders>
              <w:top w:val="single" w:color="000000" w:sz="8" w:space="0"/>
              <w:left w:val="nil"/>
              <w:bottom w:val="single" w:color="000000" w:sz="8" w:space="0"/>
              <w:right w:val="single" w:color="000000" w:sz="8"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48"/>
                <w:szCs w:val="48"/>
                <w:u w:val="none"/>
              </w:rPr>
            </w:pPr>
            <w:r>
              <w:rPr>
                <w:rFonts w:hint="eastAsia" w:ascii="宋体" w:hAnsi="宋体" w:eastAsia="宋体" w:cs="宋体"/>
                <w:i w:val="0"/>
                <w:iCs w:val="0"/>
                <w:color w:val="000000"/>
                <w:kern w:val="0"/>
                <w:sz w:val="28"/>
                <w:szCs w:val="28"/>
                <w:u w:val="none"/>
                <w:lang w:val="en-US" w:eastAsia="zh-CN" w:bidi="ar"/>
              </w:rPr>
              <w:t>96.31%</w:t>
            </w:r>
          </w:p>
        </w:tc>
      </w:tr>
    </w:tbl>
    <w:p>
      <w:pPr>
        <w:keepNext w:val="0"/>
        <w:keepLines w:val="0"/>
        <w:widowControl/>
        <w:suppressLineNumbers w:val="0"/>
        <w:spacing w:line="360" w:lineRule="auto"/>
        <w:ind w:firstLine="300" w:firstLineChars="100"/>
        <w:jc w:val="left"/>
        <w:rPr>
          <w:sz w:val="30"/>
          <w:szCs w:val="30"/>
        </w:rPr>
      </w:pPr>
      <w:r>
        <w:rPr>
          <w:rFonts w:ascii="仿宋" w:hAnsi="仿宋" w:eastAsia="仿宋" w:cs="仿宋"/>
          <w:color w:val="000000"/>
          <w:kern w:val="0"/>
          <w:sz w:val="30"/>
          <w:szCs w:val="30"/>
          <w:lang w:val="en-US" w:eastAsia="zh-CN" w:bidi="ar"/>
        </w:rPr>
        <w:t>各分局区域监督抽检总体情况如下图：</w:t>
      </w:r>
    </w:p>
    <w:p>
      <w:pPr>
        <w:keepNext w:val="0"/>
        <w:keepLines w:val="0"/>
        <w:widowControl/>
        <w:numPr>
          <w:ilvl w:val="0"/>
          <w:numId w:val="0"/>
        </w:numPr>
        <w:suppressLineNumbers w:val="0"/>
        <w:spacing w:line="360" w:lineRule="auto"/>
        <w:jc w:val="both"/>
        <w:rPr>
          <w:sz w:val="30"/>
          <w:szCs w:val="30"/>
        </w:rPr>
      </w:pPr>
      <w:r>
        <w:drawing>
          <wp:inline distT="0" distB="0" distL="114300" distR="114300">
            <wp:extent cx="5389880" cy="3611245"/>
            <wp:effectExtent l="4445" t="4445" r="15875" b="1651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widowControl/>
        <w:numPr>
          <w:ilvl w:val="0"/>
          <w:numId w:val="0"/>
        </w:numPr>
        <w:suppressLineNumbers w:val="0"/>
        <w:spacing w:line="360" w:lineRule="auto"/>
        <w:jc w:val="left"/>
        <w:rPr>
          <w:sz w:val="30"/>
          <w:szCs w:val="30"/>
        </w:rPr>
      </w:pPr>
    </w:p>
    <w:p>
      <w:pPr>
        <w:keepNext w:val="0"/>
        <w:keepLines w:val="0"/>
        <w:widowControl/>
        <w:numPr>
          <w:ilvl w:val="0"/>
          <w:numId w:val="2"/>
        </w:numPr>
        <w:suppressLineNumbers w:val="0"/>
        <w:spacing w:line="360" w:lineRule="auto"/>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从抽检环节来看，各环节监督抽检情况：</w:t>
      </w:r>
    </w:p>
    <w:tbl>
      <w:tblPr>
        <w:tblStyle w:val="5"/>
        <w:tblW w:w="8927"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0"/>
        <w:gridCol w:w="1499"/>
        <w:gridCol w:w="1988"/>
        <w:gridCol w:w="1350"/>
        <w:gridCol w:w="1475"/>
        <w:gridCol w:w="15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序号</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所属环节</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样品总量</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合格数</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不合格数</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合格率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餐饮</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1795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1589</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206</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88.52%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流通</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5417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5355</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62</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98.86%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生产</w:t>
            </w: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138</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135</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97.83%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合计</w:t>
            </w:r>
          </w:p>
        </w:tc>
        <w:tc>
          <w:tcPr>
            <w:tcW w:w="149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000000"/>
                <w:sz w:val="30"/>
                <w:szCs w:val="30"/>
                <w:u w:val="none"/>
              </w:rPr>
            </w:pPr>
          </w:p>
        </w:tc>
        <w:tc>
          <w:tcPr>
            <w:tcW w:w="19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7350</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7079</w:t>
            </w:r>
          </w:p>
        </w:tc>
        <w:tc>
          <w:tcPr>
            <w:tcW w:w="14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271</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96.31%</w:t>
            </w:r>
          </w:p>
        </w:tc>
      </w:tr>
    </w:tbl>
    <w:p>
      <w:pPr>
        <w:keepNext w:val="0"/>
        <w:keepLines w:val="0"/>
        <w:widowControl/>
        <w:suppressLineNumbers w:val="0"/>
        <w:spacing w:line="360" w:lineRule="auto"/>
        <w:jc w:val="left"/>
        <w:rPr>
          <w:rFonts w:ascii="仿宋" w:hAnsi="仿宋" w:eastAsia="仿宋" w:cs="仿宋"/>
          <w:color w:val="000000"/>
          <w:kern w:val="0"/>
          <w:sz w:val="30"/>
          <w:szCs w:val="30"/>
          <w:lang w:val="en-US" w:eastAsia="zh-CN" w:bidi="ar"/>
        </w:rPr>
      </w:pPr>
      <w:r>
        <w:rPr>
          <w:rFonts w:ascii="仿宋" w:hAnsi="仿宋" w:eastAsia="仿宋" w:cs="仿宋"/>
          <w:color w:val="000000"/>
          <w:kern w:val="0"/>
          <w:sz w:val="30"/>
          <w:szCs w:val="30"/>
          <w:lang w:val="en-US" w:eastAsia="zh-CN" w:bidi="ar"/>
        </w:rPr>
        <w:t>生产、销售、餐饮环节的监督抽检情况如下图所示：</w:t>
      </w:r>
    </w:p>
    <w:p>
      <w:pPr>
        <w:keepNext w:val="0"/>
        <w:keepLines w:val="0"/>
        <w:widowControl/>
        <w:suppressLineNumbers w:val="0"/>
        <w:spacing w:line="360" w:lineRule="auto"/>
        <w:jc w:val="left"/>
        <w:rPr>
          <w:rFonts w:ascii="仿宋" w:hAnsi="仿宋" w:eastAsia="仿宋" w:cs="仿宋"/>
          <w:color w:val="000000"/>
          <w:kern w:val="0"/>
          <w:sz w:val="30"/>
          <w:szCs w:val="30"/>
          <w:lang w:val="en-US" w:eastAsia="zh-CN" w:bidi="ar"/>
        </w:rPr>
      </w:pPr>
      <w:r>
        <w:drawing>
          <wp:inline distT="0" distB="0" distL="114300" distR="114300">
            <wp:extent cx="5242560" cy="2941320"/>
            <wp:effectExtent l="4445" t="4445" r="10795" b="13335"/>
            <wp:docPr id="1128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widowControl/>
        <w:numPr>
          <w:ilvl w:val="0"/>
          <w:numId w:val="2"/>
        </w:numPr>
        <w:suppressLineNumbers w:val="0"/>
        <w:spacing w:line="360" w:lineRule="auto"/>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从抽检问题类别来看，不合格类型分布情况：</w:t>
      </w:r>
    </w:p>
    <w:tbl>
      <w:tblPr>
        <w:tblStyle w:val="5"/>
        <w:tblpPr w:leftFromText="180" w:rightFromText="180" w:vertAnchor="text" w:horzAnchor="page" w:tblpX="1806" w:tblpY="302"/>
        <w:tblOverlap w:val="never"/>
        <w:tblW w:w="934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88"/>
        <w:gridCol w:w="3006"/>
        <w:gridCol w:w="1931"/>
        <w:gridCol w:w="37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3"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序号</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问题类别</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不合格样品数量</w:t>
            </w:r>
          </w:p>
        </w:tc>
        <w:tc>
          <w:tcPr>
            <w:tcW w:w="37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不合格样品数量占不合格样品总量的百分比（%）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Style w:val="11"/>
                <w:lang w:val="en-US" w:eastAsia="zh-CN" w:bidi="ar"/>
              </w:rPr>
              <w:t>农兽药残留</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63</w:t>
            </w:r>
          </w:p>
        </w:tc>
        <w:tc>
          <w:tcPr>
            <w:tcW w:w="3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29.86%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Style w:val="11"/>
                <w:lang w:val="en-US" w:eastAsia="zh-CN" w:bidi="ar"/>
              </w:rPr>
              <w:t>生长促进剂</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w:t>
            </w:r>
          </w:p>
        </w:tc>
        <w:tc>
          <w:tcPr>
            <w:tcW w:w="3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3</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仿宋" w:hAnsi="仿宋" w:eastAsia="仿宋" w:cs="仿宋"/>
                <w:i w:val="0"/>
                <w:iCs w:val="0"/>
                <w:color w:val="000000"/>
                <w:sz w:val="30"/>
                <w:szCs w:val="30"/>
                <w:u w:val="none"/>
              </w:rPr>
            </w:pPr>
            <w:r>
              <w:rPr>
                <w:rStyle w:val="11"/>
                <w:lang w:val="en-US" w:eastAsia="zh-CN" w:bidi="ar"/>
              </w:rPr>
              <w:t>超范围、超限量使用食品添加剂</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eastAsia="zh-CN"/>
              </w:rPr>
            </w:pPr>
            <w:r>
              <w:rPr>
                <w:rFonts w:hint="eastAsia" w:ascii="仿宋" w:hAnsi="仿宋" w:eastAsia="仿宋" w:cs="仿宋"/>
                <w:i w:val="0"/>
                <w:iCs w:val="0"/>
                <w:color w:val="000000"/>
                <w:kern w:val="0"/>
                <w:sz w:val="30"/>
                <w:szCs w:val="30"/>
                <w:u w:val="none"/>
                <w:lang w:val="en-US" w:eastAsia="zh-CN" w:bidi="ar"/>
              </w:rPr>
              <w:t>23</w:t>
            </w:r>
          </w:p>
        </w:tc>
        <w:tc>
          <w:tcPr>
            <w:tcW w:w="3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4</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Style w:val="11"/>
                <w:lang w:val="en-US" w:eastAsia="zh-CN" w:bidi="ar"/>
              </w:rPr>
              <w:t>重金属等元素污染物</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eastAsia="zh-CN"/>
              </w:rPr>
            </w:pPr>
            <w:r>
              <w:rPr>
                <w:rFonts w:hint="eastAsia" w:ascii="仿宋" w:hAnsi="仿宋" w:eastAsia="仿宋" w:cs="仿宋"/>
                <w:i w:val="0"/>
                <w:iCs w:val="0"/>
                <w:color w:val="000000"/>
                <w:kern w:val="0"/>
                <w:sz w:val="30"/>
                <w:szCs w:val="30"/>
                <w:u w:val="none"/>
                <w:lang w:val="en-US" w:eastAsia="zh-CN" w:bidi="ar"/>
              </w:rPr>
              <w:t>5</w:t>
            </w:r>
          </w:p>
        </w:tc>
        <w:tc>
          <w:tcPr>
            <w:tcW w:w="3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5</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Style w:val="11"/>
                <w:lang w:val="en-US" w:eastAsia="zh-CN" w:bidi="ar"/>
              </w:rPr>
              <w:t>洗涤剂超标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61</w:t>
            </w:r>
          </w:p>
        </w:tc>
        <w:tc>
          <w:tcPr>
            <w:tcW w:w="3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28.91%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6</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Style w:val="11"/>
                <w:lang w:val="en-US" w:eastAsia="zh-CN" w:bidi="ar"/>
              </w:rPr>
              <w:t>微生物污染</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30"/>
                <w:szCs w:val="30"/>
                <w:u w:val="none"/>
                <w:lang w:val="en-US"/>
              </w:rPr>
            </w:pPr>
            <w:r>
              <w:rPr>
                <w:rFonts w:hint="eastAsia" w:ascii="仿宋" w:hAnsi="仿宋" w:eastAsia="仿宋" w:cs="仿宋"/>
                <w:i w:val="0"/>
                <w:iCs w:val="0"/>
                <w:color w:val="000000"/>
                <w:kern w:val="0"/>
                <w:sz w:val="30"/>
                <w:szCs w:val="30"/>
                <w:u w:val="none"/>
                <w:lang w:val="en-US" w:eastAsia="zh-CN" w:bidi="ar"/>
              </w:rPr>
              <w:t>126</w:t>
            </w:r>
          </w:p>
        </w:tc>
        <w:tc>
          <w:tcPr>
            <w:tcW w:w="3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59.72%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7</w:t>
            </w: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Style w:val="11"/>
                <w:lang w:val="en-US" w:eastAsia="zh-CN" w:bidi="ar"/>
              </w:rPr>
              <w:t>质量指标</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lang w:val="en-US" w:eastAsia="zh-CN"/>
              </w:rPr>
            </w:pPr>
            <w:r>
              <w:rPr>
                <w:rFonts w:hint="eastAsia" w:ascii="仿宋" w:hAnsi="仿宋" w:eastAsia="仿宋" w:cs="仿宋"/>
                <w:i w:val="0"/>
                <w:iCs w:val="0"/>
                <w:color w:val="000000"/>
                <w:kern w:val="0"/>
                <w:sz w:val="30"/>
                <w:szCs w:val="30"/>
                <w:u w:val="none"/>
                <w:lang w:val="en-US" w:eastAsia="zh-CN" w:bidi="ar"/>
              </w:rPr>
              <w:t>2</w:t>
            </w:r>
          </w:p>
        </w:tc>
        <w:tc>
          <w:tcPr>
            <w:tcW w:w="3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0.95%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6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仿宋" w:hAnsi="仿宋" w:eastAsia="仿宋" w:cs="仿宋"/>
                <w:i w:val="0"/>
                <w:iCs w:val="0"/>
                <w:color w:val="000000"/>
                <w:sz w:val="30"/>
                <w:szCs w:val="30"/>
                <w:u w:val="none"/>
              </w:rPr>
            </w:pPr>
          </w:p>
        </w:tc>
        <w:tc>
          <w:tcPr>
            <w:tcW w:w="3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Style w:val="11"/>
                <w:lang w:val="en-US" w:eastAsia="zh-CN" w:bidi="ar"/>
              </w:rPr>
              <w:t>合计</w:t>
            </w:r>
          </w:p>
        </w:tc>
        <w:tc>
          <w:tcPr>
            <w:tcW w:w="193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271</w:t>
            </w:r>
          </w:p>
        </w:tc>
        <w:tc>
          <w:tcPr>
            <w:tcW w:w="37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100.00%</w:t>
            </w:r>
          </w:p>
        </w:tc>
      </w:tr>
    </w:tbl>
    <w:p>
      <w:pPr>
        <w:keepNext w:val="0"/>
        <w:keepLines w:val="0"/>
        <w:widowControl/>
        <w:numPr>
          <w:ilvl w:val="0"/>
          <w:numId w:val="0"/>
        </w:numPr>
        <w:suppressLineNumbers w:val="0"/>
        <w:spacing w:line="360" w:lineRule="auto"/>
        <w:jc w:val="left"/>
      </w:pPr>
    </w:p>
    <w:p>
      <w:pPr>
        <w:keepNext w:val="0"/>
        <w:keepLines w:val="0"/>
        <w:widowControl/>
        <w:numPr>
          <w:ilvl w:val="0"/>
          <w:numId w:val="0"/>
        </w:numPr>
        <w:suppressLineNumbers w:val="0"/>
        <w:spacing w:line="360" w:lineRule="auto"/>
        <w:jc w:val="left"/>
        <w:rPr>
          <w:sz w:val="30"/>
          <w:szCs w:val="30"/>
        </w:rPr>
      </w:pPr>
      <w:r>
        <w:drawing>
          <wp:inline distT="0" distB="0" distL="114300" distR="114300">
            <wp:extent cx="5269230" cy="3348990"/>
            <wp:effectExtent l="4445" t="4445" r="9525" b="12065"/>
            <wp:docPr id="1128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numPr>
          <w:ilvl w:val="0"/>
          <w:numId w:val="1"/>
        </w:numPr>
        <w:suppressLineNumbers w:val="0"/>
        <w:spacing w:line="360" w:lineRule="auto"/>
        <w:ind w:left="0" w:leftChars="0" w:firstLine="0" w:firstLineChars="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专项抽检情况</w:t>
      </w:r>
    </w:p>
    <w:p>
      <w:pPr>
        <w:numPr>
          <w:ilvl w:val="0"/>
          <w:numId w:val="0"/>
        </w:numPr>
        <w:spacing w:line="360" w:lineRule="auto"/>
        <w:ind w:firstLine="602" w:firstLineChars="200"/>
        <w:rPr>
          <w:rFonts w:hint="default"/>
          <w:lang w:val="en-US" w:eastAsia="zh-CN"/>
        </w:rPr>
      </w:pPr>
      <w:r>
        <w:rPr>
          <w:rFonts w:hint="eastAsia" w:ascii="仿宋" w:hAnsi="仿宋" w:eastAsia="仿宋"/>
          <w:b/>
          <w:bCs/>
          <w:sz w:val="30"/>
          <w:szCs w:val="30"/>
          <w:lang w:val="en-US" w:eastAsia="zh-CN"/>
        </w:rPr>
        <w:t>一是开展元旦春节专项抽检。</w:t>
      </w:r>
      <w:r>
        <w:rPr>
          <w:rFonts w:hint="eastAsia" w:ascii="仿宋" w:hAnsi="仿宋" w:eastAsia="仿宋"/>
          <w:b w:val="0"/>
          <w:bCs w:val="0"/>
          <w:sz w:val="30"/>
          <w:szCs w:val="30"/>
          <w:lang w:val="en-US" w:eastAsia="zh-CN"/>
        </w:rPr>
        <w:t>为保障元旦春节期间老百姓能过一个安全祥和的节日，今年1月份组织了元旦春节专项抽检，共抽检600批次，其中9批次的样品不合格，</w:t>
      </w:r>
      <w:r>
        <w:rPr>
          <w:rFonts w:hint="eastAsia" w:ascii="仿宋" w:hAnsi="仿宋" w:eastAsia="仿宋"/>
          <w:color w:val="auto"/>
          <w:sz w:val="30"/>
          <w:szCs w:val="30"/>
          <w:lang w:val="en-US" w:eastAsia="zh-CN"/>
        </w:rPr>
        <w:t>均已依法处置。</w:t>
      </w:r>
    </w:p>
    <w:p>
      <w:pPr>
        <w:numPr>
          <w:ilvl w:val="0"/>
          <w:numId w:val="0"/>
        </w:numPr>
        <w:spacing w:line="360" w:lineRule="auto"/>
        <w:ind w:firstLine="602" w:firstLineChars="200"/>
        <w:rPr>
          <w:rFonts w:hint="default" w:ascii="仿宋" w:hAnsi="仿宋" w:eastAsia="仿宋"/>
          <w:color w:val="auto"/>
          <w:sz w:val="30"/>
          <w:szCs w:val="30"/>
          <w:lang w:val="en-US" w:eastAsia="zh-CN"/>
        </w:rPr>
      </w:pPr>
      <w:r>
        <w:rPr>
          <w:rFonts w:hint="eastAsia" w:ascii="仿宋" w:hAnsi="仿宋" w:eastAsia="仿宋"/>
          <w:b/>
          <w:bCs/>
          <w:sz w:val="30"/>
          <w:szCs w:val="30"/>
          <w:lang w:val="en-US" w:eastAsia="zh-CN"/>
        </w:rPr>
        <w:t>二是</w:t>
      </w:r>
      <w:r>
        <w:rPr>
          <w:rFonts w:hint="eastAsia" w:ascii="仿宋" w:hAnsi="仿宋" w:eastAsia="仿宋"/>
          <w:b/>
          <w:bCs/>
          <w:sz w:val="30"/>
          <w:szCs w:val="30"/>
        </w:rPr>
        <w:t>开展</w:t>
      </w:r>
      <w:r>
        <w:rPr>
          <w:rFonts w:hint="eastAsia" w:ascii="仿宋" w:hAnsi="仿宋" w:eastAsia="仿宋"/>
          <w:b/>
          <w:bCs/>
          <w:sz w:val="30"/>
          <w:szCs w:val="30"/>
          <w:lang w:val="en-US" w:eastAsia="zh-CN"/>
        </w:rPr>
        <w:t>校园</w:t>
      </w:r>
      <w:r>
        <w:rPr>
          <w:rFonts w:hint="eastAsia" w:ascii="仿宋" w:hAnsi="仿宋" w:eastAsia="仿宋"/>
          <w:b/>
          <w:bCs/>
          <w:sz w:val="30"/>
          <w:szCs w:val="30"/>
        </w:rPr>
        <w:t>食品安全专项抽检。</w:t>
      </w:r>
      <w:r>
        <w:rPr>
          <w:rFonts w:hint="eastAsia" w:ascii="仿宋" w:hAnsi="仿宋" w:eastAsia="仿宋"/>
          <w:b w:val="0"/>
          <w:bCs w:val="0"/>
          <w:sz w:val="30"/>
          <w:szCs w:val="30"/>
          <w:lang w:val="en-US" w:eastAsia="zh-CN"/>
        </w:rPr>
        <w:t>中高考期间，</w:t>
      </w:r>
      <w:r>
        <w:rPr>
          <w:rFonts w:hint="eastAsia" w:ascii="仿宋" w:hAnsi="仿宋" w:eastAsia="仿宋"/>
          <w:sz w:val="30"/>
          <w:szCs w:val="30"/>
        </w:rPr>
        <w:t>为</w:t>
      </w:r>
      <w:r>
        <w:rPr>
          <w:rFonts w:ascii="仿宋" w:hAnsi="仿宋" w:eastAsia="仿宋"/>
          <w:sz w:val="30"/>
          <w:szCs w:val="30"/>
        </w:rPr>
        <w:t>保障广大考生身心健康、维护正常考试秩序、确保社会和谐稳定</w:t>
      </w:r>
      <w:r>
        <w:rPr>
          <w:rFonts w:hint="eastAsia" w:ascii="仿宋" w:hAnsi="仿宋" w:eastAsia="仿宋"/>
          <w:sz w:val="30"/>
          <w:szCs w:val="30"/>
        </w:rPr>
        <w:t>，切实保障全市</w:t>
      </w:r>
      <w:r>
        <w:rPr>
          <w:rFonts w:hint="eastAsia" w:ascii="仿宋" w:hAnsi="仿宋" w:eastAsia="仿宋"/>
          <w:color w:val="auto"/>
          <w:sz w:val="30"/>
          <w:szCs w:val="30"/>
        </w:rPr>
        <w:t>高考考生食品安全，组织开展了高考食品安全专项抽检，覆盖高考用餐点</w:t>
      </w:r>
      <w:r>
        <w:rPr>
          <w:rFonts w:hint="eastAsia" w:ascii="仿宋" w:hAnsi="仿宋" w:eastAsia="仿宋"/>
          <w:color w:val="auto"/>
          <w:sz w:val="30"/>
          <w:szCs w:val="30"/>
          <w:lang w:val="en-US" w:eastAsia="zh-CN"/>
        </w:rPr>
        <w:t>和海聚食材统一采购配送平台</w:t>
      </w:r>
      <w:r>
        <w:rPr>
          <w:rFonts w:hint="eastAsia" w:ascii="仿宋" w:hAnsi="仿宋" w:eastAsia="仿宋"/>
          <w:color w:val="auto"/>
          <w:sz w:val="30"/>
          <w:szCs w:val="30"/>
        </w:rPr>
        <w:t>，共安排大米、食用油、调味品</w:t>
      </w:r>
      <w:r>
        <w:rPr>
          <w:rFonts w:hint="eastAsia" w:ascii="仿宋" w:hAnsi="仿宋" w:eastAsia="仿宋"/>
          <w:color w:val="auto"/>
          <w:sz w:val="30"/>
          <w:szCs w:val="30"/>
          <w:lang w:val="en-US" w:eastAsia="zh-CN"/>
        </w:rPr>
        <w:t>等食品和食用农产品</w:t>
      </w:r>
      <w:r>
        <w:rPr>
          <w:rFonts w:hint="eastAsia" w:ascii="仿宋" w:hAnsi="仿宋" w:eastAsia="仿宋"/>
          <w:color w:val="auto"/>
          <w:sz w:val="30"/>
          <w:szCs w:val="30"/>
        </w:rPr>
        <w:t>抽检计划</w:t>
      </w:r>
      <w:r>
        <w:rPr>
          <w:rFonts w:hint="eastAsia" w:ascii="仿宋" w:hAnsi="仿宋" w:eastAsia="仿宋"/>
          <w:color w:val="auto"/>
          <w:sz w:val="30"/>
          <w:szCs w:val="30"/>
          <w:lang w:val="en-US" w:eastAsia="zh-CN"/>
        </w:rPr>
        <w:t>88</w:t>
      </w:r>
      <w:r>
        <w:rPr>
          <w:rFonts w:hint="eastAsia" w:ascii="仿宋" w:hAnsi="仿宋" w:eastAsia="仿宋"/>
          <w:color w:val="auto"/>
          <w:sz w:val="30"/>
          <w:szCs w:val="30"/>
        </w:rPr>
        <w:t>批次</w:t>
      </w:r>
      <w:r>
        <w:rPr>
          <w:rFonts w:hint="eastAsia" w:ascii="仿宋" w:hAnsi="仿宋" w:eastAsia="仿宋"/>
          <w:color w:val="auto"/>
          <w:sz w:val="30"/>
          <w:szCs w:val="30"/>
          <w:lang w:val="en-US" w:eastAsia="zh-CN"/>
        </w:rPr>
        <w:t>均合格。10月份，又组织了校园食品安全专项抽检，共检测121批次食品均合格。</w:t>
      </w:r>
    </w:p>
    <w:p>
      <w:pPr>
        <w:numPr>
          <w:ilvl w:val="0"/>
          <w:numId w:val="0"/>
        </w:numPr>
        <w:spacing w:line="360" w:lineRule="auto"/>
        <w:ind w:firstLine="602" w:firstLineChars="200"/>
        <w:rPr>
          <w:rFonts w:hint="eastAsia" w:ascii="仿宋" w:hAnsi="仿宋" w:eastAsia="仿宋"/>
          <w:color w:val="auto"/>
          <w:sz w:val="30"/>
          <w:szCs w:val="30"/>
        </w:rPr>
      </w:pPr>
      <w:r>
        <w:rPr>
          <w:rFonts w:hint="eastAsia" w:ascii="仿宋" w:hAnsi="仿宋" w:eastAsia="仿宋"/>
          <w:b/>
          <w:bCs/>
          <w:color w:val="auto"/>
          <w:sz w:val="30"/>
          <w:szCs w:val="30"/>
          <w:lang w:val="en-US" w:eastAsia="zh-CN"/>
        </w:rPr>
        <w:t>三是开展“你点我抽他检”活动。</w:t>
      </w:r>
      <w:r>
        <w:rPr>
          <w:rFonts w:hint="eastAsia" w:ascii="仿宋" w:hAnsi="仿宋" w:eastAsia="仿宋"/>
          <w:sz w:val="30"/>
          <w:szCs w:val="30"/>
        </w:rPr>
        <w:t>我局还针对</w:t>
      </w:r>
      <w:r>
        <w:rPr>
          <w:rFonts w:hint="eastAsia" w:ascii="仿宋" w:hAnsi="仿宋" w:eastAsia="仿宋"/>
          <w:sz w:val="30"/>
          <w:szCs w:val="30"/>
          <w:lang w:val="en-US" w:eastAsia="zh-CN"/>
        </w:rPr>
        <w:t>社会</w:t>
      </w:r>
      <w:r>
        <w:rPr>
          <w:rFonts w:hint="eastAsia" w:ascii="仿宋" w:hAnsi="仿宋" w:eastAsia="仿宋"/>
          <w:sz w:val="30"/>
          <w:szCs w:val="30"/>
        </w:rPr>
        <w:t>和</w:t>
      </w:r>
      <w:r>
        <w:rPr>
          <w:rFonts w:hint="eastAsia" w:ascii="仿宋" w:hAnsi="仿宋" w:eastAsia="仿宋"/>
          <w:sz w:val="30"/>
          <w:szCs w:val="30"/>
          <w:lang w:val="en-US" w:eastAsia="zh-CN"/>
        </w:rPr>
        <w:t>百姓</w:t>
      </w:r>
      <w:r>
        <w:rPr>
          <w:rFonts w:hint="eastAsia" w:ascii="仿宋" w:hAnsi="仿宋" w:eastAsia="仿宋"/>
          <w:sz w:val="30"/>
          <w:szCs w:val="30"/>
        </w:rPr>
        <w:t>关心的热点食品</w:t>
      </w:r>
      <w:r>
        <w:rPr>
          <w:rFonts w:hint="eastAsia" w:ascii="仿宋" w:hAnsi="仿宋" w:eastAsia="仿宋"/>
          <w:sz w:val="30"/>
          <w:szCs w:val="30"/>
          <w:lang w:val="en-US" w:eastAsia="zh-CN"/>
        </w:rPr>
        <w:t>开展了“你点我抽他检”活动，通过网络调查问卷，确定一定时段群众关注的食品品种，由市场监督管理部门开展抽样，由法定检测机构进行检测，确保检测的公正性，保障</w:t>
      </w:r>
      <w:r>
        <w:rPr>
          <w:rFonts w:hint="eastAsia" w:ascii="仿宋" w:hAnsi="仿宋" w:eastAsia="仿宋"/>
          <w:sz w:val="30"/>
          <w:szCs w:val="30"/>
        </w:rPr>
        <w:t>百姓舌尖上的安全。开展</w:t>
      </w:r>
      <w:r>
        <w:rPr>
          <w:rFonts w:hint="eastAsia" w:ascii="仿宋" w:hAnsi="仿宋" w:eastAsia="仿宋"/>
          <w:sz w:val="30"/>
          <w:szCs w:val="30"/>
          <w:lang w:val="en-US" w:eastAsia="zh-CN"/>
        </w:rPr>
        <w:t>了食用农产品、调味品</w:t>
      </w:r>
      <w:r>
        <w:rPr>
          <w:rFonts w:hint="eastAsia" w:ascii="仿宋" w:hAnsi="仿宋" w:eastAsia="仿宋"/>
          <w:sz w:val="30"/>
          <w:szCs w:val="30"/>
        </w:rPr>
        <w:t>等</w:t>
      </w:r>
      <w:r>
        <w:rPr>
          <w:rFonts w:hint="eastAsia" w:ascii="仿宋" w:hAnsi="仿宋" w:eastAsia="仿宋"/>
          <w:sz w:val="30"/>
          <w:szCs w:val="30"/>
          <w:lang w:val="en-US" w:eastAsia="zh-CN"/>
        </w:rPr>
        <w:t>200</w:t>
      </w:r>
      <w:r>
        <w:rPr>
          <w:rFonts w:hint="eastAsia" w:ascii="仿宋" w:hAnsi="仿宋" w:eastAsia="仿宋"/>
          <w:color w:val="auto"/>
          <w:sz w:val="30"/>
          <w:szCs w:val="30"/>
        </w:rPr>
        <w:t>批次的“你点我抽他检”工作</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已出具检测报告200</w:t>
      </w:r>
      <w:r>
        <w:rPr>
          <w:rFonts w:hint="eastAsia" w:ascii="仿宋" w:hAnsi="仿宋" w:eastAsia="仿宋"/>
          <w:color w:val="auto"/>
          <w:sz w:val="30"/>
          <w:szCs w:val="30"/>
        </w:rPr>
        <w:t>批次</w:t>
      </w:r>
      <w:r>
        <w:rPr>
          <w:rFonts w:hint="eastAsia" w:ascii="仿宋" w:hAnsi="仿宋" w:eastAsia="仿宋"/>
          <w:color w:val="auto"/>
          <w:sz w:val="30"/>
          <w:szCs w:val="30"/>
          <w:lang w:eastAsia="zh-CN"/>
        </w:rPr>
        <w:t>，</w:t>
      </w:r>
      <w:r>
        <w:rPr>
          <w:rFonts w:hint="eastAsia" w:ascii="仿宋" w:hAnsi="仿宋" w:eastAsia="仿宋"/>
          <w:color w:val="auto"/>
          <w:sz w:val="30"/>
          <w:szCs w:val="30"/>
          <w:lang w:val="en-US" w:eastAsia="zh-CN"/>
        </w:rPr>
        <w:t>检测结果全部合格</w:t>
      </w:r>
      <w:r>
        <w:rPr>
          <w:rFonts w:hint="eastAsia" w:ascii="仿宋" w:hAnsi="仿宋" w:eastAsia="仿宋"/>
          <w:color w:val="auto"/>
          <w:sz w:val="30"/>
          <w:szCs w:val="30"/>
        </w:rPr>
        <w:t>。</w:t>
      </w:r>
    </w:p>
    <w:p>
      <w:pPr>
        <w:keepNext w:val="0"/>
        <w:keepLines w:val="0"/>
        <w:widowControl/>
        <w:numPr>
          <w:ilvl w:val="0"/>
          <w:numId w:val="1"/>
        </w:numPr>
        <w:suppressLineNumbers w:val="0"/>
        <w:spacing w:line="360" w:lineRule="auto"/>
        <w:ind w:left="0" w:leftChars="0" w:firstLine="0" w:firstLineChars="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不合格项目分析</w:t>
      </w:r>
    </w:p>
    <w:p>
      <w:pPr>
        <w:keepNext w:val="0"/>
        <w:keepLines w:val="0"/>
        <w:widowControl/>
        <w:suppressLineNumbers w:val="0"/>
        <w:spacing w:line="360" w:lineRule="auto"/>
        <w:jc w:val="left"/>
        <w:rPr>
          <w:rFonts w:hint="default" w:ascii="仿宋" w:hAnsi="仿宋" w:eastAsia="仿宋" w:cs="仿宋"/>
          <w:b/>
          <w:bCs/>
          <w:sz w:val="30"/>
          <w:szCs w:val="30"/>
          <w:lang w:val="en-US"/>
        </w:rPr>
      </w:pPr>
      <w:r>
        <w:rPr>
          <w:rFonts w:hint="eastAsia" w:ascii="仿宋" w:hAnsi="仿宋" w:eastAsia="仿宋" w:cs="仿宋"/>
          <w:b/>
          <w:bCs/>
          <w:color w:val="000000"/>
          <w:kern w:val="0"/>
          <w:sz w:val="30"/>
          <w:szCs w:val="30"/>
          <w:lang w:val="en-US" w:eastAsia="zh-CN" w:bidi="ar"/>
        </w:rPr>
        <w:t>（一）促生产剂</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bookmarkStart w:id="0" w:name="_Toc2444"/>
      <w:r>
        <w:rPr>
          <w:rFonts w:hint="eastAsia" w:ascii="仿宋" w:hAnsi="仿宋" w:eastAsia="仿宋" w:cs="仿宋"/>
          <w:b/>
          <w:bCs w:val="0"/>
          <w:color w:val="000000"/>
          <w:sz w:val="30"/>
          <w:szCs w:val="30"/>
          <w:highlight w:val="none"/>
          <w:lang w:val="en-US" w:eastAsia="zh-CN"/>
        </w:rPr>
        <w:t>（1）6-苄基腺嘌呤</w:t>
      </w:r>
      <w:bookmarkEnd w:id="0"/>
    </w:p>
    <w:p>
      <w:pPr>
        <w:pStyle w:val="10"/>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leftChars="0"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苄基腺嘌呤是一种广泛使用的添加于植物生长培养基的细胞分裂素，是第一个人工合成的细胞分裂素，是植物生长调节剂，具有抑制植物叶内叶绿素、核酸、蛋白质的分解，保绿防老；对种子发芽、细胞分裂有促进作用，且具有抑制胚根生长的生理作用，属于低毒农药，有助于其细胞分裂、成品无根须。《关于豆芽生产过程中禁止使用6-苄基腺嘌呤等物质的公告》（国家食品药品监督管理总局、农业部、国家卫生健康委员会</w:t>
      </w:r>
      <w:bookmarkStart w:id="3" w:name="_GoBack"/>
      <w:bookmarkEnd w:id="3"/>
      <w:r>
        <w:rPr>
          <w:rFonts w:hint="eastAsia" w:ascii="仿宋" w:hAnsi="仿宋" w:eastAsia="仿宋" w:cs="仿宋"/>
          <w:color w:val="000000"/>
          <w:sz w:val="30"/>
          <w:szCs w:val="30"/>
          <w:highlight w:val="none"/>
          <w:lang w:val="en-US" w:eastAsia="zh-CN"/>
        </w:rPr>
        <w:t>公告2015年第11号）中要求，豆芽中禁止使用6-苄基腺嘌呤(6-BA)等物质。2批次不合格豆芽的6-苄基腺嘌呤(6-BA)实测值为43.0μg/kg，为76.3μg/kg。豆芽作为一种食用量非常大的蔬菜，6-苄基腺嘌呤(6-BA)的残留在人体内的累积所产生的有害作用不容忽视。</w:t>
      </w:r>
    </w:p>
    <w:p>
      <w:pPr>
        <w:keepNext w:val="0"/>
        <w:keepLines w:val="0"/>
        <w:widowControl/>
        <w:suppressLineNumbers w:val="0"/>
        <w:spacing w:line="360" w:lineRule="auto"/>
        <w:jc w:val="left"/>
        <w:rPr>
          <w:rFonts w:hint="default" w:ascii="仿宋" w:hAnsi="仿宋" w:eastAsia="仿宋" w:cs="仿宋"/>
          <w:b/>
          <w:bCs/>
          <w:sz w:val="30"/>
          <w:szCs w:val="30"/>
          <w:lang w:val="en-US"/>
        </w:rPr>
      </w:pPr>
      <w:r>
        <w:rPr>
          <w:rFonts w:hint="eastAsia" w:ascii="仿宋" w:hAnsi="仿宋" w:eastAsia="仿宋" w:cs="仿宋"/>
          <w:b/>
          <w:bCs/>
          <w:color w:val="000000"/>
          <w:kern w:val="0"/>
          <w:sz w:val="30"/>
          <w:szCs w:val="30"/>
          <w:lang w:val="en-US" w:eastAsia="zh-CN" w:bidi="ar"/>
        </w:rPr>
        <w:t>（二）农兽药残留</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（1）恩诺沙星（以恩诺沙星与环丙沙星之和计）</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恩诺沙星属于氟喹诺酮类药物，是一类人工合成的广谱抗菌药，用于治疗动物的皮肤感染、呼吸道感染等，是动物专属用药。《动物性食品中兽药最高残留限量》（农业部公告第235号）中规定，恩诺沙星（以恩诺沙星与环丙沙星之和计）可用于牛、羊、猪、兔、禽等食用畜禽及其他动物，在牛、禽和其他动物的肌肉及脂肪中的最高残留限量为100μg/kg，在猪肝中的最高残留限量为200μg/kg，在产蛋鸡中禁用（鸡蛋中不得检出）。本次检测在2批次泥鳅中检出恩诺沙星（以恩诺沙星与环丙沙星之和计）残留量为147μg/kg、444μg/kg，4批次鳊鱼中检出恩诺沙星（以恩诺沙星与环丙沙星之和计）残留量最低为121μg/kg、最高为359μg/kg，1批次黄鳝中的残留量为465μg/kg，2批次罗氏虾中的残留量最低为577μg/kg、最高为596μg/kg，2批次牛蛙中的残留量最低为147μg/kg、最高为244μg/kg。长期食用恩诺沙星残留超标的食品，对人体健康有一定影响。</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（2）灭蝇胺</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灭蝇胺又名环丙氨嗪，为一种新型高效、低毒、含氮杂环类杀虫剂，是目前防治双翅目昆虫病虫害效果较好的生态农药。灭蝇胺是一种触杀、胃毒和内吸传导作用的昆虫生长调节剂类杀虫剂。主要用于防治双翅目昆虫病虫害。GB2763《食品安全国家标准食品中农药最大残留限量》中规定，灭蝇胺在豆类蔬菜——豇豆中残留最大限量值为0.5mg/kg。本次检测在1批次豇豆中检出灭蝇胺的残留量1.0mg/kg。灭蝇胺对眼睛、皮肤有刺激作用，短期内大量接触可引起急性中毒，产生恶心、呕吐、眩晕等健康危害。</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（3）倍硫磷</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倍硫磷是一种中级毒性有机磷类杀虫剂，具有广谱、高效等特点，对多种害虫有效，主要起触杀和胃毒作用，残效期长。食用少量的残留农药，人体自身会降解，但长期食用氟虫腈超标的食品，对人体健康有一定影响。《食品安全国家标准食品中农药最大残留限量》（GB2763—2019）中规定，豇豆中倍硫磷的最大残留限量值为0.05mg/kg。3批次豇豆中检出倍硫磷的残留量为0.16mg/kg、0.40mg/kg、0.10mg/kg。超标的原因，可能是菜农对使用农药的安全间隔期不了解，从而违规使用农药。</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（4）噻虫胺</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噻虫胺是新烟碱类中的一种杀虫剂，是一类高效安全、高选择性的新型杀虫剂，具有触杀、胃毒和内吸活性。主要用于水稻、蔬菜、果树及其他作物上防治蚜虫、叶蝉、蓟马、飞虱等半翅目、鞘翅目、双翅目和某些鳞翅目类害虫的杀虫剂。长期食用噻虫胺超标的食品，可能对人体健康有一定的影响。《食品安全国家标准食品中农药最大残留限量》（GB2763-2019）中规定噻虫胺在姜中的最大残留限量值为0.2mg/kg，在茄子中的最大残留限量值为0.05mg/kg，在芹菜中的最大残留限量值为0.04mg/kg，在香蕉中的最大残留限量值为0.02mg/kg。11批次生姜中检出噻虫胺的残留量为最低0.30mg/kg、最高3.1mg/kg；1批次茄子中检出噻虫胺的残留量为0.068mg/kg；1批次香蕉中检出噻虫胺的残留量为0.037mg/kg；3批次芹菜中检出噻虫胺的残留量最低为0.082mg/kg，最高为0.13mg/kg；3批次豇豆中检出噻虫胺的残留量最低为0.05mg/kg，最高为0.84mg/kg。姜生长在地下，而泥土里的害虫病菌非常多，并且姜喜欢温暖湿润的环境，而这也是大多数害虫病菌喜欢的环境大多数地区的姜只能种一季。一季作物要实现全年供给，必须依靠储存。为了防止姜在储存过程中受到害虫病菌的侵蚀，姜农往往会在地窖里放上可挥发的高毒农药，这些都是可能导致姜中噻虫胺超标的原因。另外为快速控制虫害，加大用药量或未遵守采摘间隔期规定，致使上市销售的产品中残留量超标。</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（5）噻虫嗪</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噻虫嗪为烟碱类杀虫剂，一般为白色结晶粉末。噻虫嗪杀虫原理为：阻断昆虫中枢神经系统的传导，造成昆虫出现麻痹而死亡。其作用跟啶虫脒、吡虫啉等相似，不仅具有触杀、胃毒、内吸活性，而且具有更高的活性、更好的安全性、更广的杀虫谱及作用、速度快、持效期长等特点。《食品安全国家标准食品中农药最大残留限量》（GB2763—2019）中规定噻虫嗪在姜中的最大残留限量值为0.3mg/kg，1批次生姜中检出噻虫嗪的残留量为0.74mg/kg。《食品安全国家标准食品中农药最大残留限量》（GB2763—2021）规定了噻虫嗪在豇豆中的最大残留量为0.3mg/kg，1批次豇豆中检出噻虫嗪的残留量为0.66mg/kg。《食品安全国家标准食品中农药最大残留限量》（GB2763—2021）规定了噻虫嗪在香蕉中的最大残留量为0.02mg/kg，2批次香蕉中检出噻虫嗪的残留量为0.042mg/kg、0.091mg/kg。</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（6）苯醚甲环唑</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苯醚甲环唑为无色固体，是一种广谱高效的杀菌剂，易溶于有机溶剂有机溶剂；在土壤中移动性小，降解缓慢。广泛应用于果树、蔬菜等作物，有效防治黑星病、黑痘病、白腐病、斑点落叶病、白粉病、褐斑病、锈病、条锈病、赤霉病等。苯醚甲环唑不宜与铜制剂混用。因为铜制剂能降低它的杀菌能力，如果确实需要与铜制剂混用，则要加大苯醚甲环唑10%以上的用药量。苯醚甲环唑不合格的原因可能是：（1）种植者未严格遵守农药安全间隔期相关规定，施药后，种植者为达到快速上市追求利益最大化，未遵守农药安全间隔期规定提前将产品收获上市，或是在蔬菜采收期间使用农药，导致农药残留超标。（2）农药质量低劣，农药行业制药水平参差不齐，农民使用的农药品质不纯，导致蔬菜出现农药残留超标问题。本次检测发现1批次橙检出苯醚甲环唑项目不合格。</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（7）毒死蜱</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毒死蜱又名氯吡硫磷，是一种硫代磷酸酯类有机磷杀虫、杀螨剂，具有良好的触杀、胃毒和熏蒸作用。少量的农药残留不会引起人体急性中毒，但长期食用毒死蜱超标的食品，对人体健康可能有一定影响，可能会引起头痛、头昏、无力、呕吐等症状，甚至还可能导致癫痫样抽搐。根据农业部规定，毒死蜱禁止在蔬菜上使用，《食品安全国家标准食品中农药最大残留限量》（GB2763-2021）中规定，毒死蜱在菠菜中的最大残留限量值为0.02mg/kg。3批次菠菜中检出毒死蜱的残留量最小为0.050mg/kg、最大为0.17mg/kg。</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（8）啶虫脒</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啶虫脒属氯化烟碱类化合物，是一种具有触杀、渗透和传导作用的吡啶类杀虫剂。啶虫脒属于低毒杀虫剂，主要用于蚜虫、飞虱、螨虫的防治，对人、畜有毒。具有杀虫谱广、活性高、用量少、持效长等特点，以触杀和胃毒作用为主，并有卓越的内吸活性。本次检测中2批次普通白菜检测不合格。蔬菜不合格的原因主要为：种植者未严格遵守农药安全间隔期相关规定，施药后，种植者为达到快速上市追求利益最大化，未遵守农药安全间隔期规定提前将产品收获上市，或是在蔬菜采收期间使用农药，导致农药残留超标。农药质量低劣，农药行业制药水平参差不齐，农民使用的农药品质不纯，导致蔬菜出现农药残留超标问题。化学农药在环境中的降解速度缓慢，易在蔬菜表面残留较长时间。</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（9）吡虫啉</w:t>
      </w:r>
    </w:p>
    <w:p>
      <w:pPr>
        <w:keepNext w:val="0"/>
        <w:keepLines w:val="0"/>
        <w:widowControl/>
        <w:suppressLineNumbers w:val="0"/>
        <w:spacing w:line="360" w:lineRule="auto"/>
        <w:ind w:firstLine="620" w:firstLineChars="200"/>
        <w:jc w:val="left"/>
        <w:rPr>
          <w:rFonts w:hint="eastAsia" w:ascii="仿宋" w:hAnsi="仿宋" w:eastAsia="仿宋" w:cs="仿宋"/>
          <w:color w:val="000000"/>
          <w:kern w:val="0"/>
          <w:sz w:val="31"/>
          <w:szCs w:val="31"/>
          <w:lang w:val="en-US" w:eastAsia="zh-CN" w:bidi="ar"/>
        </w:rPr>
      </w:pPr>
      <w:r>
        <w:rPr>
          <w:rFonts w:hint="eastAsia" w:ascii="仿宋" w:hAnsi="仿宋" w:eastAsia="仿宋" w:cs="仿宋"/>
          <w:color w:val="000000"/>
          <w:kern w:val="0"/>
          <w:sz w:val="31"/>
          <w:szCs w:val="31"/>
          <w:lang w:val="en-US" w:eastAsia="zh-CN" w:bidi="ar"/>
        </w:rPr>
        <w:t>吡虫啉是烟碱类超高效杀虫剂，具有广谱、高效、低毒、低残留等特点，害虫不易产生抗性，并有触杀、胃毒和内吸等多重作用。害虫接触药剂后，中枢神经正常传导受阻，使其麻痹死亡。产品速效性好，药后1天即有较高的防效，残留期长达25天左右。药效和温度呈正相关，温度高，杀虫效果好。主要用于防治刺吸式口器害虫，不慎食用和长期过量食用吡虫啉超标的作物对人体有害。本次检测中4批次香蕉和2批次姜检测不合格。吡虫啉超标的原因，可能是农户为快速控制虫害加大用药量，或未遵守采摘间隔期规定，致使上市销售时产品中的药物残留量未降解至标准限量以下。</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（10）甲拌磷</w:t>
      </w:r>
    </w:p>
    <w:p>
      <w:pPr>
        <w:keepNext w:val="0"/>
        <w:keepLines w:val="0"/>
        <w:widowControl/>
        <w:suppressLineNumbers w:val="0"/>
        <w:spacing w:line="360" w:lineRule="auto"/>
        <w:ind w:firstLine="620" w:firstLineChars="200"/>
        <w:jc w:val="left"/>
      </w:pPr>
      <w:r>
        <w:rPr>
          <w:rFonts w:hint="eastAsia" w:ascii="仿宋" w:hAnsi="仿宋" w:eastAsia="仿宋" w:cs="仿宋"/>
          <w:color w:val="000000"/>
          <w:kern w:val="0"/>
          <w:sz w:val="31"/>
          <w:szCs w:val="31"/>
          <w:lang w:val="en-US" w:eastAsia="zh-CN" w:bidi="ar"/>
        </w:rPr>
        <w:t>甲拌磷又称高毒、高效、广谱的内吸性杀虫杀螨剂，有触杀、胃毒、熏蒸作用，对刺吸式口器和咀嚼式口器害虫都有效，药效期长。本次检测中1批次普通白菜检查不合格。甲拌磷超标的原因，可能是农户为快速控制虫害加大用药量，或未遵守采摘间隔期规定，致使上市销售时产品中的药物残留量未降解至标准限量以下。</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b/>
          <w:bCs w:val="0"/>
          <w:color w:val="000000"/>
          <w:sz w:val="30"/>
          <w:szCs w:val="30"/>
          <w:highlight w:val="none"/>
          <w:lang w:val="en-US" w:eastAsia="zh-CN"/>
        </w:rPr>
      </w:pPr>
      <w:r>
        <w:rPr>
          <w:rFonts w:hint="eastAsia" w:ascii="仿宋" w:hAnsi="仿宋" w:eastAsia="仿宋" w:cs="仿宋"/>
          <w:b/>
          <w:bCs w:val="0"/>
          <w:color w:val="000000"/>
          <w:sz w:val="30"/>
          <w:szCs w:val="30"/>
          <w:highlight w:val="none"/>
          <w:lang w:val="en-US" w:eastAsia="zh-CN"/>
        </w:rPr>
        <w:t>（11）地西泮</w:t>
      </w:r>
    </w:p>
    <w:p>
      <w:pPr>
        <w:keepNext w:val="0"/>
        <w:keepLines w:val="0"/>
        <w:widowControl/>
        <w:suppressLineNumbers w:val="0"/>
        <w:spacing w:line="360" w:lineRule="auto"/>
        <w:ind w:firstLine="620" w:firstLineChars="200"/>
        <w:jc w:val="left"/>
      </w:pPr>
      <w:r>
        <w:rPr>
          <w:rFonts w:hint="eastAsia" w:ascii="仿宋" w:hAnsi="仿宋" w:eastAsia="仿宋" w:cs="仿宋"/>
          <w:color w:val="000000"/>
          <w:kern w:val="0"/>
          <w:sz w:val="31"/>
          <w:szCs w:val="31"/>
          <w:lang w:val="en-US" w:eastAsia="zh-CN" w:bidi="ar"/>
        </w:rPr>
        <w:t>地西泮又名安定，是镇静类药物，具有镇静、催眠、抗焦虑等作用，淡水鱼养殖中使用地西泮，可以降低新鲜活鱼对外界的感知能力，降低新陈代谢，保证其经过运输后仍然鲜活。本次检测中2批次淡水鱼检查不合格。地西泮超标的原因，可能是商户为使鱼降低新陈代谢，保证其经过运输后仍然鲜活。</w:t>
      </w:r>
    </w:p>
    <w:p>
      <w:pPr>
        <w:pStyle w:val="8"/>
      </w:pPr>
    </w:p>
    <w:p>
      <w:pPr>
        <w:keepNext w:val="0"/>
        <w:keepLines w:val="0"/>
        <w:widowControl/>
        <w:numPr>
          <w:ilvl w:val="0"/>
          <w:numId w:val="0"/>
        </w:numPr>
        <w:suppressLineNumbers w:val="0"/>
        <w:spacing w:line="360" w:lineRule="auto"/>
        <w:jc w:val="left"/>
        <w:rPr>
          <w:rFonts w:hint="default"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（三）</w:t>
      </w:r>
      <w:r>
        <w:rPr>
          <w:rFonts w:hint="default" w:ascii="仿宋" w:hAnsi="仿宋" w:eastAsia="仿宋" w:cs="仿宋"/>
          <w:b/>
          <w:bCs/>
          <w:color w:val="000000"/>
          <w:kern w:val="0"/>
          <w:sz w:val="30"/>
          <w:szCs w:val="30"/>
          <w:lang w:val="en-US" w:eastAsia="zh-CN" w:bidi="ar"/>
        </w:rPr>
        <w:t>微生物污染</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textAlignment w:val="auto"/>
        <w:outlineLvl w:val="3"/>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（1）大肠菌群</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本次抽检不合格的271批次中，有125批次餐饮具大肠菌群项目不合格，标准值为不得检出，实际为检出；大肠菌群是在一定条件下发酵乳糖产酸产气的需氧和兼性厌氧革兰氏阴性无芽胞杆菌，与粪便污染有关。大肠菌群数的高低，表明了粪便污染的程度，也反映了对人体健康危害的大小。餐饮具中检出大肠菌群，则可以推测该样品接触的食品中也存在着肠道致病菌污染的可能性，潜伏着食物中毒和流行病的威胁，对人体健康具有潜在的危险性。餐饮具检出大肠菌群的原因可能是餐饮具清洗不彻底；消毒餐饮具用消毒液未达到规定浓度，或者餐饮具热力消毒时未达到规定温度，或者是消毒时间未达到规定要求。使用大肠菌群超标的餐饮具，容易使人腹泻。</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textAlignment w:val="auto"/>
        <w:outlineLvl w:val="3"/>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（2）铜绿假单胞菌</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铜绿假单胞菌，因在代谢过程中产生水溶性的绿色色素，使伤口与创面呈绿色，又叫绿脓杆菌。该菌是一种常见的环境微生物，因对营养要求不高，善于利用各种碳源和氨化化合物作为氮源，所以在水、土壤、食品以及医院等环境中广泛存在。该菌最适生长温度为25~30℃。同时因对消毒剂、干燥、紫外线等理化因素具有很强的抵抗力，所以对抵抗力较弱的人群存在较大健康风险，容易引起急性肠道炎、脑膜炎、败血症和皮肤炎症等疾病。但对健康个体,很少引起严重疾病。本次抽检发现2家纯净水厂家生产的纯净水中检出不合格。可能的原因是由于桶装饮用水生产工艺相对简单，铜绿假单胞菌有可能会透过过滤装置进而粘附于管道、滤膜、贮水池及增压泵中并进行繁殖，而简单的反冲洗并不能将该菌彻底消除，即使常规的消毒技术，也难以彻底去除铜绿假单胞菌，消毒不彻底。</w:t>
      </w:r>
    </w:p>
    <w:p>
      <w:pPr>
        <w:keepNext w:val="0"/>
        <w:keepLines w:val="0"/>
        <w:widowControl/>
        <w:numPr>
          <w:ilvl w:val="0"/>
          <w:numId w:val="0"/>
        </w:numPr>
        <w:suppressLineNumbers w:val="0"/>
        <w:spacing w:line="360" w:lineRule="auto"/>
        <w:jc w:val="left"/>
        <w:rPr>
          <w:rFonts w:hint="default"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（四）</w:t>
      </w:r>
      <w:r>
        <w:rPr>
          <w:rFonts w:hint="default" w:ascii="仿宋" w:hAnsi="仿宋" w:eastAsia="仿宋" w:cs="仿宋"/>
          <w:b/>
          <w:bCs/>
          <w:color w:val="000000"/>
          <w:kern w:val="0"/>
          <w:sz w:val="30"/>
          <w:szCs w:val="30"/>
          <w:lang w:val="en-US" w:eastAsia="zh-CN" w:bidi="ar"/>
        </w:rPr>
        <w:t>洗涤剂</w:t>
      </w:r>
      <w:r>
        <w:rPr>
          <w:rFonts w:hint="eastAsia" w:ascii="仿宋" w:hAnsi="仿宋" w:eastAsia="仿宋" w:cs="仿宋"/>
          <w:b/>
          <w:bCs/>
          <w:color w:val="000000"/>
          <w:kern w:val="0"/>
          <w:sz w:val="30"/>
          <w:szCs w:val="30"/>
          <w:lang w:val="en-US" w:eastAsia="zh-CN" w:bidi="ar"/>
        </w:rPr>
        <w:t>超标</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本次抽检不合格的271批次中，有65批次餐饮具阴离子合成洗涤剂项目不合格，标准值为不得检出，实际为检出。阴离子合成洗涤剂是一种混合物，主要成分是烷基苯磺酸钠，还有一些增净剂、漂白剂、荧光增白剂、抗腐蚀剂、泡沫调节剂、酶等辅助成分。《食品安全国家标准消毒餐（饮）具》（GB14934-2016）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p>
      <w:pPr>
        <w:keepNext w:val="0"/>
        <w:keepLines w:val="0"/>
        <w:widowControl/>
        <w:numPr>
          <w:ilvl w:val="0"/>
          <w:numId w:val="0"/>
        </w:numPr>
        <w:suppressLineNumbers w:val="0"/>
        <w:spacing w:line="360" w:lineRule="auto"/>
        <w:jc w:val="left"/>
        <w:rPr>
          <w:rFonts w:hint="default"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（五）</w:t>
      </w:r>
      <w:r>
        <w:rPr>
          <w:rFonts w:hint="default" w:ascii="仿宋" w:hAnsi="仿宋" w:eastAsia="仿宋" w:cs="仿宋"/>
          <w:b/>
          <w:bCs/>
          <w:color w:val="000000"/>
          <w:kern w:val="0"/>
          <w:sz w:val="30"/>
          <w:szCs w:val="30"/>
          <w:lang w:val="en-US" w:eastAsia="zh-CN" w:bidi="ar"/>
        </w:rPr>
        <w:t>质量指标</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textAlignment w:val="auto"/>
        <w:outlineLvl w:val="3"/>
        <w:rPr>
          <w:rFonts w:hint="default"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（1）</w:t>
      </w:r>
      <w:r>
        <w:rPr>
          <w:rFonts w:hint="default" w:ascii="仿宋" w:hAnsi="仿宋" w:eastAsia="仿宋" w:cs="仿宋"/>
          <w:b/>
          <w:bCs/>
          <w:color w:val="000000"/>
          <w:sz w:val="30"/>
          <w:szCs w:val="30"/>
          <w:highlight w:val="none"/>
          <w:lang w:val="en-US" w:eastAsia="zh-CN"/>
        </w:rPr>
        <w:t>即食海蜇中铝的残留量(以Al计)</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default" w:ascii="仿宋" w:hAnsi="仿宋" w:eastAsia="仿宋" w:cs="仿宋"/>
          <w:color w:val="000000"/>
          <w:sz w:val="30"/>
          <w:szCs w:val="30"/>
          <w:highlight w:val="none"/>
          <w:lang w:val="en-US" w:eastAsia="zh-CN"/>
        </w:rPr>
      </w:pPr>
      <w:r>
        <w:rPr>
          <w:rFonts w:hint="default" w:ascii="仿宋" w:hAnsi="仿宋" w:eastAsia="仿宋" w:cs="仿宋"/>
          <w:color w:val="000000"/>
          <w:sz w:val="30"/>
          <w:szCs w:val="30"/>
          <w:highlight w:val="none"/>
          <w:lang w:val="en-US" w:eastAsia="zh-CN"/>
        </w:rPr>
        <w:t>新鲜海蜇含水多，皮较厚且含有毒素，需经过盐加明矾盐渍处理，因此我国允许在海蜇加工添加明矾作为脱水剂。但在水产品及其制品中，铝的残留量必须符合标准规定的限量。</w:t>
      </w:r>
      <w:r>
        <w:rPr>
          <w:rFonts w:hint="eastAsia" w:ascii="仿宋" w:hAnsi="仿宋" w:eastAsia="仿宋" w:cs="仿宋"/>
          <w:color w:val="000000"/>
          <w:sz w:val="30"/>
          <w:szCs w:val="30"/>
          <w:highlight w:val="none"/>
          <w:lang w:val="en-US" w:eastAsia="zh-CN"/>
        </w:rPr>
        <w:t>本次抽检发现19批次的拌海蜇铝的残留量超标，</w:t>
      </w:r>
      <w:r>
        <w:rPr>
          <w:rFonts w:hint="default" w:ascii="仿宋" w:hAnsi="仿宋" w:eastAsia="仿宋" w:cs="仿宋"/>
          <w:color w:val="000000"/>
          <w:sz w:val="30"/>
          <w:szCs w:val="30"/>
          <w:highlight w:val="none"/>
          <w:lang w:val="en-US" w:eastAsia="zh-CN"/>
        </w:rPr>
        <w:t>长期食用铝含量过高的食品，可能会引起神经系统病变，表现为记忆减退、视觉与运动协调失灵，严重的会对人体细胞的正常代谢产生影响。儿童过量食用铝超标食品会严重影响其骨骼和智力发育。</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textAlignment w:val="auto"/>
        <w:outlineLvl w:val="3"/>
        <w:rPr>
          <w:rFonts w:hint="default"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（2）蛋白质</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本次抽检中发现2批次腐竹蛋白质不合格，要求大于等于45.0g/100g，检测值为28.7g/100g、35.3g/100g。蛋白质不合格的可能是生产操作中的成分比例控制失误导致。</w:t>
      </w:r>
    </w:p>
    <w:p>
      <w:pPr>
        <w:keepNext w:val="0"/>
        <w:keepLines w:val="0"/>
        <w:widowControl/>
        <w:numPr>
          <w:ilvl w:val="0"/>
          <w:numId w:val="0"/>
        </w:numPr>
        <w:suppressLineNumbers w:val="0"/>
        <w:spacing w:line="360" w:lineRule="auto"/>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（六）超范围、超限量使用食品添加剂</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textAlignment w:val="auto"/>
        <w:outlineLvl w:val="3"/>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（1）苯甲酸及其钠盐(以苯甲酸计)</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苯甲酸及其钠盐(以苯甲酸计)是食品工业中常见的一种防腐剂，对霉菌、酵母和细菌有较好的抑制作用。《食品安全国家标准食品添加剂使用标准》（GB2760-2014）中规定，米酒中苯甲酸及其钠盐(以苯甲酸计)不得检出。本次检测1批次米酒中苯甲酸及其钠盐(以苯甲酸计)实测值为0.201g/kg。苯甲酸及其钠盐超标的原因，可能是企业为延长产品保质期，或者弥补产品生产过程卫生条件不佳而超限量使用；还有可能为原料带入。</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2" w:firstLineChars="200"/>
        <w:textAlignment w:val="auto"/>
        <w:outlineLvl w:val="3"/>
        <w:rPr>
          <w:rFonts w:hint="eastAsia" w:ascii="仿宋" w:hAnsi="仿宋" w:eastAsia="仿宋" w:cs="仿宋"/>
          <w:b/>
          <w:bCs/>
          <w:color w:val="000000"/>
          <w:sz w:val="30"/>
          <w:szCs w:val="30"/>
          <w:highlight w:val="none"/>
          <w:lang w:val="en-US" w:eastAsia="zh-CN"/>
        </w:rPr>
      </w:pPr>
      <w:r>
        <w:rPr>
          <w:rFonts w:hint="eastAsia" w:ascii="仿宋" w:hAnsi="仿宋" w:eastAsia="仿宋" w:cs="仿宋"/>
          <w:b/>
          <w:bCs/>
          <w:color w:val="000000"/>
          <w:sz w:val="30"/>
          <w:szCs w:val="30"/>
          <w:highlight w:val="none"/>
          <w:lang w:val="en-US" w:eastAsia="zh-CN"/>
        </w:rPr>
        <w:t>（2）脱氢乙酸及其钠盐(以脱氢乙酸计)</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脱氢乙酸是一种低毒高效防腐、防霉剂。在酸、碱条件下均有一定的抗菌作用，尤其对霉菌的抑制作用最强，是一种有效的消毒剂。脱氢乙酸是联合国粮农组织（FAO）和世界卫生组织（WHO）认可的一种安全的食品防霉防腐保鲜剂，按标准规定的范围和使用量使用是安全可靠的。《食品安全国家标准食品添加剂使用标准》GB2760-2014、《食品安全国家标准食品中污染物限量》GB2762-2017中规定，粮食加工品中不得使用。本次检测中1批次粮食加工品的脱氢乙酸有检出。</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2" w:firstLineChars="200"/>
        <w:textAlignment w:val="auto"/>
        <w:outlineLvl w:val="3"/>
        <w:rPr>
          <w:rFonts w:hint="eastAsia" w:ascii="仿宋" w:hAnsi="仿宋" w:eastAsia="仿宋" w:cs="仿宋"/>
          <w:color w:val="000000"/>
          <w:sz w:val="30"/>
          <w:szCs w:val="30"/>
          <w:highlight w:val="none"/>
          <w:lang w:val="en-US" w:eastAsia="zh-CN"/>
        </w:rPr>
      </w:pPr>
      <w:bookmarkStart w:id="1" w:name="_Toc16961"/>
      <w:r>
        <w:rPr>
          <w:rFonts w:hint="eastAsia" w:ascii="仿宋" w:hAnsi="仿宋" w:eastAsia="仿宋" w:cs="仿宋"/>
          <w:b/>
          <w:bCs w:val="0"/>
          <w:color w:val="000000"/>
          <w:sz w:val="30"/>
          <w:szCs w:val="30"/>
          <w:highlight w:val="none"/>
          <w:lang w:val="en-US" w:eastAsia="zh-CN"/>
        </w:rPr>
        <w:t>（3）糖精钠</w:t>
      </w:r>
      <w:bookmarkEnd w:id="1"/>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600" w:firstLineChars="200"/>
        <w:textAlignment w:val="auto"/>
        <w:outlineLvl w:val="3"/>
        <w:rPr>
          <w:rFonts w:hint="eastAsia" w:ascii="仿宋" w:hAnsi="仿宋" w:eastAsia="仿宋" w:cs="仿宋"/>
          <w:color w:val="000000"/>
          <w:sz w:val="30"/>
          <w:szCs w:val="30"/>
          <w:highlight w:val="none"/>
          <w:lang w:val="en-US" w:eastAsia="zh-CN"/>
        </w:rPr>
      </w:pPr>
      <w:bookmarkStart w:id="2" w:name="_Toc27859"/>
      <w:r>
        <w:rPr>
          <w:rFonts w:hint="eastAsia" w:ascii="仿宋" w:hAnsi="仿宋" w:eastAsia="仿宋" w:cs="仿宋"/>
          <w:color w:val="000000"/>
          <w:sz w:val="30"/>
          <w:szCs w:val="30"/>
          <w:highlight w:val="none"/>
          <w:lang w:val="en-US" w:eastAsia="zh-CN"/>
        </w:rPr>
        <w:t>糖精钠是食品工业中常用的合成甜味剂，且使用历史最长，但也是最引起争议的合成甜味剂。糖精钠的甜度比蔗糖甜300-500倍，在生物体内不被分解，由肾排出体外。但其毒性不强，起争议主要在其致癌性。最近的研究显示糖精的阴离子可作为钠离子的载体而导致尿液生理性质的改变。《食品安全国家标准食品添加剂使用标准》（GB2760-2014）中规定，糖精钠在馒头、米酒中不允许使用。本次抽检有1批次馒头检出糖精钠，2批次米酒中检出糖精钠。糖精钠超标的原因，可能是企业为了增加产品的甜度而非法添加。</w:t>
      </w:r>
      <w:bookmarkEnd w:id="2"/>
    </w:p>
    <w:p>
      <w:pPr>
        <w:keepNext w:val="0"/>
        <w:keepLines w:val="0"/>
        <w:widowControl/>
        <w:numPr>
          <w:ilvl w:val="0"/>
          <w:numId w:val="0"/>
        </w:numPr>
        <w:suppressLineNumbers w:val="0"/>
        <w:spacing w:line="360" w:lineRule="auto"/>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（七）重金属等元素污染物</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eastAsia" w:ascii="仿宋" w:hAnsi="仿宋" w:eastAsia="仿宋" w:cs="仿宋"/>
          <w:color w:val="000000"/>
          <w:sz w:val="30"/>
          <w:szCs w:val="30"/>
          <w:highlight w:val="none"/>
          <w:lang w:val="en-US" w:eastAsia="zh-CN"/>
        </w:rPr>
      </w:pPr>
      <w:r>
        <w:rPr>
          <w:rFonts w:hint="eastAsia" w:ascii="仿宋" w:hAnsi="仿宋" w:eastAsia="仿宋" w:cs="仿宋"/>
          <w:color w:val="000000"/>
          <w:sz w:val="30"/>
          <w:szCs w:val="30"/>
          <w:highlight w:val="none"/>
          <w:lang w:val="en-US" w:eastAsia="zh-CN"/>
        </w:rPr>
        <w:t>重金属污染是指食品在生产、加工或运输过程中受到由重金属或其化合物造成的污染。过量的重金属物质会在人体中富集，一定程度后导致组织器官病变，危害人体健康。引起食品中污染物超标的主要原因：一是原料在种植环节环境迁移性或加工过程中污染所致；二是生产者对原料的验收标准不够严格所致。镉是水产品中常见的重金属元素污染物之一。《食品安全国家标准食品中污染物限量》（GB2762-2017）中规定，镉在辣椒中最大限量为0.05mg/kg。4批次不合格辣椒中镉的实测值最低为0.063mg/kg、最高为0.15mg/kg。农产品出现镉超标，有可能是在种植过程中，环境内镉元素富集所致。镉对人体的危害主要是慢性蓄积性，长期大量摄入镉含量超标的食品可能导致肾和骨骼损伤等。</w:t>
      </w:r>
    </w:p>
    <w:p>
      <w:pPr>
        <w:keepNext w:val="0"/>
        <w:keepLines w:val="0"/>
        <w:widowControl/>
        <w:numPr>
          <w:ilvl w:val="0"/>
          <w:numId w:val="1"/>
        </w:numPr>
        <w:suppressLineNumbers w:val="0"/>
        <w:spacing w:line="360" w:lineRule="auto"/>
        <w:ind w:left="0" w:leftChars="0" w:firstLine="0" w:firstLineChars="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风险防范措施</w:t>
      </w:r>
    </w:p>
    <w:p>
      <w:pPr>
        <w:keepNext w:val="0"/>
        <w:keepLines w:val="0"/>
        <w:widowControl/>
        <w:numPr>
          <w:ilvl w:val="0"/>
          <w:numId w:val="4"/>
        </w:numPr>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质量指标不合格风险防范措施</w:t>
      </w:r>
    </w:p>
    <w:p>
      <w:pPr>
        <w:keepNext w:val="0"/>
        <w:keepLines w:val="0"/>
        <w:widowControl/>
        <w:numPr>
          <w:ilvl w:val="0"/>
          <w:numId w:val="0"/>
        </w:numPr>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针对上述产品品质指标不达标的问题，企业应更好地落实主体责任，按照确定的生产工艺规范生产，并做好投料记录和生产台账，诚信生产、不偷工减料，不以次充好。生产者应加强对原料的质量控制和出厂检验的把控。监管部门要对企业落实主体责任、加强生产过程控制的情况强化监管，对不合格产品生产主体建立跟踪检查机制。</w:t>
      </w:r>
    </w:p>
    <w:p>
      <w:pPr>
        <w:keepNext w:val="0"/>
        <w:keepLines w:val="0"/>
        <w:widowControl/>
        <w:numPr>
          <w:ilvl w:val="0"/>
          <w:numId w:val="4"/>
        </w:numPr>
        <w:suppressLineNumbers w:val="0"/>
        <w:ind w:left="0" w:leftChars="0" w:firstLine="0" w:firstLineChars="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超范围、超限量使用食品添加剂风险防范措施</w:t>
      </w:r>
    </w:p>
    <w:p>
      <w:pPr>
        <w:keepNext w:val="0"/>
        <w:keepLines w:val="0"/>
        <w:widowControl/>
        <w:numPr>
          <w:ilvl w:val="0"/>
          <w:numId w:val="0"/>
        </w:numPr>
        <w:suppressLineNumbers w:val="0"/>
        <w:ind w:leftChars="0"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一是食品生产企业要严格遵守相关标准法规。生产企业应严格遵守《食品安全国家标准食品添加剂使用标准》（GB2760-2014）的要求，在达到预期效果的前提下尽可能降低各类食品添加剂在食品中的使用量。积极通过改进工艺、革新技术等手段从技术、工艺上控制褐变、氧化变质、有害微生物的污染和繁殖。生产者应加强食品安全知识及相关标准的学习，熟悉自身产品在《食品安全国家标准食品添加剂使用标准》（GB2760-2014）标准中的分类，严格按照规定品种和限量要求生产，并如实标注。二是监管部门要进一步加强对食品添加剂使用的科学指导，确定本地区食品添加剂使用监管重点，加大对食品添加剂滥用行为的监管力度。三是消费者应树立正确的消费观，认真研读食品标签。消费者要以正确心态选购食品，避免过度追求食品的外观。在选择食品之前，可以通过研读食品标签辨认该食品是否添加，添加了哪些食品添加剂。</w:t>
      </w:r>
    </w:p>
    <w:p>
      <w:pPr>
        <w:keepNext w:val="0"/>
        <w:keepLines w:val="0"/>
        <w:widowControl/>
        <w:numPr>
          <w:ilvl w:val="0"/>
          <w:numId w:val="4"/>
        </w:numPr>
        <w:suppressLineNumbers w:val="0"/>
        <w:ind w:left="0" w:leftChars="0" w:firstLine="0" w:firstLineChars="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农药残留不合格风险防范措施</w:t>
      </w:r>
    </w:p>
    <w:p>
      <w:pPr>
        <w:keepNext w:val="0"/>
        <w:keepLines w:val="0"/>
        <w:widowControl/>
        <w:numPr>
          <w:ilvl w:val="0"/>
          <w:numId w:val="0"/>
        </w:numPr>
        <w:suppressLineNumbers w:val="0"/>
        <w:ind w:leftChars="0"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食品生产经营单位应把好原料采购关，严格落实索证、索票制度。农业农村部门应加强对菜农、果农农药的使用培训，指导他们科学合理用药，杜绝使用禁用农药。要积极探索食用农产品生产、销售环节监管部门行之有效的联动监管机制，建立“产地准出”、“产品准入”有机衔接机制。</w:t>
      </w:r>
    </w:p>
    <w:p>
      <w:pPr>
        <w:keepNext w:val="0"/>
        <w:keepLines w:val="0"/>
        <w:widowControl/>
        <w:numPr>
          <w:ilvl w:val="0"/>
          <w:numId w:val="4"/>
        </w:numPr>
        <w:suppressLineNumbers w:val="0"/>
        <w:ind w:left="0" w:leftChars="0" w:firstLine="0" w:firstLineChars="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兽药残留不合格风险防范措施</w:t>
      </w:r>
    </w:p>
    <w:p>
      <w:pPr>
        <w:keepNext w:val="0"/>
        <w:keepLines w:val="0"/>
        <w:widowControl/>
        <w:numPr>
          <w:ilvl w:val="0"/>
          <w:numId w:val="0"/>
        </w:numPr>
        <w:suppressLineNumbers w:val="0"/>
        <w:ind w:leftChars="0"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兽药残留是指用药后蓄积或存留于畜禽产品或水产品机体或产品（如鲜蛋、奶制品、肉制品、水产制品等）中原型药物或其代谢产物或杂质，养殖环节用药不当或违规用药是产生兽药残留的最主要原因。兽药残留超标主要是原料带入所致，为了有效防范兽药成分带入到加工食品中，食品经营者应落实好食用农产品进货查验采购关，严格落实索证索票制度。</w:t>
      </w:r>
    </w:p>
    <w:p>
      <w:pPr>
        <w:keepNext w:val="0"/>
        <w:keepLines w:val="0"/>
        <w:widowControl/>
        <w:numPr>
          <w:ilvl w:val="0"/>
          <w:numId w:val="4"/>
        </w:numPr>
        <w:suppressLineNumbers w:val="0"/>
        <w:ind w:left="0" w:leftChars="0" w:firstLine="0" w:firstLineChars="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食品微生物不合格风险防范措施</w:t>
      </w:r>
    </w:p>
    <w:p>
      <w:pPr>
        <w:keepNext w:val="0"/>
        <w:keepLines w:val="0"/>
        <w:widowControl/>
        <w:numPr>
          <w:ilvl w:val="0"/>
          <w:numId w:val="0"/>
        </w:numPr>
        <w:suppressLineNumbers w:val="0"/>
        <w:ind w:leftChars="0"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针对食品微生物不合格的风险防范措施：一是食品生产企业应严格落实主体责任，注重生产全过程质量控制。首先应加强原物料的采购控制，切实把好源头关。食品原料中存在大量微生物，条件适宜时更易繁殖倍增，要做好原辅材料的温湿度控制工作。应注重生产全过程、全方位质量控制，保持生产场所和生产设备的环境卫生，确保人、机、料的清洗消毒到位，保证关键控制点有效运行，减少微生物滋生带来的风险。另外，还应严格按照灭菌工艺参数操作，根据需要采用各种手段杀灭原料、成品中的微生物。二是食品经营单位应控制好销售食品的贮存环境。经营者应清楚产品的存放要求，同时应对不同类食品做好分隔，避免交叉污染。三是监管部门要加强对重点产品涉及企业的巡查频次和力度。在日常巡查中应督促生产、经营单位做好生产场所卫生清洁及各类库房的环境条件控制，对卫生清洁、消毒杀菌等记录加强检查。</w:t>
      </w:r>
    </w:p>
    <w:p>
      <w:pPr>
        <w:keepNext w:val="0"/>
        <w:keepLines w:val="0"/>
        <w:widowControl/>
        <w:numPr>
          <w:ilvl w:val="0"/>
          <w:numId w:val="4"/>
        </w:numPr>
        <w:suppressLineNumbers w:val="0"/>
        <w:ind w:left="0" w:leftChars="0" w:firstLine="0" w:firstLineChars="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重金属等污染物不合格风险防范措施</w:t>
      </w:r>
    </w:p>
    <w:p>
      <w:pPr>
        <w:keepNext w:val="0"/>
        <w:keepLines w:val="0"/>
        <w:widowControl/>
        <w:numPr>
          <w:ilvl w:val="0"/>
          <w:numId w:val="0"/>
        </w:numPr>
        <w:suppressLineNumbers w:val="0"/>
        <w:ind w:leftChars="0" w:firstLine="600" w:firstLineChars="200"/>
        <w:jc w:val="left"/>
        <w:rPr>
          <w:rFonts w:hint="eastAsia" w:ascii="仿宋" w:hAnsi="仿宋" w:eastAsia="仿宋" w:cs="仿宋"/>
          <w:sz w:val="30"/>
          <w:szCs w:val="30"/>
        </w:rPr>
      </w:pPr>
      <w:r>
        <w:rPr>
          <w:rFonts w:hint="eastAsia" w:ascii="仿宋" w:hAnsi="仿宋" w:eastAsia="仿宋" w:cs="仿宋"/>
          <w:color w:val="000000"/>
          <w:kern w:val="0"/>
          <w:sz w:val="30"/>
          <w:szCs w:val="30"/>
          <w:lang w:val="en-US" w:eastAsia="zh-CN" w:bidi="ar"/>
        </w:rPr>
        <w:t>食品中的污染物超标分为环境迁移性污染和加工过程性污染。针对重金属等环境迁移性污染，为了将风险降至最低，食品加工者一定要把好原料质量关，严格落实索证、索票制度，在原辅料投入使用时，有条件的企业要对其中的污染物进行检验。针对加工过程中的污染，建议生产加工者在生产前做好设备的清洁、同时规范消毒剂的使用等。监管部门在日常巡查时应加强对企业索证索票情况和生产加工过程控制记录的检查。</w:t>
      </w:r>
    </w:p>
    <w:p>
      <w:pPr>
        <w:keepNext w:val="0"/>
        <w:keepLines w:val="0"/>
        <w:widowControl/>
        <w:numPr>
          <w:ilvl w:val="0"/>
          <w:numId w:val="1"/>
        </w:numPr>
        <w:suppressLineNumbers w:val="0"/>
        <w:spacing w:line="360" w:lineRule="auto"/>
        <w:ind w:left="0" w:leftChars="0" w:firstLine="0" w:firstLineChars="0"/>
        <w:jc w:val="left"/>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下一步监管工作</w:t>
      </w:r>
    </w:p>
    <w:p>
      <w:pPr>
        <w:keepNext w:val="0"/>
        <w:keepLines w:val="0"/>
        <w:widowControl/>
        <w:numPr>
          <w:ilvl w:val="0"/>
          <w:numId w:val="5"/>
        </w:numPr>
        <w:suppressLineNumbers w:val="0"/>
        <w:ind w:left="0" w:leftChars="0" w:firstLine="600" w:firstLineChars="200"/>
        <w:jc w:val="left"/>
        <w:rPr>
          <w:rFonts w:ascii="楷体" w:hAnsi="楷体" w:eastAsia="楷体" w:cs="楷体"/>
          <w:color w:val="000000"/>
          <w:kern w:val="0"/>
          <w:sz w:val="30"/>
          <w:szCs w:val="30"/>
          <w:lang w:val="en-US" w:eastAsia="zh-CN" w:bidi="ar"/>
        </w:rPr>
      </w:pPr>
      <w:r>
        <w:rPr>
          <w:rFonts w:ascii="楷体" w:hAnsi="楷体" w:eastAsia="楷体" w:cs="楷体"/>
          <w:color w:val="000000"/>
          <w:kern w:val="0"/>
          <w:sz w:val="30"/>
          <w:szCs w:val="30"/>
          <w:lang w:val="en-US" w:eastAsia="zh-CN" w:bidi="ar"/>
        </w:rPr>
        <w:t>坚持问题导向，提高问题发现机率</w:t>
      </w:r>
    </w:p>
    <w:p>
      <w:pPr>
        <w:keepNext w:val="0"/>
        <w:keepLines w:val="0"/>
        <w:widowControl/>
        <w:numPr>
          <w:ilvl w:val="0"/>
          <w:numId w:val="0"/>
        </w:numPr>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克服为完成抽检任务而抽检的倾向，坚持问题导向，开展针对性专项抽检，有效提高抽检靶向性，提高问题食品的发现率。加强监测数据的应用，进一步提高食品安全监督抽检工作的科学性和有效性，结合风险监测发现的问题，发现食品安全隐患，有效预防食品安全事故的发生。</w:t>
      </w:r>
    </w:p>
    <w:p>
      <w:pPr>
        <w:keepNext w:val="0"/>
        <w:keepLines w:val="0"/>
        <w:widowControl/>
        <w:numPr>
          <w:ilvl w:val="0"/>
          <w:numId w:val="5"/>
        </w:numPr>
        <w:suppressLineNumbers w:val="0"/>
        <w:ind w:left="0" w:leftChars="0" w:firstLine="600" w:firstLineChars="200"/>
        <w:jc w:val="left"/>
        <w:rPr>
          <w:rFonts w:hint="eastAsia" w:ascii="楷体" w:hAnsi="楷体" w:eastAsia="楷体" w:cs="楷体"/>
          <w:color w:val="000000"/>
          <w:kern w:val="0"/>
          <w:sz w:val="30"/>
          <w:szCs w:val="30"/>
          <w:lang w:val="en-US" w:eastAsia="zh-CN" w:bidi="ar"/>
        </w:rPr>
      </w:pPr>
      <w:r>
        <w:rPr>
          <w:rFonts w:hint="eastAsia" w:ascii="楷体" w:hAnsi="楷体" w:eastAsia="楷体" w:cs="楷体"/>
          <w:color w:val="000000"/>
          <w:kern w:val="0"/>
          <w:sz w:val="30"/>
          <w:szCs w:val="30"/>
          <w:lang w:val="en-US" w:eastAsia="zh-CN" w:bidi="ar"/>
        </w:rPr>
        <w:t>坚持风险分析，实施重点专项抽查</w:t>
      </w:r>
    </w:p>
    <w:p>
      <w:pPr>
        <w:keepNext w:val="0"/>
        <w:keepLines w:val="0"/>
        <w:widowControl/>
        <w:numPr>
          <w:ilvl w:val="0"/>
          <w:numId w:val="0"/>
        </w:numPr>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加大流通环节各抽检地点的监管力度，制定专项抽检计划，提高准入水平，排查风险。开展餐饮环节各项餐饮食品安全专项整治，特别是要加大对宴席承办餐饮单位、学校及托幼机构食堂、机关企事业单位食堂、个体工商户等重点领域、重点单位的监督检查，加大现场制售食品、历年高风险产品的抽检力度，减少引发食物中毒的安全隐患，有效防范食物中毒事故发生，保障人民群众饮食安全。</w:t>
      </w:r>
    </w:p>
    <w:p>
      <w:pPr>
        <w:keepNext w:val="0"/>
        <w:keepLines w:val="0"/>
        <w:widowControl/>
        <w:numPr>
          <w:ilvl w:val="0"/>
          <w:numId w:val="5"/>
        </w:numPr>
        <w:suppressLineNumbers w:val="0"/>
        <w:ind w:left="0" w:leftChars="0" w:firstLine="600" w:firstLineChars="200"/>
        <w:jc w:val="left"/>
        <w:rPr>
          <w:rFonts w:hint="eastAsia" w:ascii="楷体" w:hAnsi="楷体" w:eastAsia="楷体" w:cs="楷体"/>
          <w:color w:val="000000"/>
          <w:kern w:val="0"/>
          <w:sz w:val="30"/>
          <w:szCs w:val="30"/>
          <w:lang w:val="en-US" w:eastAsia="zh-CN" w:bidi="ar"/>
        </w:rPr>
      </w:pPr>
      <w:r>
        <w:rPr>
          <w:rFonts w:hint="eastAsia" w:ascii="楷体" w:hAnsi="楷体" w:eastAsia="楷体" w:cs="楷体"/>
          <w:color w:val="000000"/>
          <w:kern w:val="0"/>
          <w:sz w:val="30"/>
          <w:szCs w:val="30"/>
          <w:lang w:val="en-US" w:eastAsia="zh-CN" w:bidi="ar"/>
        </w:rPr>
        <w:t>坚持培训指导，增强抽检工作效果</w:t>
      </w:r>
    </w:p>
    <w:p>
      <w:pPr>
        <w:keepNext w:val="0"/>
        <w:keepLines w:val="0"/>
        <w:widowControl/>
        <w:numPr>
          <w:ilvl w:val="0"/>
          <w:numId w:val="0"/>
        </w:numPr>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一是加强执法部门人员培训。定期组织食品抽检业务知识、法律法规培训，不断提高在食品抽检过程中发现问题和处置问题能力，全面夯实食品抽检工作基础。二是加强生产经营企业指导。针对检测发现的问题，监管部门要及时汇总、梳理、分析原因，举一反三，及时组织同一行业、相关食品品种经营单位负责人、生产经营人员培训，指导其依法改进生产经营、制度建设方式方法，提供依法诚信经营能力水平。</w:t>
      </w:r>
    </w:p>
    <w:p>
      <w:pPr>
        <w:keepNext w:val="0"/>
        <w:keepLines w:val="0"/>
        <w:widowControl/>
        <w:numPr>
          <w:ilvl w:val="0"/>
          <w:numId w:val="5"/>
        </w:numPr>
        <w:suppressLineNumbers w:val="0"/>
        <w:ind w:left="0" w:leftChars="0" w:firstLine="600" w:firstLineChars="200"/>
        <w:jc w:val="left"/>
        <w:rPr>
          <w:rFonts w:hint="eastAsia" w:ascii="楷体" w:hAnsi="楷体" w:eastAsia="楷体" w:cs="楷体"/>
          <w:color w:val="000000"/>
          <w:kern w:val="0"/>
          <w:sz w:val="30"/>
          <w:szCs w:val="30"/>
          <w:lang w:val="en-US" w:eastAsia="zh-CN" w:bidi="ar"/>
        </w:rPr>
      </w:pPr>
      <w:r>
        <w:rPr>
          <w:rFonts w:hint="eastAsia" w:ascii="楷体" w:hAnsi="楷体" w:eastAsia="楷体" w:cs="楷体"/>
          <w:color w:val="000000"/>
          <w:kern w:val="0"/>
          <w:sz w:val="30"/>
          <w:szCs w:val="30"/>
          <w:lang w:val="en-US" w:eastAsia="zh-CN" w:bidi="ar"/>
        </w:rPr>
        <w:t>坚持跟踪监督，提升核查处置水平</w:t>
      </w:r>
    </w:p>
    <w:p>
      <w:pPr>
        <w:keepNext w:val="0"/>
        <w:keepLines w:val="0"/>
        <w:widowControl/>
        <w:numPr>
          <w:ilvl w:val="0"/>
          <w:numId w:val="0"/>
        </w:numPr>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对抽检发现不合格项目的样品，统一建立不合格样品数据库，在后续的抽检工作中，跟踪监督，确保食品的安全性。对监督检查发现的问题，要一查到底，发现违法违规问题的，要坚决依法严厉查处，涉嫌犯罪的，要及时移送公安机关追究刑事责任。</w:t>
      </w:r>
    </w:p>
    <w:p>
      <w:pPr>
        <w:keepNext w:val="0"/>
        <w:keepLines w:val="0"/>
        <w:widowControl/>
        <w:numPr>
          <w:ilvl w:val="0"/>
          <w:numId w:val="5"/>
        </w:numPr>
        <w:suppressLineNumbers w:val="0"/>
        <w:ind w:left="0" w:leftChars="0" w:firstLine="600" w:firstLineChars="200"/>
        <w:jc w:val="left"/>
        <w:rPr>
          <w:rFonts w:hint="eastAsia" w:ascii="楷体" w:hAnsi="楷体" w:eastAsia="楷体" w:cs="楷体"/>
          <w:color w:val="000000"/>
          <w:kern w:val="0"/>
          <w:sz w:val="30"/>
          <w:szCs w:val="30"/>
          <w:lang w:val="en-US" w:eastAsia="zh-CN" w:bidi="ar"/>
        </w:rPr>
      </w:pPr>
      <w:r>
        <w:rPr>
          <w:rFonts w:hint="eastAsia" w:ascii="楷体" w:hAnsi="楷体" w:eastAsia="楷体" w:cs="楷体"/>
          <w:color w:val="000000"/>
          <w:kern w:val="0"/>
          <w:sz w:val="30"/>
          <w:szCs w:val="30"/>
          <w:lang w:val="en-US" w:eastAsia="zh-CN" w:bidi="ar"/>
        </w:rPr>
        <w:t>坚持法规宣传，形成社会共治机制</w:t>
      </w:r>
    </w:p>
    <w:p>
      <w:pPr>
        <w:keepNext w:val="0"/>
        <w:keepLines w:val="0"/>
        <w:widowControl/>
        <w:numPr>
          <w:ilvl w:val="0"/>
          <w:numId w:val="0"/>
        </w:numPr>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加大食品安全法规科普和宣贯，让生产者、销售者、消费者都能对常见问题项目有一定的科学防范意识。广泛听取社会各单位关于食品抽检工作的意见和建议，参与食品抽检工作的社会监督，不断健全“政府统一领导、部门各负其责、行业企业自律、舆论引导监督、社会公众参与”的社会共治机制，加强投诉举报、食品有奖举报、舆论监督和引导等工作，推动食品安全社会共治的良好局面逐步形成。</w:t>
      </w:r>
    </w:p>
    <w:p>
      <w:pPr>
        <w:keepNext w:val="0"/>
        <w:keepLines w:val="0"/>
        <w:widowControl/>
        <w:numPr>
          <w:ilvl w:val="0"/>
          <w:numId w:val="1"/>
        </w:numPr>
        <w:suppressLineNumbers w:val="0"/>
        <w:ind w:left="0" w:leftChars="0" w:firstLine="0" w:firstLineChars="0"/>
        <w:jc w:val="left"/>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消费提示</w:t>
      </w:r>
    </w:p>
    <w:p>
      <w:pPr>
        <w:keepNext w:val="0"/>
        <w:keepLines w:val="0"/>
        <w:widowControl/>
        <w:numPr>
          <w:ilvl w:val="0"/>
          <w:numId w:val="6"/>
        </w:numPr>
        <w:suppressLineNumbers w:val="0"/>
        <w:ind w:leftChars="0" w:firstLine="600" w:firstLineChars="200"/>
        <w:jc w:val="left"/>
        <w:rPr>
          <w:rFonts w:hint="eastAsia" w:ascii="楷体" w:hAnsi="楷体" w:eastAsia="楷体" w:cs="楷体"/>
          <w:color w:val="000000"/>
          <w:kern w:val="0"/>
          <w:sz w:val="30"/>
          <w:szCs w:val="30"/>
          <w:lang w:val="en-US" w:eastAsia="zh-CN" w:bidi="ar"/>
        </w:rPr>
      </w:pPr>
      <w:r>
        <w:rPr>
          <w:rFonts w:hint="eastAsia" w:ascii="楷体" w:hAnsi="楷体" w:eastAsia="楷体" w:cs="楷体"/>
          <w:color w:val="000000"/>
          <w:kern w:val="0"/>
          <w:sz w:val="30"/>
          <w:szCs w:val="30"/>
          <w:lang w:val="en-US" w:eastAsia="zh-CN" w:bidi="ar"/>
        </w:rPr>
        <w:t>选择正规场所购买食品</w:t>
      </w:r>
    </w:p>
    <w:p>
      <w:pPr>
        <w:keepNext w:val="0"/>
        <w:keepLines w:val="0"/>
        <w:widowControl/>
        <w:numPr>
          <w:ilvl w:val="0"/>
          <w:numId w:val="0"/>
        </w:numPr>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购买食品时要选择正规渠道的商家进行消费，避免购买假冒伪劣产品。要索取购货凭据或保留购物小票，以备维权所需。购买散装食品时，应注意盛放食品容器的显著位置是否有食品名称、厂名厂址、生产日期等信息标注，必要时需询问食品保质期信息。购买食用农产品时应注意选择市场上公示快速检测合格的摊位和品种，也可以使用手机扫瞄摊位上公示的二维码查询该摊位快速检测信息记录。</w:t>
      </w:r>
    </w:p>
    <w:p>
      <w:pPr>
        <w:keepNext w:val="0"/>
        <w:keepLines w:val="0"/>
        <w:widowControl/>
        <w:numPr>
          <w:ilvl w:val="0"/>
          <w:numId w:val="6"/>
        </w:numPr>
        <w:suppressLineNumbers w:val="0"/>
        <w:ind w:left="0" w:leftChars="0" w:firstLine="600" w:firstLineChars="200"/>
        <w:jc w:val="left"/>
        <w:rPr>
          <w:rFonts w:hint="eastAsia" w:ascii="楷体" w:hAnsi="楷体" w:eastAsia="楷体" w:cs="楷体"/>
          <w:color w:val="000000"/>
          <w:kern w:val="0"/>
          <w:sz w:val="30"/>
          <w:szCs w:val="30"/>
          <w:lang w:val="en-US" w:eastAsia="zh-CN" w:bidi="ar"/>
        </w:rPr>
      </w:pPr>
      <w:r>
        <w:rPr>
          <w:rFonts w:hint="eastAsia" w:ascii="楷体" w:hAnsi="楷体" w:eastAsia="楷体" w:cs="楷体"/>
          <w:color w:val="000000"/>
          <w:kern w:val="0"/>
          <w:sz w:val="30"/>
          <w:szCs w:val="30"/>
          <w:lang w:val="en-US" w:eastAsia="zh-CN" w:bidi="ar"/>
        </w:rPr>
        <w:t>采用正确方法储存和烹饪食品</w:t>
      </w:r>
    </w:p>
    <w:p>
      <w:pPr>
        <w:keepNext w:val="0"/>
        <w:keepLines w:val="0"/>
        <w:widowControl/>
        <w:numPr>
          <w:ilvl w:val="0"/>
          <w:numId w:val="0"/>
        </w:numPr>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在家烹制食品，应挑选新鲜、卫生的原材料，认真清洗并做到烧熟煮透；冷冻食品应彻底解冻，以防食品中心加热不透。湿米粉等谷类发酵制品、泡发的木耳或银耳等，尽量在购买当天或泡发当天食用完，凉菜要现做现吃。烹饪前，食品原料要洗净，尤其是蔬菜水果，要浸泡一定时间后再烹饪或食用。切配、盛放食品的刀板和餐具要生熟分开，防止形成交叉污染。</w:t>
      </w:r>
    </w:p>
    <w:p>
      <w:pPr>
        <w:keepNext w:val="0"/>
        <w:keepLines w:val="0"/>
        <w:widowControl/>
        <w:numPr>
          <w:ilvl w:val="0"/>
          <w:numId w:val="6"/>
        </w:numPr>
        <w:suppressLineNumbers w:val="0"/>
        <w:ind w:left="0" w:leftChars="0" w:firstLine="600" w:firstLineChars="200"/>
        <w:jc w:val="left"/>
        <w:rPr>
          <w:rFonts w:hint="eastAsia" w:ascii="楷体" w:hAnsi="楷体" w:eastAsia="楷体" w:cs="楷体"/>
          <w:color w:val="000000"/>
          <w:kern w:val="0"/>
          <w:sz w:val="30"/>
          <w:szCs w:val="30"/>
          <w:lang w:val="en-US" w:eastAsia="zh-CN" w:bidi="ar"/>
        </w:rPr>
      </w:pPr>
      <w:r>
        <w:rPr>
          <w:rFonts w:hint="eastAsia" w:ascii="楷体" w:hAnsi="楷体" w:eastAsia="楷体" w:cs="楷体"/>
          <w:color w:val="000000"/>
          <w:kern w:val="0"/>
          <w:sz w:val="30"/>
          <w:szCs w:val="30"/>
          <w:lang w:val="en-US" w:eastAsia="zh-CN" w:bidi="ar"/>
        </w:rPr>
        <w:t>网络订餐要注意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20" w:lineRule="atLeast"/>
        <w:ind w:left="0" w:right="0"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订餐前应查看商家证照信息、菜品原材料、店铺评价、菜品评价等，理性、谨慎下单。尽量选取近距离的餐饮单位订购，以缩短食物运送的时间；避免网购凉菜、生食食品和冷加工糕点等易被污染食品。收到餐食后，要检查包装是否完整、是否有被开启的痕迹、餐食是否被污染等，并及时食用，勿长时间存放。</w:t>
      </w:r>
    </w:p>
    <w:p>
      <w:pPr>
        <w:keepNext w:val="0"/>
        <w:keepLines w:val="0"/>
        <w:widowControl/>
        <w:numPr>
          <w:ilvl w:val="0"/>
          <w:numId w:val="6"/>
        </w:numPr>
        <w:suppressLineNumbers w:val="0"/>
        <w:ind w:left="0" w:leftChars="0" w:firstLine="600" w:firstLineChars="200"/>
        <w:jc w:val="left"/>
        <w:rPr>
          <w:rFonts w:hint="eastAsia" w:ascii="楷体" w:hAnsi="楷体" w:eastAsia="楷体" w:cs="楷体"/>
          <w:color w:val="000000"/>
          <w:kern w:val="0"/>
          <w:sz w:val="30"/>
          <w:szCs w:val="30"/>
          <w:lang w:val="en-US" w:eastAsia="zh-CN" w:bidi="ar"/>
        </w:rPr>
      </w:pPr>
      <w:r>
        <w:rPr>
          <w:rFonts w:hint="eastAsia" w:ascii="楷体" w:hAnsi="楷体" w:eastAsia="楷体" w:cs="楷体"/>
          <w:color w:val="000000"/>
          <w:kern w:val="0"/>
          <w:sz w:val="30"/>
          <w:szCs w:val="30"/>
          <w:lang w:val="en-US" w:eastAsia="zh-CN" w:bidi="ar"/>
        </w:rPr>
        <w:t>寻找"笑脸"餐馆安心聚餐</w:t>
      </w:r>
    </w:p>
    <w:p>
      <w:pPr>
        <w:keepNext w:val="0"/>
        <w:keepLines w:val="0"/>
        <w:widowControl/>
        <w:numPr>
          <w:ilvl w:val="0"/>
          <w:numId w:val="0"/>
        </w:numPr>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外出聚餐时，消费者应选择持有《食品经营许可证》的餐饮单位就餐，不到无证小店和街边小摊就餐。不尝鲜、不贪口腹之欲，不食用野蘑菇、鲜黄花菜、河豚、织纹螺以及一些可能具有毒性或有寄生虫风险的产品。禁止食用长江鱼和其他国家重点保护野生动物。适量点餐，践行“光盘”行动，杜绝餐饮浪费。</w:t>
      </w:r>
    </w:p>
    <w:p>
      <w:pPr>
        <w:keepNext w:val="0"/>
        <w:keepLines w:val="0"/>
        <w:widowControl/>
        <w:numPr>
          <w:ilvl w:val="0"/>
          <w:numId w:val="0"/>
        </w:numPr>
        <w:suppressLineNumbers w:val="0"/>
        <w:ind w:firstLine="600" w:firstLineChars="200"/>
        <w:jc w:val="left"/>
        <w:rPr>
          <w:rFonts w:hint="default" w:ascii="仿宋" w:hAnsi="仿宋" w:eastAsia="仿宋" w:cs="仿宋"/>
          <w:color w:val="000000"/>
          <w:sz w:val="30"/>
          <w:szCs w:val="30"/>
          <w:highlight w:val="none"/>
          <w:lang w:val="en-US" w:eastAsia="zh-CN"/>
        </w:rPr>
      </w:pPr>
      <w:r>
        <w:rPr>
          <w:rFonts w:hint="eastAsia" w:ascii="仿宋" w:hAnsi="仿宋" w:eastAsia="仿宋" w:cs="仿宋"/>
          <w:color w:val="000000"/>
          <w:kern w:val="0"/>
          <w:sz w:val="30"/>
          <w:szCs w:val="30"/>
          <w:lang w:val="en-US" w:eastAsia="zh-CN" w:bidi="ar"/>
        </w:rPr>
        <w:t>在食品消费过程中，如果发现违法行为，请及时拨打投诉举报电话12315，市场监管部门将第一时间依法处置，全力保障广大市民群众“舌尖上的安全”。</w:t>
      </w:r>
    </w:p>
    <w:p>
      <w:pPr>
        <w:pStyle w:val="10"/>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textAlignment w:val="auto"/>
        <w:outlineLvl w:val="3"/>
        <w:rPr>
          <w:rFonts w:hint="default" w:ascii="仿宋" w:hAnsi="仿宋" w:eastAsia="仿宋" w:cs="仿宋"/>
          <w:color w:val="000000"/>
          <w:sz w:val="30"/>
          <w:szCs w:val="30"/>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5B1ECE"/>
    <w:multiLevelType w:val="singleLevel"/>
    <w:tmpl w:val="965B1ECE"/>
    <w:lvl w:ilvl="0" w:tentative="0">
      <w:start w:val="2"/>
      <w:numFmt w:val="chineseCounting"/>
      <w:suff w:val="nothing"/>
      <w:lvlText w:val="%1、"/>
      <w:lvlJc w:val="left"/>
      <w:rPr>
        <w:rFonts w:hint="eastAsia"/>
      </w:rPr>
    </w:lvl>
  </w:abstractNum>
  <w:abstractNum w:abstractNumId="1">
    <w:nsid w:val="A4826C19"/>
    <w:multiLevelType w:val="singleLevel"/>
    <w:tmpl w:val="A4826C19"/>
    <w:lvl w:ilvl="0" w:tentative="0">
      <w:start w:val="1"/>
      <w:numFmt w:val="chineseCounting"/>
      <w:suff w:val="nothing"/>
      <w:lvlText w:val="（%1）"/>
      <w:lvlJc w:val="left"/>
      <w:rPr>
        <w:rFonts w:hint="eastAsia"/>
      </w:rPr>
    </w:lvl>
  </w:abstractNum>
  <w:abstractNum w:abstractNumId="2">
    <w:nsid w:val="BAC0A8E8"/>
    <w:multiLevelType w:val="singleLevel"/>
    <w:tmpl w:val="BAC0A8E8"/>
    <w:lvl w:ilvl="0" w:tentative="0">
      <w:start w:val="1"/>
      <w:numFmt w:val="chineseCounting"/>
      <w:suff w:val="nothing"/>
      <w:lvlText w:val="（%1）"/>
      <w:lvlJc w:val="left"/>
      <w:rPr>
        <w:rFonts w:hint="eastAsia"/>
      </w:rPr>
    </w:lvl>
  </w:abstractNum>
  <w:abstractNum w:abstractNumId="3">
    <w:nsid w:val="D7E1711F"/>
    <w:multiLevelType w:val="singleLevel"/>
    <w:tmpl w:val="D7E1711F"/>
    <w:lvl w:ilvl="0" w:tentative="0">
      <w:start w:val="6"/>
      <w:numFmt w:val="decimal"/>
      <w:suff w:val="nothing"/>
      <w:lvlText w:val="%1-"/>
      <w:lvlJc w:val="left"/>
    </w:lvl>
  </w:abstractNum>
  <w:abstractNum w:abstractNumId="4">
    <w:nsid w:val="414BC49A"/>
    <w:multiLevelType w:val="singleLevel"/>
    <w:tmpl w:val="414BC49A"/>
    <w:lvl w:ilvl="0" w:tentative="0">
      <w:start w:val="1"/>
      <w:numFmt w:val="chineseCounting"/>
      <w:suff w:val="nothing"/>
      <w:lvlText w:val="（%1）"/>
      <w:lvlJc w:val="left"/>
      <w:rPr>
        <w:rFonts w:hint="eastAsia"/>
      </w:rPr>
    </w:lvl>
  </w:abstractNum>
  <w:abstractNum w:abstractNumId="5">
    <w:nsid w:val="492D2316"/>
    <w:multiLevelType w:val="singleLevel"/>
    <w:tmpl w:val="492D2316"/>
    <w:lvl w:ilvl="0" w:tentative="0">
      <w:start w:val="1"/>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mNzY2NzA4OWUxZTEzNjA0YWY1MmVlZmY5NmJlYWQifQ=="/>
    <w:docVar w:name="KSO_WPS_MARK_KEY" w:val="6ee3f936-807e-4476-9027-b5fbef7443f3"/>
  </w:docVars>
  <w:rsids>
    <w:rsidRoot w:val="00000000"/>
    <w:rsid w:val="01234EC7"/>
    <w:rsid w:val="048F43A9"/>
    <w:rsid w:val="060A6FDB"/>
    <w:rsid w:val="06392D0A"/>
    <w:rsid w:val="08416600"/>
    <w:rsid w:val="08D91CA0"/>
    <w:rsid w:val="08F90414"/>
    <w:rsid w:val="0B1A78A2"/>
    <w:rsid w:val="0C3D0C11"/>
    <w:rsid w:val="0E3F2013"/>
    <w:rsid w:val="0EBA2796"/>
    <w:rsid w:val="0F867EE4"/>
    <w:rsid w:val="0F957FCC"/>
    <w:rsid w:val="0FD82429"/>
    <w:rsid w:val="10047140"/>
    <w:rsid w:val="10157FB4"/>
    <w:rsid w:val="106B66E0"/>
    <w:rsid w:val="130F7605"/>
    <w:rsid w:val="1485595D"/>
    <w:rsid w:val="171921E3"/>
    <w:rsid w:val="18F03C2A"/>
    <w:rsid w:val="199E14B8"/>
    <w:rsid w:val="19A406B7"/>
    <w:rsid w:val="19CC2161"/>
    <w:rsid w:val="1C6C3216"/>
    <w:rsid w:val="1DF431F5"/>
    <w:rsid w:val="1F2A2807"/>
    <w:rsid w:val="20193942"/>
    <w:rsid w:val="20684BD2"/>
    <w:rsid w:val="211F56F2"/>
    <w:rsid w:val="224A1AF4"/>
    <w:rsid w:val="265172B6"/>
    <w:rsid w:val="27373DC3"/>
    <w:rsid w:val="28325E4A"/>
    <w:rsid w:val="29EA34A1"/>
    <w:rsid w:val="2A7F270E"/>
    <w:rsid w:val="2AF44739"/>
    <w:rsid w:val="2C4209CD"/>
    <w:rsid w:val="2D401D7D"/>
    <w:rsid w:val="2E035ED1"/>
    <w:rsid w:val="2E256FA8"/>
    <w:rsid w:val="2FA41E7D"/>
    <w:rsid w:val="2FC25DC9"/>
    <w:rsid w:val="3086532C"/>
    <w:rsid w:val="30F9139D"/>
    <w:rsid w:val="312C3B26"/>
    <w:rsid w:val="31911B52"/>
    <w:rsid w:val="328722D8"/>
    <w:rsid w:val="32D36E2A"/>
    <w:rsid w:val="32FA2773"/>
    <w:rsid w:val="345D030C"/>
    <w:rsid w:val="34796F56"/>
    <w:rsid w:val="351D3AFD"/>
    <w:rsid w:val="36453593"/>
    <w:rsid w:val="3788634A"/>
    <w:rsid w:val="37C8624D"/>
    <w:rsid w:val="389D1371"/>
    <w:rsid w:val="39912038"/>
    <w:rsid w:val="3A9709BA"/>
    <w:rsid w:val="3A9C5018"/>
    <w:rsid w:val="3C3178A8"/>
    <w:rsid w:val="3C377F16"/>
    <w:rsid w:val="3C817688"/>
    <w:rsid w:val="3DD86EA7"/>
    <w:rsid w:val="3F193FD5"/>
    <w:rsid w:val="3F4149D1"/>
    <w:rsid w:val="42140C2B"/>
    <w:rsid w:val="42574F94"/>
    <w:rsid w:val="42BE025F"/>
    <w:rsid w:val="42F02403"/>
    <w:rsid w:val="43755678"/>
    <w:rsid w:val="438A3199"/>
    <w:rsid w:val="44093E52"/>
    <w:rsid w:val="440E3A9B"/>
    <w:rsid w:val="44C7764E"/>
    <w:rsid w:val="45FB0F30"/>
    <w:rsid w:val="46140ABC"/>
    <w:rsid w:val="474516D7"/>
    <w:rsid w:val="47675331"/>
    <w:rsid w:val="48A075A8"/>
    <w:rsid w:val="48B10135"/>
    <w:rsid w:val="4C851B9F"/>
    <w:rsid w:val="4D151ABA"/>
    <w:rsid w:val="4E4B319F"/>
    <w:rsid w:val="4F523454"/>
    <w:rsid w:val="4F895C25"/>
    <w:rsid w:val="52C30911"/>
    <w:rsid w:val="5520682A"/>
    <w:rsid w:val="55EE7735"/>
    <w:rsid w:val="57E53A3A"/>
    <w:rsid w:val="582232DD"/>
    <w:rsid w:val="596F27E4"/>
    <w:rsid w:val="5A053BEE"/>
    <w:rsid w:val="5A331405"/>
    <w:rsid w:val="5B0E1E98"/>
    <w:rsid w:val="5B4D241F"/>
    <w:rsid w:val="5C8E5CC5"/>
    <w:rsid w:val="5CAA1A62"/>
    <w:rsid w:val="5D5A17A5"/>
    <w:rsid w:val="5E6703CC"/>
    <w:rsid w:val="5EAC7390"/>
    <w:rsid w:val="5F6042E7"/>
    <w:rsid w:val="602B317B"/>
    <w:rsid w:val="60CB5FD8"/>
    <w:rsid w:val="60F0706F"/>
    <w:rsid w:val="61B93DFC"/>
    <w:rsid w:val="622F6654"/>
    <w:rsid w:val="628A3238"/>
    <w:rsid w:val="63F6527C"/>
    <w:rsid w:val="68607DBB"/>
    <w:rsid w:val="69E85689"/>
    <w:rsid w:val="6C3C0821"/>
    <w:rsid w:val="6D483726"/>
    <w:rsid w:val="6ECA3DA9"/>
    <w:rsid w:val="70890AF2"/>
    <w:rsid w:val="73025575"/>
    <w:rsid w:val="73D0556F"/>
    <w:rsid w:val="740413E1"/>
    <w:rsid w:val="76421B31"/>
    <w:rsid w:val="76F71735"/>
    <w:rsid w:val="7744701C"/>
    <w:rsid w:val="785D6EFA"/>
    <w:rsid w:val="789C4AE6"/>
    <w:rsid w:val="78C637C5"/>
    <w:rsid w:val="798F5739"/>
    <w:rsid w:val="7A1F46CE"/>
    <w:rsid w:val="7EFF4F53"/>
    <w:rsid w:val="7F726A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tabs>
        <w:tab w:val="left" w:pos="1004"/>
      </w:tabs>
      <w:ind w:firstLine="420" w:firstLineChars="200"/>
    </w:pPr>
  </w:style>
  <w:style w:type="paragraph" w:styleId="3">
    <w:name w:val="Body Text Indent"/>
    <w:basedOn w:val="1"/>
    <w:qFormat/>
    <w:uiPriority w:val="0"/>
    <w:pPr>
      <w:tabs>
        <w:tab w:val="left" w:pos="1004"/>
      </w:tabs>
      <w:spacing w:line="500" w:lineRule="exact"/>
      <w:ind w:firstLine="560"/>
    </w:pPr>
    <w:rPr>
      <w:sz w:val="2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character" w:customStyle="1" w:styleId="9">
    <w:name w:val="font51"/>
    <w:basedOn w:val="6"/>
    <w:qFormat/>
    <w:uiPriority w:val="0"/>
    <w:rPr>
      <w:rFonts w:hint="eastAsia" w:ascii="宋体" w:hAnsi="宋体" w:eastAsia="宋体" w:cs="宋体"/>
      <w:color w:val="000000"/>
      <w:sz w:val="24"/>
      <w:szCs w:val="24"/>
      <w:u w:val="none"/>
    </w:rPr>
  </w:style>
  <w:style w:type="paragraph" w:customStyle="1" w:styleId="10">
    <w:name w:val="列出段落1"/>
    <w:basedOn w:val="1"/>
    <w:qFormat/>
    <w:uiPriority w:val="99"/>
    <w:pPr>
      <w:ind w:firstLine="420" w:firstLineChars="200"/>
    </w:pPr>
  </w:style>
  <w:style w:type="character" w:customStyle="1" w:styleId="11">
    <w:name w:val="font11"/>
    <w:basedOn w:val="6"/>
    <w:qFormat/>
    <w:uiPriority w:val="0"/>
    <w:rPr>
      <w:rFonts w:hint="eastAsia" w:ascii="仿宋" w:hAnsi="仿宋" w:eastAsia="仿宋" w:cs="仿宋"/>
      <w:color w:val="000000"/>
      <w:sz w:val="30"/>
      <w:szCs w:val="30"/>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24191;&#28023;\2023&#24180;\&#38144;&#21806;\&#25919;&#24220;&#20219;&#21153;\&#21335;&#36890;&#22320;&#21306;\&#28023;&#38376;\&#24066;&#30417;&#23616;\&#32467;&#31639;\2023&#24180;&#25277;&#26816;&#27719;&#25253;&#24773;&#20917;.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4191;&#28023;\2023&#24180;\&#38144;&#21806;\&#25919;&#24220;&#20219;&#21153;\&#21335;&#36890;&#22320;&#21306;\&#28023;&#38376;\&#24066;&#30417;&#23616;\&#32467;&#31639;\2023&#24180;&#25277;&#26816;&#27719;&#25253;&#24773;&#20917;.xls"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F:\&#24191;&#28023;\2023&#24180;\&#38144;&#21806;\&#25919;&#24220;&#20219;&#21153;\&#21335;&#36890;&#22320;&#21306;\&#28023;&#38376;\&#24066;&#30417;&#23616;\&#32467;&#31639;\2023&#24180;&#25277;&#26816;&#27719;&#25253;&#24773;&#20917;.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4191;&#28023;\2023&#24180;\&#38144;&#21806;\&#25919;&#24220;&#20219;&#21153;\&#21335;&#36890;&#22320;&#21306;\&#28023;&#38376;\&#24066;&#30417;&#23616;\&#32467;&#31639;\2023&#24180;&#25277;&#26816;&#27719;&#25253;&#24773;&#20917;.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4191;&#28023;\2023&#24180;\&#38144;&#21806;\&#25919;&#24220;&#20219;&#21153;\&#21335;&#36890;&#22320;&#21306;\&#28023;&#38376;\&#24066;&#30417;&#23616;\&#32467;&#31639;\2023&#24180;&#25277;&#26816;&#27719;&#25253;&#24773;&#20917;.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1" i="0" u="none" strike="noStrike" baseline="0">
                <a:solidFill>
                  <a:srgbClr val="333333"/>
                </a:solidFill>
                <a:latin typeface="宋体" panose="02010600030101010101" charset="-122"/>
                <a:ea typeface="宋体" panose="02010600030101010101" charset="-122"/>
                <a:cs typeface="宋体" panose="02010600030101010101" charset="-122"/>
              </a:rPr>
              <a:t>202</a:t>
            </a:r>
            <a:r>
              <a:rPr lang="en-US" altLang="zh-CN" sz="1400" b="1" i="0" u="none" strike="noStrike" baseline="0">
                <a:solidFill>
                  <a:srgbClr val="333333"/>
                </a:solidFill>
                <a:latin typeface="宋体" panose="02010600030101010101" charset="-122"/>
                <a:ea typeface="宋体" panose="02010600030101010101" charset="-122"/>
                <a:cs typeface="宋体" panose="02010600030101010101" charset="-122"/>
              </a:rPr>
              <a:t>3</a:t>
            </a:r>
            <a:r>
              <a:rPr sz="1400" b="1" i="0" u="none" strike="noStrike" baseline="0">
                <a:solidFill>
                  <a:srgbClr val="333333"/>
                </a:solidFill>
                <a:latin typeface="宋体" panose="02010600030101010101" charset="-122"/>
                <a:ea typeface="宋体" panose="02010600030101010101" charset="-122"/>
                <a:cs typeface="宋体" panose="02010600030101010101" charset="-122"/>
              </a:rPr>
              <a:t>年南通市海门区市场监督管理局食品安全监督抽检检测结果情况统计</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2075"/>
          <c:y val="0.0277777777777778"/>
        </c:manualLayout>
      </c:layout>
      <c:overlay val="0"/>
      <c:spPr>
        <a:noFill/>
        <a:ln>
          <a:noFill/>
        </a:ln>
        <a:effectLst/>
      </c:spPr>
    </c:title>
    <c:autoTitleDeleted val="0"/>
    <c:view3D>
      <c:rotX val="30"/>
      <c:rotY val="0"/>
      <c:depthPercent val="100"/>
      <c:rAngAx val="0"/>
      <c:perspective val="30"/>
    </c:view3D>
    <c:floor>
      <c:thickness val="0"/>
    </c:floor>
    <c:sideWall>
      <c:thickness val="0"/>
    </c:sideWall>
    <c:backWall>
      <c:thickness val="0"/>
    </c:backWall>
    <c:plotArea>
      <c:layout/>
      <c:pie3DChart>
        <c:varyColors val="1"/>
        <c:ser>
          <c:idx val="0"/>
          <c:order val="0"/>
          <c:explosion val="0"/>
          <c:dPt>
            <c:idx val="0"/>
            <c:bubble3D val="0"/>
            <c:explosion val="0"/>
            <c:spPr>
              <a:solidFill>
                <a:schemeClr val="accent1"/>
              </a:solidFill>
              <a:ln w="25400">
                <a:solidFill>
                  <a:schemeClr val="lt1"/>
                </a:solidFill>
              </a:ln>
              <a:effectLst/>
            </c:spPr>
          </c:dPt>
          <c:dPt>
            <c:idx val="1"/>
            <c:bubble3D val="0"/>
            <c:explosion val="0"/>
            <c:spPr>
              <a:solidFill>
                <a:schemeClr val="accent2"/>
              </a:solidFill>
              <a:ln w="2540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[2023年抽检汇报情况.xls]Sheet1!$E$7:$E$8</c:f>
              <c:strCache>
                <c:ptCount val="2"/>
                <c:pt idx="0">
                  <c:v>合格批次</c:v>
                </c:pt>
                <c:pt idx="1">
                  <c:v>不合格批次</c:v>
                </c:pt>
              </c:strCache>
            </c:strRef>
          </c:cat>
          <c:val>
            <c:numRef>
              <c:f>[2023年抽检汇报情况.xls]Sheet1!$F$7:$F$8</c:f>
              <c:numCache>
                <c:formatCode>General</c:formatCode>
                <c:ptCount val="2"/>
                <c:pt idx="0">
                  <c:v>7079</c:v>
                </c:pt>
                <c:pt idx="1">
                  <c:v>271</c:v>
                </c:pt>
              </c:numCache>
            </c:numRef>
          </c:val>
        </c:ser>
        <c:dLbls>
          <c:showLegendKey val="0"/>
          <c:showVal val="0"/>
          <c:showCatName val="0"/>
          <c:showSerName val="0"/>
          <c:showPercent val="0"/>
          <c:showBubbleSize val="0"/>
        </c:dLbls>
      </c:pie3DChart>
      <c:spPr>
        <a:noFill/>
        <a:ln>
          <a:noFill/>
        </a:ln>
        <a:effectLst/>
      </c:spPr>
    </c:plotArea>
    <c:legend>
      <c:legendPos val="b"/>
      <c:layout>
        <c:manualLayout>
          <c:xMode val="edge"/>
          <c:yMode val="edge"/>
          <c:x val="0.758587559685121"/>
          <c:y val="0.366739497513545"/>
          <c:w val="0.198472222222222"/>
          <c:h val="0.20671296296296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12700" cap="flat" cmpd="sng" algn="ctr">
      <a:solidFill>
        <a:schemeClr val="tx1"/>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202</a:t>
            </a:r>
            <a:r>
              <a:rPr lang="en-US" altLang="zh-CN" sz="1400" b="0" i="0" u="none" strike="noStrike" baseline="0">
                <a:solidFill>
                  <a:srgbClr val="333333"/>
                </a:solidFill>
                <a:latin typeface="宋体" panose="02010600030101010101" charset="-122"/>
                <a:ea typeface="宋体" panose="02010600030101010101" charset="-122"/>
                <a:cs typeface="宋体" panose="02010600030101010101" charset="-122"/>
              </a:rPr>
              <a:t>3</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年南通市海门区市场监督管理局食品安全监督抽检不合格类别分布</a:t>
            </a:r>
            <a:endParaRPr sz="12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Pt>
            <c:idx val="5"/>
            <c:bubble3D val="0"/>
            <c:explosion val="0"/>
            <c:spPr>
              <a:solidFill>
                <a:schemeClr val="accent6"/>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[2023年抽检汇报情况.xls]Sheet1!$B$14:$B$19</c:f>
              <c:strCache>
                <c:ptCount val="6"/>
                <c:pt idx="0">
                  <c:v>食用农产品</c:v>
                </c:pt>
                <c:pt idx="1">
                  <c:v>餐饮食品</c:v>
                </c:pt>
                <c:pt idx="2">
                  <c:v>饮料</c:v>
                </c:pt>
                <c:pt idx="3">
                  <c:v>酒类</c:v>
                </c:pt>
                <c:pt idx="4">
                  <c:v>豆制品</c:v>
                </c:pt>
                <c:pt idx="5">
                  <c:v>粮食加工品</c:v>
                </c:pt>
              </c:strCache>
            </c:strRef>
          </c:cat>
          <c:val>
            <c:numRef>
              <c:f>[2023年抽检汇报情况.xls]Sheet1!$C$14:$C$19</c:f>
              <c:numCache>
                <c:formatCode>General</c:formatCode>
                <c:ptCount val="6"/>
                <c:pt idx="0">
                  <c:v>60</c:v>
                </c:pt>
                <c:pt idx="1">
                  <c:v>204</c:v>
                </c:pt>
                <c:pt idx="2">
                  <c:v>1</c:v>
                </c:pt>
                <c:pt idx="3">
                  <c:v>3</c:v>
                </c:pt>
                <c:pt idx="4">
                  <c:v>2</c:v>
                </c:pt>
                <c:pt idx="5">
                  <c:v>1</c:v>
                </c:pt>
              </c:numCache>
            </c:numRef>
          </c:val>
        </c:ser>
        <c:dLbls>
          <c:showLegendKey val="0"/>
          <c:showVal val="0"/>
          <c:showCatName val="0"/>
          <c:showSerName val="0"/>
          <c:showPercent val="0"/>
          <c:showBubbleSize val="0"/>
          <c:showLeaderLines val="1"/>
        </c:dLbls>
        <c:firstSliceAng val="7"/>
      </c:pieChart>
      <c:spPr>
        <a:noFill/>
        <a:ln>
          <a:noFill/>
        </a:ln>
        <a:effectLst/>
      </c:spPr>
    </c:plotArea>
    <c:legend>
      <c:legendPos val="r"/>
      <c:layout>
        <c:manualLayout>
          <c:xMode val="edge"/>
          <c:yMode val="edge"/>
          <c:x val="0.696561849993882"/>
          <c:y val="0.184796238244514"/>
          <c:w val="0.28875"/>
          <c:h val="0.66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solidFill>
                  <a:sysClr val="windowText" lastClr="000000"/>
                </a:solidFill>
              </a:rPr>
              <a:t>202</a:t>
            </a:r>
            <a:r>
              <a:rPr lang="en-US" altLang="zh-CN">
                <a:solidFill>
                  <a:sysClr val="windowText" lastClr="000000"/>
                </a:solidFill>
              </a:rPr>
              <a:t>3</a:t>
            </a:r>
            <a:r>
              <a:rPr>
                <a:solidFill>
                  <a:sysClr val="windowText" lastClr="000000"/>
                </a:solidFill>
              </a:rPr>
              <a:t>年南通市海门区市场监督管理局食品安全监督抽检各分局总体情况</a:t>
            </a:r>
            <a:endParaRPr>
              <a:solidFill>
                <a:sysClr val="windowText" lastClr="000000"/>
              </a:solidFill>
            </a:endParaRPr>
          </a:p>
        </c:rich>
      </c:tx>
      <c:layout/>
      <c:overlay val="0"/>
      <c:spPr>
        <a:noFill/>
        <a:ln>
          <a:noFill/>
        </a:ln>
        <a:effectLst/>
      </c:spPr>
    </c:title>
    <c:autoTitleDeleted val="0"/>
    <c:plotArea>
      <c:layout>
        <c:manualLayout>
          <c:layoutTarget val="inner"/>
          <c:xMode val="edge"/>
          <c:yMode val="edge"/>
          <c:x val="0.110217391304348"/>
          <c:y val="0.194936260623229"/>
          <c:w val="0.865386473429952"/>
          <c:h val="0.53300283286119"/>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[2023年抽检汇报情况.xls]Sheet1!$D$70:$I$81</c:f>
              <c:strCache>
                <c:ptCount val="12"/>
                <c:pt idx="0">
                  <c:v>城区</c:v>
                </c:pt>
                <c:pt idx="1">
                  <c:v>开发区</c:v>
                </c:pt>
                <c:pt idx="2">
                  <c:v>三星</c:v>
                </c:pt>
                <c:pt idx="3">
                  <c:v>海门港新区</c:v>
                </c:pt>
                <c:pt idx="4">
                  <c:v>三厂</c:v>
                </c:pt>
                <c:pt idx="5">
                  <c:v>常乐</c:v>
                </c:pt>
                <c:pt idx="6">
                  <c:v>余东</c:v>
                </c:pt>
                <c:pt idx="7">
                  <c:v>四甲</c:v>
                </c:pt>
                <c:pt idx="8">
                  <c:v>正余</c:v>
                </c:pt>
                <c:pt idx="9">
                  <c:v>临江</c:v>
                </c:pt>
                <c:pt idx="10">
                  <c:v>悦来</c:v>
                </c:pt>
                <c:pt idx="11">
                  <c:v>海永</c:v>
                </c:pt>
              </c:strCache>
            </c:strRef>
          </c:cat>
          <c:val>
            <c:numRef>
              <c:f>[2023年抽检汇报情况.xls]Sheet1!$J$70:$J$81</c:f>
            </c:numRef>
          </c:val>
          <c:smooth val="0"/>
        </c:ser>
        <c:ser>
          <c:idx val="1"/>
          <c:order val="1"/>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[2023年抽检汇报情况.xls]Sheet1!$D$70:$I$81</c:f>
              <c:strCache>
                <c:ptCount val="12"/>
                <c:pt idx="0">
                  <c:v>城区</c:v>
                </c:pt>
                <c:pt idx="1">
                  <c:v>开发区</c:v>
                </c:pt>
                <c:pt idx="2">
                  <c:v>三星</c:v>
                </c:pt>
                <c:pt idx="3">
                  <c:v>海门港新区</c:v>
                </c:pt>
                <c:pt idx="4">
                  <c:v>三厂</c:v>
                </c:pt>
                <c:pt idx="5">
                  <c:v>常乐</c:v>
                </c:pt>
                <c:pt idx="6">
                  <c:v>余东</c:v>
                </c:pt>
                <c:pt idx="7">
                  <c:v>四甲</c:v>
                </c:pt>
                <c:pt idx="8">
                  <c:v>正余</c:v>
                </c:pt>
                <c:pt idx="9">
                  <c:v>临江</c:v>
                </c:pt>
                <c:pt idx="10">
                  <c:v>悦来</c:v>
                </c:pt>
                <c:pt idx="11">
                  <c:v>海永</c:v>
                </c:pt>
              </c:strCache>
            </c:strRef>
          </c:cat>
          <c:val>
            <c:numRef>
              <c:f>[2023年抽检汇报情况.xls]Sheet1!$K$70:$K$81</c:f>
            </c:numRef>
          </c:val>
          <c:smooth val="0"/>
        </c:ser>
        <c:ser>
          <c:idx val="2"/>
          <c:order val="2"/>
          <c:spPr>
            <a:ln w="28575" cap="rnd">
              <a:solidFill>
                <a:srgbClr val="00B050"/>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[2023年抽检汇报情况.xls]Sheet1!$D$70:$I$81</c:f>
              <c:strCache>
                <c:ptCount val="12"/>
                <c:pt idx="0">
                  <c:v>城区</c:v>
                </c:pt>
                <c:pt idx="1">
                  <c:v>开发区</c:v>
                </c:pt>
                <c:pt idx="2">
                  <c:v>三星</c:v>
                </c:pt>
                <c:pt idx="3">
                  <c:v>海门港新区</c:v>
                </c:pt>
                <c:pt idx="4">
                  <c:v>三厂</c:v>
                </c:pt>
                <c:pt idx="5">
                  <c:v>常乐</c:v>
                </c:pt>
                <c:pt idx="6">
                  <c:v>余东</c:v>
                </c:pt>
                <c:pt idx="7">
                  <c:v>四甲</c:v>
                </c:pt>
                <c:pt idx="8">
                  <c:v>正余</c:v>
                </c:pt>
                <c:pt idx="9">
                  <c:v>临江</c:v>
                </c:pt>
                <c:pt idx="10">
                  <c:v>悦来</c:v>
                </c:pt>
                <c:pt idx="11">
                  <c:v>海永</c:v>
                </c:pt>
              </c:strCache>
            </c:strRef>
          </c:cat>
          <c:val>
            <c:numRef>
              <c:f>[2023年抽检汇报情况.xls]Sheet1!$L$70:$L$81</c:f>
            </c:numRef>
          </c:val>
          <c:smooth val="0"/>
        </c:ser>
        <c:ser>
          <c:idx val="3"/>
          <c:order val="3"/>
          <c:spPr>
            <a:ln w="28575" cap="rnd">
              <a:solidFill>
                <a:schemeClr val="accent4"/>
              </a:solidFill>
              <a:round/>
            </a:ln>
            <a:effectLst/>
          </c:spPr>
          <c:marker>
            <c:symbol val="circle"/>
            <c:size val="5"/>
            <c:spPr>
              <a:solidFill>
                <a:schemeClr val="accent4"/>
              </a:solidFill>
              <a:ln w="9525">
                <a:solidFill>
                  <a:schemeClr val="accent4"/>
                </a:solidFill>
              </a:ln>
              <a:effectLst/>
            </c:spPr>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[2023年抽检汇报情况.xls]Sheet1!$D$70:$I$81</c:f>
              <c:strCache>
                <c:ptCount val="12"/>
                <c:pt idx="0">
                  <c:v>城区</c:v>
                </c:pt>
                <c:pt idx="1">
                  <c:v>开发区</c:v>
                </c:pt>
                <c:pt idx="2">
                  <c:v>三星</c:v>
                </c:pt>
                <c:pt idx="3">
                  <c:v>海门港新区</c:v>
                </c:pt>
                <c:pt idx="4">
                  <c:v>三厂</c:v>
                </c:pt>
                <c:pt idx="5">
                  <c:v>常乐</c:v>
                </c:pt>
                <c:pt idx="6">
                  <c:v>余东</c:v>
                </c:pt>
                <c:pt idx="7">
                  <c:v>四甲</c:v>
                </c:pt>
                <c:pt idx="8">
                  <c:v>正余</c:v>
                </c:pt>
                <c:pt idx="9">
                  <c:v>临江</c:v>
                </c:pt>
                <c:pt idx="10">
                  <c:v>悦来</c:v>
                </c:pt>
                <c:pt idx="11">
                  <c:v>海永</c:v>
                </c:pt>
              </c:strCache>
            </c:strRef>
          </c:cat>
          <c:val>
            <c:numRef>
              <c:f>[2023年抽检汇报情况.xls]Sheet1!$M$70:$M$81</c:f>
            </c:numRef>
          </c:val>
          <c:smooth val="0"/>
        </c:ser>
        <c:ser>
          <c:idx val="4"/>
          <c:order val="4"/>
          <c:spPr>
            <a:ln w="28575" cap="rnd">
              <a:solidFill>
                <a:schemeClr val="accent5"/>
              </a:solidFill>
              <a:round/>
            </a:ln>
            <a:effectLst/>
          </c:spPr>
          <c:marker>
            <c:symbol val="circle"/>
            <c:size val="5"/>
            <c:spPr>
              <a:solidFill>
                <a:schemeClr val="accent5"/>
              </a:solidFill>
              <a:ln w="9525">
                <a:solidFill>
                  <a:schemeClr val="accent5"/>
                </a:solidFill>
              </a:ln>
              <a:effectLst/>
            </c:spPr>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[2023年抽检汇报情况.xls]Sheet1!$D$70:$I$81</c:f>
              <c:strCache>
                <c:ptCount val="12"/>
                <c:pt idx="0">
                  <c:v>城区</c:v>
                </c:pt>
                <c:pt idx="1">
                  <c:v>开发区</c:v>
                </c:pt>
                <c:pt idx="2">
                  <c:v>三星</c:v>
                </c:pt>
                <c:pt idx="3">
                  <c:v>海门港新区</c:v>
                </c:pt>
                <c:pt idx="4">
                  <c:v>三厂</c:v>
                </c:pt>
                <c:pt idx="5">
                  <c:v>常乐</c:v>
                </c:pt>
                <c:pt idx="6">
                  <c:v>余东</c:v>
                </c:pt>
                <c:pt idx="7">
                  <c:v>四甲</c:v>
                </c:pt>
                <c:pt idx="8">
                  <c:v>正余</c:v>
                </c:pt>
                <c:pt idx="9">
                  <c:v>临江</c:v>
                </c:pt>
                <c:pt idx="10">
                  <c:v>悦来</c:v>
                </c:pt>
                <c:pt idx="11">
                  <c:v>海永</c:v>
                </c:pt>
              </c:strCache>
            </c:strRef>
          </c:cat>
          <c:val>
            <c:numRef>
              <c:f>[2023年抽检汇报情况.xls]Sheet1!$N$70:$N$81</c:f>
            </c:numRef>
          </c:val>
          <c:smooth val="0"/>
        </c:ser>
        <c:ser>
          <c:idx val="5"/>
          <c:order val="5"/>
          <c:spPr>
            <a:ln w="28575" cap="rnd">
              <a:solidFill>
                <a:schemeClr val="accent6"/>
              </a:solidFill>
              <a:round/>
            </a:ln>
            <a:effectLst/>
          </c:spPr>
          <c:marker>
            <c:symbol val="circle"/>
            <c:size val="5"/>
            <c:spPr>
              <a:solidFill>
                <a:schemeClr val="accent6"/>
              </a:solidFill>
              <a:ln w="9525">
                <a:solidFill>
                  <a:schemeClr val="accent6"/>
                </a:solidFill>
              </a:ln>
              <a:effectLst/>
            </c:spPr>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[2023年抽检汇报情况.xls]Sheet1!$D$70:$I$81</c:f>
              <c:strCache>
                <c:ptCount val="12"/>
                <c:pt idx="0">
                  <c:v>城区</c:v>
                </c:pt>
                <c:pt idx="1">
                  <c:v>开发区</c:v>
                </c:pt>
                <c:pt idx="2">
                  <c:v>三星</c:v>
                </c:pt>
                <c:pt idx="3">
                  <c:v>海门港新区</c:v>
                </c:pt>
                <c:pt idx="4">
                  <c:v>三厂</c:v>
                </c:pt>
                <c:pt idx="5">
                  <c:v>常乐</c:v>
                </c:pt>
                <c:pt idx="6">
                  <c:v>余东</c:v>
                </c:pt>
                <c:pt idx="7">
                  <c:v>四甲</c:v>
                </c:pt>
                <c:pt idx="8">
                  <c:v>正余</c:v>
                </c:pt>
                <c:pt idx="9">
                  <c:v>临江</c:v>
                </c:pt>
                <c:pt idx="10">
                  <c:v>悦来</c:v>
                </c:pt>
                <c:pt idx="11">
                  <c:v>海永</c:v>
                </c:pt>
              </c:strCache>
            </c:strRef>
          </c:cat>
          <c:val>
            <c:numRef>
              <c:f>[2023年抽检汇报情况.xls]Sheet1!$O$70:$O$81</c:f>
            </c:numRef>
          </c:val>
          <c:smooth val="0"/>
        </c:ser>
        <c:ser>
          <c:idx val="6"/>
          <c:order val="6"/>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[2023年抽检汇报情况.xls]Sheet1!$D$70:$I$81</c:f>
              <c:strCache>
                <c:ptCount val="12"/>
                <c:pt idx="0">
                  <c:v>城区</c:v>
                </c:pt>
                <c:pt idx="1">
                  <c:v>开发区</c:v>
                </c:pt>
                <c:pt idx="2">
                  <c:v>三星</c:v>
                </c:pt>
                <c:pt idx="3">
                  <c:v>海门港新区</c:v>
                </c:pt>
                <c:pt idx="4">
                  <c:v>三厂</c:v>
                </c:pt>
                <c:pt idx="5">
                  <c:v>常乐</c:v>
                </c:pt>
                <c:pt idx="6">
                  <c:v>余东</c:v>
                </c:pt>
                <c:pt idx="7">
                  <c:v>四甲</c:v>
                </c:pt>
                <c:pt idx="8">
                  <c:v>正余</c:v>
                </c:pt>
                <c:pt idx="9">
                  <c:v>临江</c:v>
                </c:pt>
                <c:pt idx="10">
                  <c:v>悦来</c:v>
                </c:pt>
                <c:pt idx="11">
                  <c:v>海永</c:v>
                </c:pt>
              </c:strCache>
            </c:strRef>
          </c:cat>
          <c:val>
            <c:numRef>
              <c:f>[2023年抽检汇报情况.xls]Sheet1!$P$70:$P$81</c:f>
              <c:numCache>
                <c:formatCode>0.00%</c:formatCode>
                <c:ptCount val="12"/>
                <c:pt idx="0">
                  <c:v>0.925143953934741</c:v>
                </c:pt>
                <c:pt idx="1">
                  <c:v>0.950488145048815</c:v>
                </c:pt>
                <c:pt idx="2">
                  <c:v>0.979913916786227</c:v>
                </c:pt>
                <c:pt idx="3">
                  <c:v>0.98536036036036</c:v>
                </c:pt>
                <c:pt idx="4">
                  <c:v>0.972727272727273</c:v>
                </c:pt>
                <c:pt idx="5">
                  <c:v>0.978891820580475</c:v>
                </c:pt>
                <c:pt idx="6">
                  <c:v>0.983412322274882</c:v>
                </c:pt>
                <c:pt idx="7">
                  <c:v>0.983644859813084</c:v>
                </c:pt>
                <c:pt idx="8">
                  <c:v>0.979879275653924</c:v>
                </c:pt>
                <c:pt idx="9">
                  <c:v>0.985037406483791</c:v>
                </c:pt>
                <c:pt idx="10">
                  <c:v>0.969178082191781</c:v>
                </c:pt>
                <c:pt idx="11">
                  <c:v>1</c:v>
                </c:pt>
              </c:numCache>
            </c:numRef>
          </c:val>
          <c:smooth val="0"/>
        </c:ser>
        <c:dLbls>
          <c:showLegendKey val="0"/>
          <c:showVal val="1"/>
          <c:showCatName val="0"/>
          <c:showSerName val="0"/>
          <c:showPercent val="0"/>
          <c:showBubbleSize val="0"/>
        </c:dLbls>
        <c:marker val="1"/>
        <c:smooth val="0"/>
        <c:axId val="628705668"/>
        <c:axId val="366499477"/>
      </c:lineChart>
      <c:catAx>
        <c:axId val="628705668"/>
        <c:scaling>
          <c:orientation val="minMax"/>
        </c:scaling>
        <c:delete val="0"/>
        <c:axPos val="b"/>
        <c:majorTickMark val="none"/>
        <c:minorTickMark val="none"/>
        <c:tickLblPos val="nextTo"/>
        <c:spPr>
          <a:noFill/>
          <a:ln w="9525" cap="flat" cmpd="sng" algn="ctr">
            <a:solidFill>
              <a:schemeClr val="accent1"/>
            </a:solidFill>
            <a:round/>
          </a:ln>
          <a:effectLst/>
        </c:spPr>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66499477"/>
        <c:crosses val="autoZero"/>
        <c:auto val="1"/>
        <c:lblAlgn val="ctr"/>
        <c:lblOffset val="100"/>
        <c:noMultiLvlLbl val="0"/>
      </c:catAx>
      <c:valAx>
        <c:axId val="366499477"/>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287056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各环节合格率</a:t>
            </a:r>
            <a:endParaRPr lang="en-US" altLang="zh-CN"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manualLayout>
          <c:layoutTarget val="inner"/>
          <c:xMode val="edge"/>
          <c:yMode val="edge"/>
          <c:x val="0.108633879781421"/>
          <c:y val="0.167224780242779"/>
          <c:w val="0.864650880388585"/>
          <c:h val="0.739723733779824"/>
        </c:manualLayout>
      </c:layout>
      <c:barChart>
        <c:barDir val="col"/>
        <c:grouping val="clustered"/>
        <c:varyColors val="0"/>
        <c:ser>
          <c:idx val="0"/>
          <c:order val="0"/>
          <c:spPr>
            <a:solidFill>
              <a:schemeClr val="accent1"/>
            </a:solidFill>
            <a:ln>
              <a:noFill/>
            </a:ln>
            <a:effectLst/>
          </c:spPr>
          <c:invertIfNegative val="0"/>
          <c:dLbls>
            <c:delete val="1"/>
          </c:dLbls>
          <c:cat>
            <c:strRef>
              <c:f>[2023年抽检汇报情况.xls]Sheet1!$S$3:$S$5</c:f>
              <c:strCache>
                <c:ptCount val="3"/>
                <c:pt idx="0">
                  <c:v>餐饮</c:v>
                </c:pt>
                <c:pt idx="1">
                  <c:v>销售</c:v>
                </c:pt>
                <c:pt idx="2">
                  <c:v>生产</c:v>
                </c:pt>
              </c:strCache>
            </c:strRef>
          </c:cat>
          <c:val>
            <c:numRef>
              <c:f>[2023年抽检汇报情况.xls]Sheet1!$T$3:$T$5</c:f>
            </c:numRef>
          </c:val>
        </c:ser>
        <c:ser>
          <c:idx val="1"/>
          <c:order val="1"/>
          <c:spPr>
            <a:solidFill>
              <a:schemeClr val="accent2"/>
            </a:solidFill>
            <a:ln>
              <a:noFill/>
            </a:ln>
            <a:effectLst/>
          </c:spPr>
          <c:invertIfNegative val="0"/>
          <c:dLbls>
            <c:delete val="1"/>
          </c:dLbls>
          <c:cat>
            <c:strRef>
              <c:f>[2023年抽检汇报情况.xls]Sheet1!$S$3:$S$5</c:f>
              <c:strCache>
                <c:ptCount val="3"/>
                <c:pt idx="0">
                  <c:v>餐饮</c:v>
                </c:pt>
                <c:pt idx="1">
                  <c:v>销售</c:v>
                </c:pt>
                <c:pt idx="2">
                  <c:v>生产</c:v>
                </c:pt>
              </c:strCache>
            </c:strRef>
          </c:cat>
          <c:val>
            <c:numRef>
              <c:f>[2023年抽检汇报情况.xls]Sheet1!$U$3:$U$5</c:f>
            </c:numRef>
          </c:val>
        </c:ser>
        <c:ser>
          <c:idx val="2"/>
          <c:order val="2"/>
          <c:spPr>
            <a:solidFill>
              <a:schemeClr val="accent3"/>
            </a:solidFill>
            <a:ln>
              <a:noFill/>
            </a:ln>
            <a:effectLst/>
          </c:spPr>
          <c:invertIfNegative val="0"/>
          <c:dLbls>
            <c:delete val="1"/>
          </c:dLbls>
          <c:cat>
            <c:strRef>
              <c:f>[2023年抽检汇报情况.xls]Sheet1!$S$3:$S$5</c:f>
              <c:strCache>
                <c:ptCount val="3"/>
                <c:pt idx="0">
                  <c:v>餐饮</c:v>
                </c:pt>
                <c:pt idx="1">
                  <c:v>销售</c:v>
                </c:pt>
                <c:pt idx="2">
                  <c:v>生产</c:v>
                </c:pt>
              </c:strCache>
            </c:strRef>
          </c:cat>
          <c:val>
            <c:numRef>
              <c:f>[2023年抽检汇报情况.xls]Sheet1!$V$3:$V$5</c:f>
            </c:numRef>
          </c:val>
        </c:ser>
        <c:ser>
          <c:idx val="3"/>
          <c:order val="3"/>
          <c:spPr>
            <a:solidFill>
              <a:schemeClr val="accent4"/>
            </a:solidFill>
            <a:ln>
              <a:noFill/>
            </a:ln>
            <a:effectLst/>
          </c:spPr>
          <c:invertIfNegative val="0"/>
          <c:dPt>
            <c:idx val="0"/>
            <c:invertIfNegative val="0"/>
            <c:bubble3D val="0"/>
            <c:explosion val="0"/>
            <c:spPr>
              <a:gradFill>
                <a:gsLst>
                  <a:gs pos="0">
                    <a:srgbClr val="E30000"/>
                  </a:gs>
                  <a:gs pos="100000">
                    <a:srgbClr val="760303"/>
                  </a:gs>
                </a:gsLst>
                <a:lin ang="5400000" scaled="0"/>
              </a:gradFill>
              <a:ln>
                <a:noFill/>
              </a:ln>
              <a:effectLst/>
            </c:spPr>
          </c:dPt>
          <c:dPt>
            <c:idx val="1"/>
            <c:invertIfNegative val="0"/>
            <c:bubble3D val="0"/>
            <c:explosion val="0"/>
            <c:spPr>
              <a:gradFill>
                <a:gsLst>
                  <a:gs pos="0">
                    <a:srgbClr val="007BD3"/>
                  </a:gs>
                  <a:gs pos="100000">
                    <a:srgbClr val="034373"/>
                  </a:gs>
                </a:gsLst>
                <a:lin ang="5400000" scaled="0"/>
              </a:gradFill>
              <a:ln>
                <a:noFill/>
              </a:ln>
              <a:effectLst/>
            </c:spPr>
          </c:dPt>
          <c:dPt>
            <c:idx val="2"/>
            <c:invertIfNegative val="0"/>
            <c:bubble3D val="0"/>
            <c:explosion val="0"/>
            <c:spPr>
              <a:gradFill>
                <a:gsLst>
                  <a:gs pos="0">
                    <a:srgbClr val="14CD68"/>
                  </a:gs>
                  <a:gs pos="100000">
                    <a:srgbClr val="0B6E38"/>
                  </a:gs>
                </a:gsLst>
                <a:lin ang="5400000" scaled="0"/>
              </a:gradFill>
              <a:ln>
                <a:noFill/>
              </a:ln>
              <a:effectLst/>
            </c:spPr>
          </c:dPt>
          <c:dLbls>
            <c:delete val="1"/>
          </c:dLbls>
          <c:cat>
            <c:strRef>
              <c:f>[2023年抽检汇报情况.xls]Sheet1!$S$3:$S$5</c:f>
              <c:strCache>
                <c:ptCount val="3"/>
                <c:pt idx="0">
                  <c:v>餐饮</c:v>
                </c:pt>
                <c:pt idx="1">
                  <c:v>销售</c:v>
                </c:pt>
                <c:pt idx="2">
                  <c:v>生产</c:v>
                </c:pt>
              </c:strCache>
            </c:strRef>
          </c:cat>
          <c:val>
            <c:numRef>
              <c:f>[2023年抽检汇报情况.xls]Sheet1!$W$3:$W$5</c:f>
              <c:numCache>
                <c:formatCode>0.00%</c:formatCode>
                <c:ptCount val="3"/>
                <c:pt idx="0">
                  <c:v>0.885236768802228</c:v>
                </c:pt>
                <c:pt idx="1">
                  <c:v>0.988554550489201</c:v>
                </c:pt>
                <c:pt idx="2">
                  <c:v>0.978260869565217</c:v>
                </c:pt>
              </c:numCache>
            </c:numRef>
          </c:val>
        </c:ser>
        <c:dLbls>
          <c:showLegendKey val="0"/>
          <c:showVal val="0"/>
          <c:showCatName val="0"/>
          <c:showSerName val="0"/>
          <c:showPercent val="0"/>
          <c:showBubbleSize val="0"/>
        </c:dLbls>
        <c:gapWidth val="219"/>
        <c:overlap val="-27"/>
        <c:axId val="154800078"/>
        <c:axId val="481193567"/>
      </c:barChart>
      <c:catAx>
        <c:axId val="15480007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rgbClr val="000000"/>
                </a:solidFill>
                <a:latin typeface="+mn-lt"/>
                <a:ea typeface="+mn-ea"/>
                <a:cs typeface="+mn-cs"/>
              </a:defRPr>
            </a:pPr>
          </a:p>
        </c:txPr>
        <c:crossAx val="481193567"/>
        <c:crosses val="autoZero"/>
        <c:auto val="1"/>
        <c:lblAlgn val="ctr"/>
        <c:lblOffset val="100"/>
        <c:noMultiLvlLbl val="0"/>
      </c:catAx>
      <c:valAx>
        <c:axId val="48119356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5480007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69230769231"/>
          <c:y val="0.0500104188372578"/>
          <c:w val="0.856523076923077"/>
          <c:h val="0.489768701812878"/>
        </c:manualLayout>
      </c:layout>
      <c:barChart>
        <c:barDir val="col"/>
        <c:grouping val="clustered"/>
        <c:varyColors val="0"/>
        <c:ser>
          <c:idx val="0"/>
          <c:order val="0"/>
          <c:spPr>
            <a:solidFill>
              <a:schemeClr val="accent1"/>
            </a:solidFill>
            <a:ln>
              <a:noFill/>
            </a:ln>
            <a:effectLst/>
          </c:spPr>
          <c:invertIfNegative val="0"/>
          <c:dLbls>
            <c:delete val="1"/>
          </c:dLbls>
          <c:cat>
            <c:strRef>
              <c:f>[2023年抽检汇报情况.xls]Sheet1!$P$40:$P$46</c:f>
              <c:strCache>
                <c:ptCount val="7"/>
                <c:pt idx="0">
                  <c:v>农兽药残留</c:v>
                </c:pt>
                <c:pt idx="1">
                  <c:v>生长促进剂</c:v>
                </c:pt>
                <c:pt idx="2">
                  <c:v>超范围、超限量使用食品添加剂</c:v>
                </c:pt>
                <c:pt idx="3">
                  <c:v>重金属等元素污染物</c:v>
                </c:pt>
                <c:pt idx="4">
                  <c:v>洗涤剂超标</c:v>
                </c:pt>
                <c:pt idx="5">
                  <c:v>微生物污染</c:v>
                </c:pt>
                <c:pt idx="6">
                  <c:v>质量指标</c:v>
                </c:pt>
              </c:strCache>
            </c:strRef>
          </c:cat>
          <c:val>
            <c:numRef>
              <c:f>[2023年抽检汇报情况.xls]Sheet1!$Q$40:$Q$46</c:f>
            </c:numRef>
          </c:val>
        </c:ser>
        <c:ser>
          <c:idx val="1"/>
          <c:order val="1"/>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[2023年抽检汇报情况.xls]Sheet1!$P$40:$P$46</c:f>
              <c:strCache>
                <c:ptCount val="7"/>
                <c:pt idx="0">
                  <c:v>农兽药残留</c:v>
                </c:pt>
                <c:pt idx="1">
                  <c:v>生长促进剂</c:v>
                </c:pt>
                <c:pt idx="2">
                  <c:v>超范围、超限量使用食品添加剂</c:v>
                </c:pt>
                <c:pt idx="3">
                  <c:v>重金属等元素污染物</c:v>
                </c:pt>
                <c:pt idx="4">
                  <c:v>洗涤剂超标</c:v>
                </c:pt>
                <c:pt idx="5">
                  <c:v>微生物污染</c:v>
                </c:pt>
                <c:pt idx="6">
                  <c:v>质量指标</c:v>
                </c:pt>
              </c:strCache>
            </c:strRef>
          </c:cat>
          <c:val>
            <c:numRef>
              <c:f>[2023年抽检汇报情况.xls]Sheet1!$R$40:$R$46</c:f>
              <c:numCache>
                <c:formatCode>0.00%</c:formatCode>
                <c:ptCount val="7"/>
                <c:pt idx="0">
                  <c:v>0.298578199052133</c:v>
                </c:pt>
                <c:pt idx="1">
                  <c:v>0.00947867298578199</c:v>
                </c:pt>
                <c:pt idx="2">
                  <c:v>0.109004739336493</c:v>
                </c:pt>
                <c:pt idx="3">
                  <c:v>0.023696682464455</c:v>
                </c:pt>
                <c:pt idx="4">
                  <c:v>0.289099526066351</c:v>
                </c:pt>
                <c:pt idx="5">
                  <c:v>0.597156398104265</c:v>
                </c:pt>
                <c:pt idx="6">
                  <c:v>0.00947867298578199</c:v>
                </c:pt>
              </c:numCache>
            </c:numRef>
          </c:val>
        </c:ser>
        <c:dLbls>
          <c:showLegendKey val="0"/>
          <c:showVal val="0"/>
          <c:showCatName val="0"/>
          <c:showSerName val="0"/>
          <c:showPercent val="0"/>
          <c:showBubbleSize val="0"/>
        </c:dLbls>
        <c:gapWidth val="219"/>
        <c:overlap val="-27"/>
        <c:axId val="112771987"/>
        <c:axId val="879076591"/>
      </c:barChart>
      <c:catAx>
        <c:axId val="112771987"/>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79076591"/>
        <c:crosses val="autoZero"/>
        <c:auto val="1"/>
        <c:lblAlgn val="ctr"/>
        <c:lblOffset val="100"/>
        <c:noMultiLvlLbl val="0"/>
      </c:catAx>
      <c:valAx>
        <c:axId val="87907659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1270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277198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12623</Words>
  <Characters>13800</Characters>
  <Lines>0</Lines>
  <Paragraphs>0</Paragraphs>
  <TotalTime>55</TotalTime>
  <ScaleCrop>false</ScaleCrop>
  <LinksUpToDate>false</LinksUpToDate>
  <CharactersWithSpaces>13804</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2022-02-23T14:10:00Z</dcterms:created>
  <dc:creator>LENOVO</dc:creator>
  <cp:lastModifiedBy>foryeoL^^</cp:lastModifiedBy>
  <dcterms:modified xsi:type="dcterms:W3CDTF">2024-04-23T00:31:59Z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08948F7560D74D4D950298280DE07F7D</vt:lpwstr>
  </property>
</Properties>
</file>