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DA928">
      <w:pPr>
        <w:rPr>
          <w:rFonts w:hint="eastAsia" w:eastAsia="仿宋_GB2312"/>
          <w:color w:val="auto"/>
          <w:sz w:val="36"/>
          <w:szCs w:val="36"/>
          <w:lang w:val="en-US" w:eastAsia="zh-CN"/>
        </w:rPr>
      </w:pPr>
      <w:r>
        <w:rPr>
          <w:rFonts w:hint="eastAsia" w:eastAsia="仿宋_GB2312"/>
          <w:color w:val="auto"/>
          <w:sz w:val="36"/>
          <w:szCs w:val="36"/>
          <w:lang w:val="en-US" w:eastAsia="zh-CN"/>
        </w:rPr>
        <w:t xml:space="preserve"> </w:t>
      </w:r>
    </w:p>
    <w:p w14:paraId="6E5AA302">
      <w:pPr>
        <w:rPr>
          <w:rFonts w:eastAsia="仿宋_GB2312"/>
          <w:color w:val="auto"/>
          <w:sz w:val="36"/>
          <w:szCs w:val="36"/>
        </w:rPr>
      </w:pPr>
    </w:p>
    <w:p w14:paraId="5ED00F94">
      <w:pPr>
        <w:rPr>
          <w:rFonts w:eastAsia="仿宋_GB2312"/>
          <w:color w:val="auto"/>
          <w:sz w:val="36"/>
          <w:szCs w:val="36"/>
        </w:rPr>
      </w:pPr>
    </w:p>
    <w:p w14:paraId="506FE185">
      <w:pPr>
        <w:rPr>
          <w:rFonts w:eastAsia="仿宋_GB2312"/>
          <w:color w:val="auto"/>
          <w:sz w:val="36"/>
          <w:szCs w:val="36"/>
        </w:rPr>
      </w:pPr>
    </w:p>
    <w:p w14:paraId="2C5F37BE">
      <w:pPr>
        <w:rPr>
          <w:rFonts w:eastAsia="仿宋_GB2312"/>
          <w:color w:val="auto"/>
          <w:sz w:val="36"/>
          <w:szCs w:val="36"/>
        </w:rPr>
      </w:pPr>
    </w:p>
    <w:p w14:paraId="28279732">
      <w:pPr>
        <w:adjustRightInd w:val="0"/>
        <w:snapToGrid w:val="0"/>
        <w:jc w:val="center"/>
        <w:outlineLvl w:val="0"/>
        <w:rPr>
          <w:rFonts w:eastAsia="方正小标宋_GBK"/>
          <w:bCs/>
          <w:color w:val="auto"/>
          <w:sz w:val="72"/>
          <w:szCs w:val="72"/>
        </w:rPr>
      </w:pPr>
      <w:r>
        <w:rPr>
          <w:rFonts w:eastAsia="方正小标宋_GBK"/>
          <w:bCs/>
          <w:color w:val="auto"/>
          <w:sz w:val="72"/>
          <w:szCs w:val="72"/>
        </w:rPr>
        <w:t>建设项目环境影响报告表</w:t>
      </w:r>
    </w:p>
    <w:p w14:paraId="5656E8EA">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14:paraId="609D1394">
      <w:pPr>
        <w:adjustRightInd w:val="0"/>
        <w:snapToGrid w:val="0"/>
        <w:spacing w:line="288" w:lineRule="auto"/>
        <w:jc w:val="center"/>
        <w:outlineLvl w:val="0"/>
        <w:rPr>
          <w:rFonts w:eastAsia="华文仿宋"/>
          <w:color w:val="auto"/>
          <w:kern w:val="44"/>
          <w:sz w:val="44"/>
          <w:szCs w:val="44"/>
        </w:rPr>
      </w:pPr>
    </w:p>
    <w:p w14:paraId="5DCC5798">
      <w:pPr>
        <w:jc w:val="center"/>
        <w:rPr>
          <w:rFonts w:eastAsia="仿宋"/>
          <w:color w:val="auto"/>
          <w:sz w:val="52"/>
          <w:szCs w:val="52"/>
        </w:rPr>
      </w:pPr>
    </w:p>
    <w:p w14:paraId="6CC719CC">
      <w:pPr>
        <w:ind w:firstLine="1040"/>
        <w:rPr>
          <w:rFonts w:eastAsia="仿宋"/>
          <w:color w:val="auto"/>
          <w:sz w:val="44"/>
          <w:szCs w:val="44"/>
        </w:rPr>
      </w:pPr>
    </w:p>
    <w:p w14:paraId="3953B099">
      <w:pPr>
        <w:ind w:firstLine="1040"/>
        <w:rPr>
          <w:rFonts w:hint="eastAsia" w:eastAsia="仿宋"/>
          <w:color w:val="auto"/>
          <w:sz w:val="44"/>
          <w:szCs w:val="44"/>
        </w:rPr>
      </w:pPr>
    </w:p>
    <w:p w14:paraId="72F684C9">
      <w:pPr>
        <w:spacing w:line="360" w:lineRule="auto"/>
        <w:ind w:firstLine="1040"/>
        <w:rPr>
          <w:rFonts w:eastAsia="仿宋"/>
          <w:color w:val="auto"/>
          <w:sz w:val="44"/>
          <w:szCs w:val="44"/>
        </w:rPr>
      </w:pPr>
    </w:p>
    <w:p w14:paraId="46C2EEFD">
      <w:pPr>
        <w:adjustRightInd w:val="0"/>
        <w:snapToGrid w:val="0"/>
        <w:spacing w:line="360" w:lineRule="auto"/>
        <w:jc w:val="center"/>
        <w:rPr>
          <w:rFonts w:hint="eastAsia" w:eastAsia="仿宋_GB2312"/>
          <w:color w:val="auto"/>
          <w:sz w:val="36"/>
          <w:szCs w:val="36"/>
          <w:u w:val="single"/>
          <w:lang w:val="en-US" w:eastAsia="zh-CN"/>
        </w:rPr>
      </w:pPr>
      <w:r>
        <w:rPr>
          <w:rFonts w:eastAsia="仿宋_GB2312"/>
          <w:color w:val="auto"/>
          <w:sz w:val="36"/>
          <w:szCs w:val="36"/>
        </w:rPr>
        <w:t>项</w:t>
      </w:r>
      <w:r>
        <w:rPr>
          <w:rFonts w:hint="eastAsia" w:eastAsia="仿宋_GB2312"/>
          <w:color w:val="auto"/>
          <w:sz w:val="36"/>
          <w:szCs w:val="36"/>
          <w:lang w:val="en-US" w:eastAsia="zh-CN"/>
        </w:rPr>
        <w:t xml:space="preserve"> </w:t>
      </w:r>
      <w:r>
        <w:rPr>
          <w:rFonts w:eastAsia="仿宋_GB2312"/>
          <w:color w:val="auto"/>
          <w:sz w:val="36"/>
          <w:szCs w:val="36"/>
        </w:rPr>
        <w:t>目</w:t>
      </w:r>
      <w:r>
        <w:rPr>
          <w:rFonts w:hint="eastAsia" w:eastAsia="仿宋_GB2312"/>
          <w:color w:val="auto"/>
          <w:sz w:val="36"/>
          <w:szCs w:val="36"/>
          <w:lang w:val="en-US" w:eastAsia="zh-CN"/>
        </w:rPr>
        <w:t xml:space="preserve"> </w:t>
      </w:r>
      <w:r>
        <w:rPr>
          <w:rFonts w:eastAsia="仿宋_GB2312"/>
          <w:color w:val="auto"/>
          <w:sz w:val="36"/>
          <w:szCs w:val="36"/>
        </w:rPr>
        <w:t>名</w:t>
      </w:r>
      <w:r>
        <w:rPr>
          <w:rFonts w:hint="eastAsia" w:eastAsia="仿宋_GB2312"/>
          <w:color w:val="auto"/>
          <w:sz w:val="36"/>
          <w:szCs w:val="36"/>
          <w:lang w:val="en-US" w:eastAsia="zh-CN"/>
        </w:rPr>
        <w:t xml:space="preserve"> </w:t>
      </w:r>
      <w:r>
        <w:rPr>
          <w:rFonts w:eastAsia="仿宋_GB2312"/>
          <w:color w:val="auto"/>
          <w:sz w:val="36"/>
          <w:szCs w:val="36"/>
        </w:rPr>
        <w:t>称：</w:t>
      </w:r>
      <w:r>
        <w:rPr>
          <w:rFonts w:hint="eastAsia" w:eastAsia="仿宋_GB2312"/>
          <w:color w:val="auto"/>
          <w:sz w:val="36"/>
          <w:szCs w:val="36"/>
          <w:u w:val="single"/>
          <w:lang w:val="en-US" w:eastAsia="zh-CN"/>
        </w:rPr>
        <w:t>年模锻3000吨、自由锻24000吨技改项目</w:t>
      </w:r>
    </w:p>
    <w:p w14:paraId="56FE92C8">
      <w:pPr>
        <w:adjustRightInd w:val="0"/>
        <w:snapToGrid w:val="0"/>
        <w:spacing w:line="360" w:lineRule="auto"/>
        <w:jc w:val="both"/>
        <w:rPr>
          <w:rFonts w:hint="default" w:eastAsia="仿宋_GB2312"/>
          <w:color w:val="auto"/>
          <w:sz w:val="36"/>
          <w:szCs w:val="36"/>
          <w:lang w:val="en-US" w:eastAsia="zh-CN"/>
        </w:rPr>
      </w:pPr>
      <w:r>
        <w:rPr>
          <w:rFonts w:eastAsia="仿宋_GB2312"/>
          <w:color w:val="auto"/>
          <w:sz w:val="36"/>
          <w:szCs w:val="36"/>
        </w:rPr>
        <w:t>建设单位（盖章）：</w:t>
      </w:r>
      <w:r>
        <w:rPr>
          <w:rFonts w:hint="eastAsia" w:eastAsia="仿宋_GB2312"/>
          <w:color w:val="auto"/>
          <w:sz w:val="36"/>
          <w:szCs w:val="36"/>
          <w:u w:val="single"/>
          <w:lang w:val="en-US" w:eastAsia="zh-CN"/>
        </w:rPr>
        <w:t xml:space="preserve">      江苏一重锻造有限公司      </w:t>
      </w:r>
    </w:p>
    <w:p w14:paraId="3BD932AE">
      <w:pPr>
        <w:adjustRightInd w:val="0"/>
        <w:snapToGrid w:val="0"/>
        <w:spacing w:line="360" w:lineRule="auto"/>
        <w:jc w:val="both"/>
        <w:rPr>
          <w:rFonts w:hint="default" w:eastAsia="仿宋_GB2312"/>
          <w:color w:val="auto"/>
          <w:sz w:val="36"/>
          <w:szCs w:val="36"/>
          <w:u w:val="single"/>
          <w:lang w:val="en-US" w:eastAsia="zh-CN"/>
        </w:rPr>
      </w:pPr>
      <w:r>
        <w:rPr>
          <w:rFonts w:eastAsia="仿宋_GB2312"/>
          <w:color w:val="auto"/>
          <w:sz w:val="36"/>
          <w:szCs w:val="36"/>
        </w:rPr>
        <w:t>编</w:t>
      </w:r>
      <w:r>
        <w:rPr>
          <w:rFonts w:hint="eastAsia" w:eastAsia="仿宋_GB2312"/>
          <w:color w:val="auto"/>
          <w:sz w:val="36"/>
          <w:szCs w:val="36"/>
          <w:lang w:val="en-US" w:eastAsia="zh-CN"/>
        </w:rPr>
        <w:t xml:space="preserve"> </w:t>
      </w:r>
      <w:r>
        <w:rPr>
          <w:rFonts w:eastAsia="仿宋_GB2312"/>
          <w:color w:val="auto"/>
          <w:sz w:val="36"/>
          <w:szCs w:val="36"/>
        </w:rPr>
        <w:t>制</w:t>
      </w:r>
      <w:r>
        <w:rPr>
          <w:rFonts w:hint="eastAsia" w:eastAsia="仿宋_GB2312"/>
          <w:color w:val="auto"/>
          <w:sz w:val="36"/>
          <w:szCs w:val="36"/>
          <w:lang w:val="en-US" w:eastAsia="zh-CN"/>
        </w:rPr>
        <w:t xml:space="preserve"> </w:t>
      </w:r>
      <w:r>
        <w:rPr>
          <w:rFonts w:eastAsia="仿宋_GB2312"/>
          <w:color w:val="auto"/>
          <w:sz w:val="36"/>
          <w:szCs w:val="36"/>
        </w:rPr>
        <w:t>日</w:t>
      </w:r>
      <w:r>
        <w:rPr>
          <w:rFonts w:hint="eastAsia" w:eastAsia="仿宋_GB2312"/>
          <w:color w:val="auto"/>
          <w:sz w:val="36"/>
          <w:szCs w:val="36"/>
          <w:lang w:val="en-US" w:eastAsia="zh-CN"/>
        </w:rPr>
        <w:t xml:space="preserve"> </w:t>
      </w:r>
      <w:r>
        <w:rPr>
          <w:rFonts w:eastAsia="仿宋_GB2312"/>
          <w:color w:val="auto"/>
          <w:sz w:val="36"/>
          <w:szCs w:val="36"/>
        </w:rPr>
        <w:t>期：</w:t>
      </w:r>
      <w:r>
        <w:rPr>
          <w:rFonts w:hint="eastAsia" w:eastAsia="仿宋_GB2312"/>
          <w:color w:val="auto"/>
          <w:sz w:val="36"/>
          <w:szCs w:val="36"/>
          <w:lang w:val="en-US" w:eastAsia="zh-CN"/>
        </w:rPr>
        <w:t xml:space="preserve">  </w:t>
      </w:r>
      <w:r>
        <w:rPr>
          <w:rFonts w:eastAsia="仿宋_GB2312"/>
          <w:color w:val="auto"/>
          <w:sz w:val="36"/>
          <w:szCs w:val="36"/>
          <w:u w:val="single"/>
        </w:rPr>
        <w:t xml:space="preserve">    </w:t>
      </w:r>
      <w:r>
        <w:rPr>
          <w:rFonts w:hint="eastAsia" w:eastAsia="仿宋_GB2312"/>
          <w:color w:val="auto"/>
          <w:sz w:val="36"/>
          <w:szCs w:val="36"/>
          <w:u w:val="single"/>
          <w:lang w:val="en-US" w:eastAsia="zh-CN"/>
        </w:rPr>
        <w:t xml:space="preserve"> </w:t>
      </w:r>
      <w:r>
        <w:rPr>
          <w:rFonts w:eastAsia="仿宋_GB2312"/>
          <w:color w:val="auto"/>
          <w:sz w:val="36"/>
          <w:szCs w:val="36"/>
          <w:u w:val="single"/>
        </w:rPr>
        <w:t xml:space="preserve"> </w:t>
      </w:r>
      <w:r>
        <w:rPr>
          <w:rFonts w:hint="eastAsia" w:eastAsia="仿宋_GB2312"/>
          <w:color w:val="auto"/>
          <w:sz w:val="36"/>
          <w:szCs w:val="36"/>
          <w:u w:val="single"/>
          <w:lang w:val="en-US" w:eastAsia="zh-CN"/>
        </w:rPr>
        <w:t xml:space="preserve">      </w:t>
      </w:r>
      <w:r>
        <w:rPr>
          <w:rFonts w:eastAsia="仿宋_GB2312"/>
          <w:color w:val="auto"/>
          <w:sz w:val="36"/>
          <w:szCs w:val="36"/>
          <w:u w:val="single"/>
        </w:rPr>
        <w:t>202</w:t>
      </w:r>
      <w:r>
        <w:rPr>
          <w:rFonts w:hint="eastAsia" w:eastAsia="仿宋_GB2312"/>
          <w:color w:val="auto"/>
          <w:sz w:val="36"/>
          <w:szCs w:val="36"/>
          <w:u w:val="single"/>
          <w:lang w:val="en-US" w:eastAsia="zh-CN"/>
        </w:rPr>
        <w:t>4</w:t>
      </w:r>
      <w:r>
        <w:rPr>
          <w:rFonts w:eastAsia="仿宋_GB2312"/>
          <w:color w:val="auto"/>
          <w:sz w:val="36"/>
          <w:szCs w:val="36"/>
          <w:u w:val="single"/>
        </w:rPr>
        <w:t>年</w:t>
      </w:r>
      <w:r>
        <w:rPr>
          <w:rFonts w:hint="eastAsia" w:eastAsia="仿宋_GB2312"/>
          <w:color w:val="auto"/>
          <w:sz w:val="36"/>
          <w:szCs w:val="36"/>
          <w:u w:val="single"/>
          <w:lang w:val="en-US" w:eastAsia="zh-CN"/>
        </w:rPr>
        <w:t>6</w:t>
      </w:r>
      <w:r>
        <w:rPr>
          <w:rFonts w:eastAsia="仿宋_GB2312"/>
          <w:color w:val="auto"/>
          <w:sz w:val="36"/>
          <w:szCs w:val="36"/>
          <w:u w:val="single"/>
        </w:rPr>
        <w:t>月</w:t>
      </w:r>
      <w:r>
        <w:rPr>
          <w:rFonts w:hint="eastAsia" w:eastAsia="仿宋_GB2312"/>
          <w:color w:val="auto"/>
          <w:sz w:val="36"/>
          <w:szCs w:val="36"/>
          <w:u w:val="single"/>
          <w:lang w:val="en-US" w:eastAsia="zh-CN"/>
        </w:rPr>
        <w:t xml:space="preserve">            </w:t>
      </w:r>
    </w:p>
    <w:p w14:paraId="1264B443">
      <w:pPr>
        <w:adjustRightInd w:val="0"/>
        <w:snapToGrid w:val="0"/>
        <w:spacing w:line="288" w:lineRule="auto"/>
        <w:ind w:firstLine="1040"/>
        <w:rPr>
          <w:rFonts w:hint="eastAsia" w:eastAsia="仿宋_GB2312"/>
          <w:color w:val="auto"/>
          <w:sz w:val="36"/>
          <w:szCs w:val="36"/>
          <w:u w:val="single"/>
        </w:rPr>
      </w:pPr>
      <w:bookmarkStart w:id="0" w:name="_Hlk57884087"/>
    </w:p>
    <w:p w14:paraId="5E6695DA">
      <w:pPr>
        <w:adjustRightInd w:val="0"/>
        <w:snapToGrid w:val="0"/>
        <w:spacing w:line="288" w:lineRule="auto"/>
        <w:ind w:firstLine="1040"/>
        <w:rPr>
          <w:rFonts w:eastAsia="仿宋_GB2312"/>
          <w:color w:val="auto"/>
          <w:sz w:val="36"/>
          <w:szCs w:val="36"/>
        </w:rPr>
      </w:pPr>
    </w:p>
    <w:p w14:paraId="0A41A5DD">
      <w:pPr>
        <w:adjustRightInd w:val="0"/>
        <w:snapToGrid w:val="0"/>
        <w:spacing w:line="288" w:lineRule="auto"/>
        <w:ind w:firstLine="1040"/>
        <w:rPr>
          <w:rFonts w:eastAsia="仿宋_GB2312"/>
          <w:color w:val="auto"/>
          <w:sz w:val="36"/>
          <w:szCs w:val="36"/>
        </w:rPr>
      </w:pPr>
    </w:p>
    <w:p w14:paraId="6BFDFE54">
      <w:pPr>
        <w:adjustRightInd w:val="0"/>
        <w:snapToGrid w:val="0"/>
        <w:spacing w:line="288" w:lineRule="auto"/>
        <w:ind w:firstLine="1040"/>
        <w:rPr>
          <w:rFonts w:eastAsia="仿宋_GB2312"/>
          <w:color w:val="auto"/>
          <w:sz w:val="36"/>
          <w:szCs w:val="36"/>
        </w:rPr>
      </w:pPr>
    </w:p>
    <w:bookmarkEnd w:id="0"/>
    <w:p w14:paraId="1D609908">
      <w:pPr>
        <w:adjustRightInd w:val="0"/>
        <w:snapToGrid w:val="0"/>
        <w:spacing w:line="288" w:lineRule="auto"/>
        <w:ind w:firstLine="1040"/>
        <w:rPr>
          <w:rFonts w:eastAsia="仿宋_GB2312"/>
          <w:color w:val="auto"/>
          <w:sz w:val="36"/>
          <w:szCs w:val="36"/>
        </w:rPr>
      </w:pPr>
    </w:p>
    <w:p w14:paraId="71466E48">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14:paraId="5E685CF0">
      <w:pPr>
        <w:pStyle w:val="4"/>
        <w:rPr>
          <w:color w:val="auto"/>
        </w:rPr>
      </w:pPr>
    </w:p>
    <w:p w14:paraId="5642A285">
      <w:pPr>
        <w:rPr>
          <w:color w:val="auto"/>
        </w:rPr>
      </w:pPr>
    </w:p>
    <w:p w14:paraId="36F494B5">
      <w:pPr>
        <w:pStyle w:val="4"/>
        <w:rPr>
          <w:color w:val="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1640CCB0">
      <w:pPr>
        <w:pStyle w:val="37"/>
        <w:spacing w:line="240" w:lineRule="auto"/>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67"/>
        <w:gridCol w:w="1088"/>
        <w:gridCol w:w="1716"/>
        <w:gridCol w:w="2200"/>
        <w:gridCol w:w="2899"/>
      </w:tblGrid>
      <w:tr w14:paraId="7FD71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1CD52357">
            <w:pPr>
              <w:adjustRightInd w:val="0"/>
              <w:snapToGrid w:val="0"/>
              <w:jc w:val="center"/>
              <w:rPr>
                <w:color w:val="auto"/>
                <w:szCs w:val="21"/>
              </w:rPr>
            </w:pPr>
            <w:r>
              <w:rPr>
                <w:color w:val="auto"/>
                <w:szCs w:val="21"/>
              </w:rPr>
              <w:t>建设项目名称</w:t>
            </w:r>
          </w:p>
        </w:tc>
        <w:tc>
          <w:tcPr>
            <w:tcW w:w="6488" w:type="dxa"/>
            <w:gridSpan w:val="3"/>
            <w:noWrap w:val="0"/>
            <w:vAlign w:val="center"/>
          </w:tcPr>
          <w:p w14:paraId="0319CB1E">
            <w:pPr>
              <w:adjustRightInd w:val="0"/>
              <w:snapToGrid w:val="0"/>
              <w:jc w:val="center"/>
              <w:rPr>
                <w:rFonts w:hint="eastAsia" w:eastAsia="宋体"/>
                <w:color w:val="auto"/>
                <w:szCs w:val="21"/>
                <w:lang w:eastAsia="zh-CN"/>
              </w:rPr>
            </w:pPr>
            <w:r>
              <w:rPr>
                <w:rFonts w:hint="eastAsia"/>
                <w:color w:val="auto"/>
                <w:szCs w:val="21"/>
                <w:lang w:eastAsia="zh-CN"/>
              </w:rPr>
              <w:t>年模锻3000吨、自由锻24000吨技改项目</w:t>
            </w:r>
          </w:p>
        </w:tc>
      </w:tr>
      <w:tr w14:paraId="67E52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0D439311">
            <w:pPr>
              <w:adjustRightInd w:val="0"/>
              <w:snapToGrid w:val="0"/>
              <w:jc w:val="center"/>
              <w:rPr>
                <w:color w:val="auto"/>
                <w:szCs w:val="21"/>
              </w:rPr>
            </w:pPr>
            <w:r>
              <w:rPr>
                <w:color w:val="auto"/>
                <w:szCs w:val="21"/>
              </w:rPr>
              <w:t>项目代码</w:t>
            </w:r>
          </w:p>
        </w:tc>
        <w:tc>
          <w:tcPr>
            <w:tcW w:w="6488" w:type="dxa"/>
            <w:gridSpan w:val="3"/>
            <w:noWrap w:val="0"/>
            <w:vAlign w:val="center"/>
          </w:tcPr>
          <w:p w14:paraId="66580766">
            <w:pPr>
              <w:adjustRightInd w:val="0"/>
              <w:snapToGrid w:val="0"/>
              <w:jc w:val="center"/>
              <w:rPr>
                <w:rFonts w:hint="default" w:eastAsia="宋体"/>
                <w:color w:val="auto"/>
                <w:szCs w:val="21"/>
                <w:lang w:val="en-US" w:eastAsia="zh-CN"/>
              </w:rPr>
            </w:pPr>
            <w:r>
              <w:rPr>
                <w:rFonts w:hint="eastAsia"/>
                <w:color w:val="auto"/>
                <w:szCs w:val="21"/>
                <w:lang w:val="en-US" w:eastAsia="zh-CN"/>
              </w:rPr>
              <w:t>2310-320657-89-02-610775</w:t>
            </w:r>
          </w:p>
        </w:tc>
      </w:tr>
      <w:tr w14:paraId="36B96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16D8ED61">
            <w:pPr>
              <w:adjustRightInd w:val="0"/>
              <w:snapToGrid w:val="0"/>
              <w:jc w:val="center"/>
              <w:rPr>
                <w:color w:val="auto"/>
                <w:szCs w:val="21"/>
              </w:rPr>
            </w:pPr>
            <w:r>
              <w:rPr>
                <w:color w:val="auto"/>
                <w:szCs w:val="21"/>
              </w:rPr>
              <w:t>建设单位联系人</w:t>
            </w:r>
          </w:p>
        </w:tc>
        <w:tc>
          <w:tcPr>
            <w:tcW w:w="1637" w:type="dxa"/>
            <w:noWrap w:val="0"/>
            <w:vAlign w:val="center"/>
          </w:tcPr>
          <w:p w14:paraId="710FF0F4">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严火标</w:t>
            </w:r>
          </w:p>
        </w:tc>
        <w:tc>
          <w:tcPr>
            <w:tcW w:w="2212" w:type="dxa"/>
            <w:noWrap w:val="0"/>
            <w:vAlign w:val="center"/>
          </w:tcPr>
          <w:p w14:paraId="109FBFE0">
            <w:pPr>
              <w:adjustRightInd w:val="0"/>
              <w:snapToGrid w:val="0"/>
              <w:jc w:val="center"/>
              <w:rPr>
                <w:color w:val="auto"/>
                <w:sz w:val="21"/>
                <w:szCs w:val="21"/>
              </w:rPr>
            </w:pPr>
            <w:r>
              <w:rPr>
                <w:color w:val="auto"/>
                <w:sz w:val="21"/>
                <w:szCs w:val="21"/>
              </w:rPr>
              <w:t>联系方式</w:t>
            </w:r>
          </w:p>
        </w:tc>
        <w:tc>
          <w:tcPr>
            <w:tcW w:w="2639" w:type="dxa"/>
            <w:noWrap w:val="0"/>
            <w:vAlign w:val="center"/>
          </w:tcPr>
          <w:p w14:paraId="3FD60972">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13862853018</w:t>
            </w:r>
          </w:p>
        </w:tc>
      </w:tr>
      <w:tr w14:paraId="4524D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658B9FB2">
            <w:pPr>
              <w:adjustRightInd w:val="0"/>
              <w:snapToGrid w:val="0"/>
              <w:jc w:val="center"/>
              <w:rPr>
                <w:color w:val="auto"/>
                <w:szCs w:val="21"/>
              </w:rPr>
            </w:pPr>
            <w:r>
              <w:rPr>
                <w:color w:val="auto"/>
                <w:szCs w:val="21"/>
              </w:rPr>
              <w:t>建设地点</w:t>
            </w:r>
          </w:p>
        </w:tc>
        <w:tc>
          <w:tcPr>
            <w:tcW w:w="6488" w:type="dxa"/>
            <w:gridSpan w:val="3"/>
            <w:noWrap w:val="0"/>
            <w:vAlign w:val="center"/>
          </w:tcPr>
          <w:p w14:paraId="513E9C52">
            <w:pPr>
              <w:adjustRightInd w:val="0"/>
              <w:snapToGrid w:val="0"/>
              <w:jc w:val="center"/>
              <w:rPr>
                <w:rFonts w:hint="default" w:eastAsia="宋体"/>
                <w:color w:val="auto"/>
                <w:szCs w:val="21"/>
                <w:lang w:val="en-US" w:eastAsia="zh-CN"/>
              </w:rPr>
            </w:pPr>
            <w:r>
              <w:rPr>
                <w:rFonts w:hint="eastAsia"/>
                <w:color w:val="auto"/>
                <w:szCs w:val="21"/>
                <w:lang w:val="en-US" w:eastAsia="zh-CN"/>
              </w:rPr>
              <w:t>江苏省南通市海门经济技术开发区福州路123号</w:t>
            </w:r>
          </w:p>
        </w:tc>
      </w:tr>
      <w:tr w14:paraId="1B0B3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5D62F95F">
            <w:pPr>
              <w:adjustRightInd w:val="0"/>
              <w:snapToGrid w:val="0"/>
              <w:jc w:val="center"/>
              <w:rPr>
                <w:color w:val="auto"/>
                <w:szCs w:val="21"/>
              </w:rPr>
            </w:pPr>
            <w:r>
              <w:rPr>
                <w:color w:val="auto"/>
                <w:szCs w:val="21"/>
              </w:rPr>
              <w:t>地理坐标</w:t>
            </w:r>
          </w:p>
        </w:tc>
        <w:tc>
          <w:tcPr>
            <w:tcW w:w="6488" w:type="dxa"/>
            <w:gridSpan w:val="3"/>
            <w:noWrap w:val="0"/>
            <w:vAlign w:val="center"/>
          </w:tcPr>
          <w:p w14:paraId="4EB5E174">
            <w:pPr>
              <w:jc w:val="center"/>
              <w:rPr>
                <w:color w:val="auto"/>
                <w:szCs w:val="21"/>
              </w:rPr>
            </w:pPr>
            <w:r>
              <w:rPr>
                <w:color w:val="auto"/>
                <w:szCs w:val="21"/>
              </w:rPr>
              <w:t>（</w:t>
            </w:r>
            <w:r>
              <w:rPr>
                <w:color w:val="auto"/>
                <w:szCs w:val="21"/>
                <w:u w:val="single"/>
              </w:rPr>
              <w:t xml:space="preserve"> </w:t>
            </w:r>
            <w:r>
              <w:rPr>
                <w:rFonts w:hint="eastAsia"/>
                <w:color w:val="auto"/>
                <w:szCs w:val="21"/>
                <w:u w:val="single"/>
              </w:rPr>
              <w:t>121</w:t>
            </w:r>
            <w:r>
              <w:rPr>
                <w:color w:val="auto"/>
                <w:szCs w:val="21"/>
                <w:u w:val="single"/>
              </w:rPr>
              <w:t xml:space="preserve"> </w:t>
            </w:r>
            <w:r>
              <w:rPr>
                <w:color w:val="auto"/>
                <w:szCs w:val="21"/>
              </w:rPr>
              <w:t>度</w:t>
            </w:r>
            <w:r>
              <w:rPr>
                <w:color w:val="auto"/>
                <w:szCs w:val="21"/>
                <w:u w:val="single"/>
              </w:rPr>
              <w:t xml:space="preserve">  </w:t>
            </w:r>
            <w:r>
              <w:rPr>
                <w:rFonts w:hint="eastAsia"/>
                <w:color w:val="auto"/>
                <w:szCs w:val="21"/>
                <w:u w:val="single"/>
                <w:lang w:val="en-US" w:eastAsia="zh-CN"/>
              </w:rPr>
              <w:t>7</w:t>
            </w:r>
            <w:r>
              <w:rPr>
                <w:color w:val="auto"/>
                <w:szCs w:val="21"/>
                <w:u w:val="single"/>
              </w:rPr>
              <w:t xml:space="preserve"> </w:t>
            </w:r>
            <w:r>
              <w:rPr>
                <w:color w:val="auto"/>
                <w:szCs w:val="21"/>
              </w:rPr>
              <w:t>分</w:t>
            </w:r>
            <w:r>
              <w:rPr>
                <w:color w:val="auto"/>
                <w:szCs w:val="21"/>
                <w:u w:val="single"/>
              </w:rPr>
              <w:t xml:space="preserve"> </w:t>
            </w:r>
            <w:r>
              <w:rPr>
                <w:rFonts w:hint="eastAsia"/>
                <w:color w:val="auto"/>
                <w:szCs w:val="21"/>
                <w:u w:val="single"/>
                <w:lang w:val="en-US" w:eastAsia="zh-CN"/>
              </w:rPr>
              <w:t>35.422</w:t>
            </w:r>
            <w:r>
              <w:rPr>
                <w:color w:val="auto"/>
                <w:szCs w:val="21"/>
                <w:u w:val="single"/>
              </w:rPr>
              <w:t xml:space="preserve"> </w:t>
            </w:r>
            <w:r>
              <w:rPr>
                <w:color w:val="auto"/>
                <w:szCs w:val="21"/>
              </w:rPr>
              <w:t>秒，</w:t>
            </w:r>
            <w:r>
              <w:rPr>
                <w:color w:val="auto"/>
                <w:szCs w:val="21"/>
                <w:u w:val="single"/>
              </w:rPr>
              <w:t xml:space="preserve"> </w:t>
            </w:r>
            <w:r>
              <w:rPr>
                <w:rFonts w:hint="eastAsia"/>
                <w:color w:val="auto"/>
                <w:szCs w:val="21"/>
                <w:u w:val="single"/>
                <w:lang w:val="en-US" w:eastAsia="zh-CN"/>
              </w:rPr>
              <w:t>31</w:t>
            </w:r>
            <w:r>
              <w:rPr>
                <w:color w:val="auto"/>
                <w:szCs w:val="21"/>
                <w:u w:val="single"/>
              </w:rPr>
              <w:t xml:space="preserve"> </w:t>
            </w:r>
            <w:r>
              <w:rPr>
                <w:color w:val="auto"/>
                <w:szCs w:val="21"/>
              </w:rPr>
              <w:t>度</w:t>
            </w:r>
            <w:r>
              <w:rPr>
                <w:color w:val="auto"/>
                <w:szCs w:val="21"/>
                <w:u w:val="single"/>
              </w:rPr>
              <w:t xml:space="preserve"> </w:t>
            </w:r>
            <w:r>
              <w:rPr>
                <w:rFonts w:hint="eastAsia"/>
                <w:color w:val="auto"/>
                <w:szCs w:val="21"/>
                <w:u w:val="single"/>
                <w:lang w:val="en-US" w:eastAsia="zh-CN"/>
              </w:rPr>
              <w:t>48</w:t>
            </w:r>
            <w:r>
              <w:rPr>
                <w:color w:val="auto"/>
                <w:szCs w:val="21"/>
                <w:u w:val="single"/>
              </w:rPr>
              <w:t xml:space="preserve"> </w:t>
            </w:r>
            <w:r>
              <w:rPr>
                <w:color w:val="auto"/>
                <w:szCs w:val="21"/>
              </w:rPr>
              <w:t>分</w:t>
            </w:r>
            <w:r>
              <w:rPr>
                <w:color w:val="auto"/>
                <w:szCs w:val="21"/>
                <w:u w:val="single"/>
              </w:rPr>
              <w:t xml:space="preserve"> </w:t>
            </w:r>
            <w:r>
              <w:rPr>
                <w:rFonts w:hint="eastAsia"/>
                <w:color w:val="auto"/>
                <w:szCs w:val="21"/>
                <w:u w:val="single"/>
                <w:lang w:val="en-US" w:eastAsia="zh-CN"/>
              </w:rPr>
              <w:t>49.655</w:t>
            </w:r>
            <w:r>
              <w:rPr>
                <w:color w:val="auto"/>
                <w:szCs w:val="21"/>
                <w:u w:val="single"/>
              </w:rPr>
              <w:t xml:space="preserve"> </w:t>
            </w:r>
            <w:r>
              <w:rPr>
                <w:color w:val="auto"/>
                <w:szCs w:val="21"/>
              </w:rPr>
              <w:t>秒）</w:t>
            </w:r>
          </w:p>
        </w:tc>
      </w:tr>
      <w:tr w14:paraId="0415C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gridSpan w:val="2"/>
            <w:noWrap w:val="0"/>
            <w:tcMar>
              <w:top w:w="16" w:type="dxa"/>
              <w:left w:w="16" w:type="dxa"/>
              <w:right w:w="16" w:type="dxa"/>
            </w:tcMar>
            <w:vAlign w:val="center"/>
          </w:tcPr>
          <w:p w14:paraId="73867E6E">
            <w:pPr>
              <w:adjustRightInd w:val="0"/>
              <w:snapToGrid w:val="0"/>
              <w:jc w:val="center"/>
              <w:rPr>
                <w:color w:val="auto"/>
                <w:szCs w:val="21"/>
              </w:rPr>
            </w:pPr>
            <w:r>
              <w:rPr>
                <w:color w:val="auto"/>
                <w:szCs w:val="21"/>
              </w:rPr>
              <w:t>国民经济</w:t>
            </w:r>
          </w:p>
          <w:p w14:paraId="6E5D54BD">
            <w:pPr>
              <w:adjustRightInd w:val="0"/>
              <w:snapToGrid w:val="0"/>
              <w:jc w:val="center"/>
              <w:rPr>
                <w:color w:val="auto"/>
                <w:szCs w:val="21"/>
              </w:rPr>
            </w:pPr>
            <w:r>
              <w:rPr>
                <w:color w:val="auto"/>
                <w:szCs w:val="21"/>
              </w:rPr>
              <w:t>行业类别</w:t>
            </w:r>
          </w:p>
        </w:tc>
        <w:tc>
          <w:tcPr>
            <w:tcW w:w="1637" w:type="dxa"/>
            <w:noWrap w:val="0"/>
            <w:vAlign w:val="center"/>
          </w:tcPr>
          <w:p w14:paraId="269B4A95">
            <w:pPr>
              <w:adjustRightInd w:val="0"/>
              <w:snapToGrid w:val="0"/>
              <w:jc w:val="center"/>
              <w:rPr>
                <w:rFonts w:hint="default" w:eastAsia="宋体"/>
                <w:color w:val="auto"/>
                <w:szCs w:val="21"/>
                <w:lang w:val="en-US" w:eastAsia="zh-CN"/>
              </w:rPr>
            </w:pPr>
            <w:r>
              <w:rPr>
                <w:rFonts w:hint="default" w:ascii="Times New Roman" w:hAnsi="Times New Roman" w:eastAsia="宋体" w:cs="Times New Roman"/>
                <w:color w:val="auto"/>
                <w:vertAlign w:val="baseline"/>
                <w:lang w:val="en-US" w:eastAsia="zh-CN"/>
              </w:rPr>
              <w:t>C3393锻件及粉末冶金制品制造</w:t>
            </w:r>
          </w:p>
        </w:tc>
        <w:tc>
          <w:tcPr>
            <w:tcW w:w="2212" w:type="dxa"/>
            <w:noWrap w:val="0"/>
            <w:vAlign w:val="center"/>
          </w:tcPr>
          <w:p w14:paraId="7C1924DA">
            <w:pPr>
              <w:adjustRightInd w:val="0"/>
              <w:snapToGrid w:val="0"/>
              <w:jc w:val="center"/>
              <w:rPr>
                <w:color w:val="auto"/>
                <w:szCs w:val="21"/>
              </w:rPr>
            </w:pPr>
            <w:bookmarkStart w:id="1" w:name="_Hlk49843745"/>
            <w:r>
              <w:rPr>
                <w:color w:val="auto"/>
                <w:szCs w:val="21"/>
              </w:rPr>
              <w:t>建设项目</w:t>
            </w:r>
          </w:p>
          <w:p w14:paraId="6F074CD1">
            <w:pPr>
              <w:adjustRightInd w:val="0"/>
              <w:snapToGrid w:val="0"/>
              <w:jc w:val="center"/>
              <w:rPr>
                <w:color w:val="auto"/>
                <w:szCs w:val="21"/>
              </w:rPr>
            </w:pPr>
            <w:r>
              <w:rPr>
                <w:color w:val="auto"/>
                <w:szCs w:val="21"/>
              </w:rPr>
              <w:t>行业类别</w:t>
            </w:r>
            <w:bookmarkEnd w:id="1"/>
          </w:p>
        </w:tc>
        <w:tc>
          <w:tcPr>
            <w:tcW w:w="2639" w:type="dxa"/>
            <w:noWrap w:val="0"/>
            <w:vAlign w:val="center"/>
          </w:tcPr>
          <w:p w14:paraId="27C44B19">
            <w:pPr>
              <w:adjustRightInd w:val="0"/>
              <w:snapToGrid w:val="0"/>
              <w:jc w:val="center"/>
              <w:rPr>
                <w:rFonts w:hint="default"/>
                <w:color w:val="auto"/>
                <w:szCs w:val="21"/>
                <w:lang w:val="en-US"/>
              </w:rPr>
            </w:pPr>
            <w:r>
              <w:rPr>
                <w:rFonts w:hint="eastAsia"/>
                <w:color w:val="auto"/>
                <w:szCs w:val="21"/>
                <w:lang w:val="en-US" w:eastAsia="zh-CN"/>
              </w:rPr>
              <w:t>三十、金属制品业 33 铸造及其他金属制品制造 339</w:t>
            </w:r>
          </w:p>
        </w:tc>
      </w:tr>
      <w:tr w14:paraId="2AC25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noWrap w:val="0"/>
            <w:tcMar>
              <w:top w:w="16" w:type="dxa"/>
              <w:left w:w="16" w:type="dxa"/>
              <w:right w:w="16" w:type="dxa"/>
            </w:tcMar>
            <w:vAlign w:val="center"/>
          </w:tcPr>
          <w:p w14:paraId="4B616DEB">
            <w:pPr>
              <w:adjustRightInd w:val="0"/>
              <w:snapToGrid w:val="0"/>
              <w:jc w:val="center"/>
              <w:rPr>
                <w:color w:val="auto"/>
                <w:szCs w:val="21"/>
              </w:rPr>
            </w:pPr>
            <w:r>
              <w:rPr>
                <w:color w:val="auto"/>
                <w:szCs w:val="21"/>
              </w:rPr>
              <w:t>建设性质</w:t>
            </w:r>
          </w:p>
        </w:tc>
        <w:tc>
          <w:tcPr>
            <w:tcW w:w="1637" w:type="dxa"/>
            <w:noWrap w:val="0"/>
            <w:vAlign w:val="center"/>
          </w:tcPr>
          <w:p w14:paraId="017556E3">
            <w:pPr>
              <w:jc w:val="left"/>
              <w:rPr>
                <w:color w:val="auto"/>
                <w:szCs w:val="21"/>
              </w:rPr>
            </w:pPr>
            <w:r>
              <w:rPr>
                <w:color w:val="auto"/>
                <w:szCs w:val="21"/>
              </w:rPr>
              <w:sym w:font="Wingdings" w:char="00A8"/>
            </w:r>
            <w:r>
              <w:rPr>
                <w:color w:val="auto"/>
                <w:szCs w:val="21"/>
              </w:rPr>
              <w:t>新建（迁建）</w:t>
            </w:r>
          </w:p>
          <w:p w14:paraId="25879C86">
            <w:pPr>
              <w:jc w:val="left"/>
              <w:rPr>
                <w:color w:val="auto"/>
                <w:szCs w:val="21"/>
              </w:rPr>
            </w:pPr>
            <w:r>
              <w:rPr>
                <w:color w:val="auto"/>
                <w:szCs w:val="21"/>
              </w:rPr>
              <w:sym w:font="Wingdings 2" w:char="00A3"/>
            </w:r>
            <w:r>
              <w:rPr>
                <w:color w:val="auto"/>
                <w:szCs w:val="21"/>
              </w:rPr>
              <w:t>改建</w:t>
            </w:r>
          </w:p>
          <w:p w14:paraId="3E7DE82A">
            <w:pPr>
              <w:jc w:val="left"/>
              <w:rPr>
                <w:color w:val="auto"/>
                <w:szCs w:val="21"/>
              </w:rPr>
            </w:pPr>
            <w:r>
              <w:rPr>
                <w:color w:val="auto"/>
                <w:szCs w:val="21"/>
              </w:rPr>
              <w:sym w:font="Wingdings 2" w:char="0052"/>
            </w:r>
            <w:r>
              <w:rPr>
                <w:color w:val="auto"/>
                <w:szCs w:val="21"/>
              </w:rPr>
              <w:t>扩建</w:t>
            </w:r>
          </w:p>
          <w:p w14:paraId="008D88E7">
            <w:pPr>
              <w:jc w:val="left"/>
              <w:rPr>
                <w:color w:val="auto"/>
                <w:szCs w:val="21"/>
              </w:rPr>
            </w:pPr>
            <w:r>
              <w:rPr>
                <w:color w:val="auto"/>
                <w:szCs w:val="21"/>
              </w:rPr>
              <w:sym w:font="Wingdings" w:char="00A8"/>
            </w:r>
            <w:r>
              <w:rPr>
                <w:color w:val="auto"/>
                <w:szCs w:val="21"/>
              </w:rPr>
              <w:t>技术改造</w:t>
            </w:r>
          </w:p>
        </w:tc>
        <w:tc>
          <w:tcPr>
            <w:tcW w:w="2212" w:type="dxa"/>
            <w:noWrap w:val="0"/>
            <w:vAlign w:val="center"/>
          </w:tcPr>
          <w:p w14:paraId="1609A94F">
            <w:pPr>
              <w:adjustRightInd w:val="0"/>
              <w:snapToGrid w:val="0"/>
              <w:jc w:val="center"/>
              <w:rPr>
                <w:color w:val="auto"/>
                <w:szCs w:val="21"/>
              </w:rPr>
            </w:pPr>
            <w:r>
              <w:rPr>
                <w:color w:val="auto"/>
                <w:szCs w:val="21"/>
              </w:rPr>
              <w:t>建设项目</w:t>
            </w:r>
          </w:p>
          <w:p w14:paraId="523A5A2D">
            <w:pPr>
              <w:adjustRightInd w:val="0"/>
              <w:snapToGrid w:val="0"/>
              <w:jc w:val="center"/>
              <w:rPr>
                <w:color w:val="auto"/>
                <w:szCs w:val="21"/>
              </w:rPr>
            </w:pPr>
            <w:r>
              <w:rPr>
                <w:color w:val="auto"/>
                <w:szCs w:val="21"/>
              </w:rPr>
              <w:t>申报情形</w:t>
            </w:r>
          </w:p>
        </w:tc>
        <w:tc>
          <w:tcPr>
            <w:tcW w:w="2639" w:type="dxa"/>
            <w:noWrap w:val="0"/>
            <w:vAlign w:val="center"/>
          </w:tcPr>
          <w:p w14:paraId="0D7FD89E">
            <w:pPr>
              <w:jc w:val="left"/>
              <w:rPr>
                <w:color w:val="auto"/>
                <w:szCs w:val="21"/>
              </w:rPr>
            </w:pPr>
            <w:r>
              <w:rPr>
                <w:color w:val="auto"/>
                <w:szCs w:val="21"/>
              </w:rPr>
              <w:sym w:font="Wingdings" w:char="F0FE"/>
            </w:r>
            <w:r>
              <w:rPr>
                <w:color w:val="auto"/>
                <w:szCs w:val="21"/>
              </w:rPr>
              <w:t xml:space="preserve">首次申报项目             </w:t>
            </w:r>
          </w:p>
          <w:p w14:paraId="08E3845E">
            <w:pPr>
              <w:jc w:val="left"/>
              <w:rPr>
                <w:color w:val="auto"/>
                <w:szCs w:val="21"/>
              </w:rPr>
            </w:pPr>
            <w:r>
              <w:rPr>
                <w:color w:val="auto"/>
                <w:szCs w:val="21"/>
              </w:rPr>
              <w:t>□不予批准后再次申报项目</w:t>
            </w:r>
          </w:p>
          <w:p w14:paraId="3CBE4982">
            <w:pPr>
              <w:jc w:val="left"/>
              <w:rPr>
                <w:color w:val="auto"/>
                <w:szCs w:val="21"/>
              </w:rPr>
            </w:pPr>
            <w:r>
              <w:rPr>
                <w:color w:val="auto"/>
                <w:szCs w:val="21"/>
              </w:rPr>
              <w:sym w:font="Wingdings 2" w:char="00A3"/>
            </w:r>
            <w:r>
              <w:rPr>
                <w:color w:val="auto"/>
                <w:szCs w:val="21"/>
              </w:rPr>
              <w:t xml:space="preserve">超五年重新审核项目     </w:t>
            </w:r>
          </w:p>
          <w:p w14:paraId="73D41236">
            <w:pPr>
              <w:jc w:val="left"/>
              <w:rPr>
                <w:color w:val="auto"/>
                <w:szCs w:val="21"/>
              </w:rPr>
            </w:pPr>
            <w:r>
              <w:rPr>
                <w:color w:val="auto"/>
                <w:szCs w:val="21"/>
              </w:rPr>
              <w:t>□重大变动重新报批项目</w:t>
            </w:r>
          </w:p>
        </w:tc>
      </w:tr>
      <w:tr w14:paraId="00782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gridSpan w:val="2"/>
            <w:noWrap w:val="0"/>
            <w:tcMar>
              <w:top w:w="16" w:type="dxa"/>
              <w:left w:w="16" w:type="dxa"/>
              <w:right w:w="16" w:type="dxa"/>
            </w:tcMar>
            <w:vAlign w:val="center"/>
          </w:tcPr>
          <w:p w14:paraId="36CF6289">
            <w:pPr>
              <w:adjustRightInd w:val="0"/>
              <w:snapToGrid w:val="0"/>
              <w:jc w:val="center"/>
              <w:rPr>
                <w:color w:val="auto"/>
                <w:szCs w:val="21"/>
              </w:rPr>
            </w:pPr>
            <w:r>
              <w:rPr>
                <w:color w:val="auto"/>
                <w:szCs w:val="21"/>
              </w:rPr>
              <w:t>项目审批（核准/</w:t>
            </w:r>
          </w:p>
          <w:p w14:paraId="2BDC3D9E">
            <w:pPr>
              <w:adjustRightInd w:val="0"/>
              <w:snapToGrid w:val="0"/>
              <w:jc w:val="center"/>
              <w:rPr>
                <w:color w:val="auto"/>
                <w:szCs w:val="21"/>
              </w:rPr>
            </w:pPr>
            <w:r>
              <w:rPr>
                <w:color w:val="auto"/>
                <w:szCs w:val="21"/>
              </w:rPr>
              <w:t>备案）部门（选填）</w:t>
            </w:r>
          </w:p>
        </w:tc>
        <w:tc>
          <w:tcPr>
            <w:tcW w:w="1637" w:type="dxa"/>
            <w:noWrap w:val="0"/>
            <w:vAlign w:val="center"/>
          </w:tcPr>
          <w:p w14:paraId="28887B07">
            <w:pPr>
              <w:adjustRightInd w:val="0"/>
              <w:snapToGrid w:val="0"/>
              <w:jc w:val="center"/>
              <w:rPr>
                <w:rFonts w:hint="default" w:eastAsia="宋体"/>
                <w:color w:val="auto"/>
                <w:szCs w:val="21"/>
                <w:lang w:val="en-US" w:eastAsia="zh-CN"/>
              </w:rPr>
            </w:pPr>
            <w:r>
              <w:rPr>
                <w:rFonts w:hint="eastAsia"/>
                <w:color w:val="auto"/>
                <w:szCs w:val="21"/>
                <w:lang w:val="en-US" w:eastAsia="zh-CN"/>
              </w:rPr>
              <w:t>海门经济技术开发区行政审批局</w:t>
            </w:r>
          </w:p>
        </w:tc>
        <w:tc>
          <w:tcPr>
            <w:tcW w:w="2212" w:type="dxa"/>
            <w:noWrap w:val="0"/>
            <w:vAlign w:val="center"/>
          </w:tcPr>
          <w:p w14:paraId="1D851DC7">
            <w:pPr>
              <w:adjustRightInd w:val="0"/>
              <w:snapToGrid w:val="0"/>
              <w:jc w:val="center"/>
              <w:rPr>
                <w:color w:val="auto"/>
                <w:szCs w:val="21"/>
              </w:rPr>
            </w:pPr>
            <w:r>
              <w:rPr>
                <w:color w:val="auto"/>
                <w:szCs w:val="21"/>
              </w:rPr>
              <w:t>项目审批（核准/</w:t>
            </w:r>
          </w:p>
          <w:p w14:paraId="1FD9CB93">
            <w:pPr>
              <w:adjustRightInd w:val="0"/>
              <w:snapToGrid w:val="0"/>
              <w:jc w:val="center"/>
              <w:rPr>
                <w:color w:val="auto"/>
                <w:szCs w:val="21"/>
              </w:rPr>
            </w:pPr>
            <w:r>
              <w:rPr>
                <w:color w:val="auto"/>
                <w:szCs w:val="21"/>
              </w:rPr>
              <w:t>备案）文号（选填）</w:t>
            </w:r>
          </w:p>
        </w:tc>
        <w:tc>
          <w:tcPr>
            <w:tcW w:w="2639" w:type="dxa"/>
            <w:noWrap w:val="0"/>
            <w:vAlign w:val="center"/>
          </w:tcPr>
          <w:p w14:paraId="6014F7D5">
            <w:pPr>
              <w:adjustRightInd w:val="0"/>
              <w:snapToGrid w:val="0"/>
              <w:jc w:val="center"/>
              <w:rPr>
                <w:rFonts w:hint="default" w:eastAsia="宋体"/>
                <w:color w:val="auto"/>
                <w:szCs w:val="21"/>
                <w:lang w:val="en-US" w:eastAsia="zh-CN"/>
              </w:rPr>
            </w:pPr>
            <w:r>
              <w:rPr>
                <w:rFonts w:hint="eastAsia" w:ascii="Times New Roman" w:hAnsi="Times New Roman" w:eastAsia="宋体" w:cs="Times New Roman"/>
                <w:color w:val="auto"/>
                <w:kern w:val="0"/>
                <w:sz w:val="21"/>
                <w:szCs w:val="16"/>
                <w:lang w:val="en-US" w:eastAsia="zh-CN" w:bidi="ar-SA"/>
              </w:rPr>
              <w:t>海开审备〔2024〕320号</w:t>
            </w:r>
          </w:p>
        </w:tc>
      </w:tr>
      <w:tr w14:paraId="0D97B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715D3854">
            <w:pPr>
              <w:adjustRightInd w:val="0"/>
              <w:snapToGrid w:val="0"/>
              <w:jc w:val="center"/>
              <w:rPr>
                <w:color w:val="auto"/>
                <w:szCs w:val="21"/>
              </w:rPr>
            </w:pPr>
            <w:r>
              <w:rPr>
                <w:color w:val="auto"/>
                <w:szCs w:val="21"/>
              </w:rPr>
              <w:t>总投资（万元）</w:t>
            </w:r>
          </w:p>
        </w:tc>
        <w:tc>
          <w:tcPr>
            <w:tcW w:w="1637" w:type="dxa"/>
            <w:noWrap w:val="0"/>
            <w:vAlign w:val="center"/>
          </w:tcPr>
          <w:p w14:paraId="763FABFD">
            <w:pPr>
              <w:adjustRightInd w:val="0"/>
              <w:snapToGrid w:val="0"/>
              <w:jc w:val="center"/>
              <w:rPr>
                <w:rFonts w:hint="default"/>
                <w:color w:val="auto"/>
                <w:szCs w:val="21"/>
                <w:lang w:val="en-US"/>
              </w:rPr>
            </w:pPr>
            <w:r>
              <w:rPr>
                <w:rFonts w:hint="eastAsia"/>
                <w:color w:val="auto"/>
                <w:szCs w:val="21"/>
                <w:lang w:val="en-US" w:eastAsia="zh-CN"/>
              </w:rPr>
              <w:t>1000</w:t>
            </w:r>
          </w:p>
        </w:tc>
        <w:tc>
          <w:tcPr>
            <w:tcW w:w="2212" w:type="dxa"/>
            <w:noWrap w:val="0"/>
            <w:tcMar>
              <w:top w:w="16" w:type="dxa"/>
              <w:left w:w="16" w:type="dxa"/>
              <w:right w:w="16" w:type="dxa"/>
            </w:tcMar>
            <w:vAlign w:val="center"/>
          </w:tcPr>
          <w:p w14:paraId="35A1BCB0">
            <w:pPr>
              <w:adjustRightInd w:val="0"/>
              <w:snapToGrid w:val="0"/>
              <w:jc w:val="center"/>
              <w:rPr>
                <w:color w:val="auto"/>
                <w:szCs w:val="21"/>
              </w:rPr>
            </w:pPr>
            <w:r>
              <w:rPr>
                <w:color w:val="auto"/>
                <w:szCs w:val="21"/>
              </w:rPr>
              <w:t>环保投资（万元）</w:t>
            </w:r>
          </w:p>
        </w:tc>
        <w:tc>
          <w:tcPr>
            <w:tcW w:w="2639" w:type="dxa"/>
            <w:noWrap w:val="0"/>
            <w:vAlign w:val="center"/>
          </w:tcPr>
          <w:p w14:paraId="3D80EFBA">
            <w:pPr>
              <w:adjustRightInd w:val="0"/>
              <w:snapToGrid w:val="0"/>
              <w:jc w:val="center"/>
              <w:rPr>
                <w:rFonts w:hint="default" w:eastAsia="宋体"/>
                <w:color w:val="auto"/>
                <w:szCs w:val="21"/>
                <w:lang w:val="en-US" w:eastAsia="zh-CN"/>
              </w:rPr>
            </w:pPr>
            <w:r>
              <w:rPr>
                <w:rFonts w:hint="eastAsia"/>
                <w:color w:val="auto"/>
                <w:szCs w:val="21"/>
                <w:lang w:val="en-US" w:eastAsia="zh-CN"/>
              </w:rPr>
              <w:t>50</w:t>
            </w:r>
          </w:p>
        </w:tc>
      </w:tr>
      <w:tr w14:paraId="7C669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6217AA2A">
            <w:pPr>
              <w:adjustRightInd w:val="0"/>
              <w:snapToGrid w:val="0"/>
              <w:jc w:val="center"/>
              <w:rPr>
                <w:color w:val="auto"/>
                <w:szCs w:val="21"/>
              </w:rPr>
            </w:pPr>
            <w:r>
              <w:rPr>
                <w:color w:val="auto"/>
                <w:szCs w:val="21"/>
              </w:rPr>
              <w:t>环保投资占比（%）</w:t>
            </w:r>
          </w:p>
        </w:tc>
        <w:tc>
          <w:tcPr>
            <w:tcW w:w="1637" w:type="dxa"/>
            <w:noWrap w:val="0"/>
            <w:vAlign w:val="center"/>
          </w:tcPr>
          <w:p w14:paraId="1B6E84F2">
            <w:pPr>
              <w:adjustRightInd w:val="0"/>
              <w:snapToGrid w:val="0"/>
              <w:jc w:val="center"/>
              <w:rPr>
                <w:rFonts w:hint="default" w:eastAsia="宋体"/>
                <w:color w:val="auto"/>
                <w:szCs w:val="21"/>
                <w:lang w:val="en-US" w:eastAsia="zh-CN"/>
              </w:rPr>
            </w:pPr>
            <w:r>
              <w:rPr>
                <w:rFonts w:hint="eastAsia"/>
                <w:color w:val="auto"/>
                <w:szCs w:val="21"/>
                <w:lang w:val="en-US" w:eastAsia="zh-CN"/>
              </w:rPr>
              <w:t>5</w:t>
            </w:r>
          </w:p>
        </w:tc>
        <w:tc>
          <w:tcPr>
            <w:tcW w:w="2212" w:type="dxa"/>
            <w:noWrap w:val="0"/>
            <w:tcMar>
              <w:top w:w="16" w:type="dxa"/>
              <w:left w:w="16" w:type="dxa"/>
              <w:right w:w="16" w:type="dxa"/>
            </w:tcMar>
            <w:vAlign w:val="center"/>
          </w:tcPr>
          <w:p w14:paraId="66A8B8B5">
            <w:pPr>
              <w:adjustRightInd w:val="0"/>
              <w:snapToGrid w:val="0"/>
              <w:jc w:val="center"/>
              <w:rPr>
                <w:color w:val="auto"/>
                <w:szCs w:val="21"/>
              </w:rPr>
            </w:pPr>
            <w:r>
              <w:rPr>
                <w:color w:val="auto"/>
                <w:szCs w:val="21"/>
              </w:rPr>
              <w:t>施工工期</w:t>
            </w:r>
          </w:p>
        </w:tc>
        <w:tc>
          <w:tcPr>
            <w:tcW w:w="2639" w:type="dxa"/>
            <w:noWrap w:val="0"/>
            <w:vAlign w:val="center"/>
          </w:tcPr>
          <w:p w14:paraId="35DA044C">
            <w:pPr>
              <w:adjustRightInd w:val="0"/>
              <w:snapToGrid w:val="0"/>
              <w:jc w:val="center"/>
              <w:rPr>
                <w:color w:val="auto"/>
                <w:szCs w:val="21"/>
              </w:rPr>
            </w:pPr>
            <w:r>
              <w:rPr>
                <w:rFonts w:hint="eastAsia"/>
                <w:color w:val="auto"/>
                <w:szCs w:val="21"/>
                <w:lang w:val="en-US" w:eastAsia="zh-CN"/>
              </w:rPr>
              <w:t>3</w:t>
            </w:r>
            <w:r>
              <w:rPr>
                <w:color w:val="auto"/>
                <w:szCs w:val="21"/>
              </w:rPr>
              <w:t>个月</w:t>
            </w:r>
          </w:p>
        </w:tc>
      </w:tr>
      <w:tr w14:paraId="54BD4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7B26C9EC">
            <w:pPr>
              <w:adjustRightInd w:val="0"/>
              <w:snapToGrid w:val="0"/>
              <w:jc w:val="center"/>
              <w:rPr>
                <w:color w:val="auto"/>
                <w:szCs w:val="21"/>
              </w:rPr>
            </w:pPr>
            <w:r>
              <w:rPr>
                <w:color w:val="auto"/>
                <w:szCs w:val="21"/>
              </w:rPr>
              <w:t>是否开工建设</w:t>
            </w:r>
          </w:p>
        </w:tc>
        <w:tc>
          <w:tcPr>
            <w:tcW w:w="1637" w:type="dxa"/>
            <w:noWrap w:val="0"/>
            <w:vAlign w:val="center"/>
          </w:tcPr>
          <w:p w14:paraId="0034F5E5">
            <w:pPr>
              <w:adjustRightInd w:val="0"/>
              <w:snapToGrid w:val="0"/>
              <w:rPr>
                <w:color w:val="auto"/>
                <w:szCs w:val="21"/>
              </w:rPr>
            </w:pPr>
            <w:r>
              <w:rPr>
                <w:color w:val="auto"/>
                <w:szCs w:val="21"/>
              </w:rPr>
              <w:sym w:font="Wingdings" w:char="F0FE"/>
            </w:r>
            <w:r>
              <w:rPr>
                <w:color w:val="auto"/>
                <w:szCs w:val="21"/>
              </w:rPr>
              <w:t>否</w:t>
            </w:r>
          </w:p>
          <w:p w14:paraId="1278BE30">
            <w:pPr>
              <w:adjustRightInd w:val="0"/>
              <w:snapToGrid w:val="0"/>
              <w:rPr>
                <w:color w:val="auto"/>
                <w:szCs w:val="21"/>
              </w:rPr>
            </w:pPr>
            <w:r>
              <w:rPr>
                <w:color w:val="auto"/>
                <w:szCs w:val="21"/>
              </w:rPr>
              <w:sym w:font="Wingdings 2" w:char="00A3"/>
            </w:r>
            <w:r>
              <w:rPr>
                <w:color w:val="auto"/>
                <w:szCs w:val="21"/>
              </w:rPr>
              <w:t>是：</w:t>
            </w:r>
            <w:r>
              <w:rPr>
                <w:color w:val="auto"/>
                <w:szCs w:val="21"/>
                <w:u w:val="single"/>
              </w:rPr>
              <w:t xml:space="preserve">             </w:t>
            </w:r>
          </w:p>
        </w:tc>
        <w:tc>
          <w:tcPr>
            <w:tcW w:w="2212" w:type="dxa"/>
            <w:noWrap w:val="0"/>
            <w:tcMar>
              <w:top w:w="16" w:type="dxa"/>
              <w:left w:w="16" w:type="dxa"/>
              <w:right w:w="16" w:type="dxa"/>
            </w:tcMar>
            <w:vAlign w:val="center"/>
          </w:tcPr>
          <w:p w14:paraId="10D13301">
            <w:pPr>
              <w:adjustRightInd w:val="0"/>
              <w:snapToGrid w:val="0"/>
              <w:jc w:val="center"/>
              <w:rPr>
                <w:color w:val="auto"/>
                <w:spacing w:val="-6"/>
                <w:szCs w:val="21"/>
              </w:rPr>
            </w:pPr>
            <w:r>
              <w:rPr>
                <w:color w:val="auto"/>
                <w:spacing w:val="-6"/>
                <w:szCs w:val="21"/>
              </w:rPr>
              <w:t>用地（用海）</w:t>
            </w:r>
          </w:p>
          <w:p w14:paraId="6C3D9FFB">
            <w:pPr>
              <w:adjustRightInd w:val="0"/>
              <w:snapToGrid w:val="0"/>
              <w:jc w:val="center"/>
              <w:rPr>
                <w:color w:val="auto"/>
                <w:szCs w:val="21"/>
              </w:rPr>
            </w:pPr>
            <w:r>
              <w:rPr>
                <w:color w:val="auto"/>
                <w:spacing w:val="-6"/>
                <w:szCs w:val="21"/>
              </w:rPr>
              <w:t>面积（m</w:t>
            </w:r>
            <w:r>
              <w:rPr>
                <w:color w:val="auto"/>
                <w:spacing w:val="-6"/>
                <w:szCs w:val="21"/>
                <w:vertAlign w:val="superscript"/>
              </w:rPr>
              <w:t>2</w:t>
            </w:r>
            <w:r>
              <w:rPr>
                <w:color w:val="auto"/>
                <w:spacing w:val="-6"/>
                <w:szCs w:val="21"/>
              </w:rPr>
              <w:t>）</w:t>
            </w:r>
          </w:p>
        </w:tc>
        <w:tc>
          <w:tcPr>
            <w:tcW w:w="2639" w:type="dxa"/>
            <w:noWrap w:val="0"/>
            <w:vAlign w:val="center"/>
          </w:tcPr>
          <w:p w14:paraId="1107AE66">
            <w:pPr>
              <w:adjustRightInd w:val="0"/>
              <w:snapToGrid w:val="0"/>
              <w:jc w:val="center"/>
              <w:rPr>
                <w:rFonts w:hint="default" w:eastAsia="宋体"/>
                <w:color w:val="auto"/>
                <w:szCs w:val="21"/>
                <w:lang w:val="en-US" w:eastAsia="zh-CN"/>
              </w:rPr>
            </w:pPr>
            <w:r>
              <w:rPr>
                <w:rFonts w:hint="eastAsia"/>
                <w:color w:val="auto"/>
                <w:szCs w:val="21"/>
                <w:lang w:val="en-US" w:eastAsia="zh-CN"/>
              </w:rPr>
              <w:t>利用原有厂房，全厂占地面积26667平方米，未新增用地</w:t>
            </w:r>
          </w:p>
        </w:tc>
      </w:tr>
      <w:tr w14:paraId="6C2E2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0DDD8ED3">
            <w:pPr>
              <w:autoSpaceDE w:val="0"/>
              <w:autoSpaceDN w:val="0"/>
              <w:adjustRightInd w:val="0"/>
              <w:snapToGrid w:val="0"/>
              <w:jc w:val="center"/>
              <w:rPr>
                <w:color w:val="auto"/>
                <w:kern w:val="0"/>
                <w:szCs w:val="21"/>
              </w:rPr>
            </w:pPr>
            <w:r>
              <w:rPr>
                <w:color w:val="auto"/>
                <w:kern w:val="0"/>
                <w:szCs w:val="21"/>
              </w:rPr>
              <w:t>专项评价设置情况</w:t>
            </w:r>
          </w:p>
        </w:tc>
        <w:tc>
          <w:tcPr>
            <w:tcW w:w="6488" w:type="dxa"/>
            <w:gridSpan w:val="3"/>
            <w:noWrap w:val="0"/>
            <w:vAlign w:val="center"/>
          </w:tcPr>
          <w:p w14:paraId="78143855">
            <w:pPr>
              <w:autoSpaceDE w:val="0"/>
              <w:autoSpaceDN w:val="0"/>
              <w:adjustRightInd w:val="0"/>
              <w:snapToGrid w:val="0"/>
              <w:jc w:val="center"/>
              <w:rPr>
                <w:color w:val="auto"/>
                <w:kern w:val="0"/>
                <w:szCs w:val="21"/>
              </w:rPr>
            </w:pPr>
            <w:r>
              <w:rPr>
                <w:color w:val="auto"/>
                <w:kern w:val="0"/>
                <w:szCs w:val="21"/>
              </w:rPr>
              <w:t>无</w:t>
            </w:r>
          </w:p>
        </w:tc>
      </w:tr>
      <w:tr w14:paraId="4D442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062E3D7F">
            <w:pPr>
              <w:autoSpaceDE w:val="0"/>
              <w:autoSpaceDN w:val="0"/>
              <w:adjustRightInd w:val="0"/>
              <w:snapToGrid w:val="0"/>
              <w:jc w:val="center"/>
              <w:rPr>
                <w:color w:val="auto"/>
                <w:kern w:val="0"/>
                <w:szCs w:val="21"/>
              </w:rPr>
            </w:pPr>
            <w:r>
              <w:rPr>
                <w:color w:val="auto"/>
                <w:szCs w:val="21"/>
              </w:rPr>
              <w:t>规划情况</w:t>
            </w:r>
          </w:p>
        </w:tc>
        <w:tc>
          <w:tcPr>
            <w:tcW w:w="6488" w:type="dxa"/>
            <w:gridSpan w:val="3"/>
            <w:noWrap w:val="0"/>
            <w:vAlign w:val="center"/>
          </w:tcPr>
          <w:p w14:paraId="34BF2FD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olor w:val="auto"/>
                <w:kern w:val="0"/>
                <w:szCs w:val="21"/>
              </w:rPr>
            </w:pPr>
            <w:r>
              <w:rPr>
                <w:rFonts w:hint="eastAsia"/>
                <w:color w:val="auto"/>
                <w:kern w:val="0"/>
                <w:szCs w:val="21"/>
              </w:rPr>
              <w:t>规划名称：海门市城市总体规划（2013-2030）；</w:t>
            </w:r>
          </w:p>
          <w:p w14:paraId="29B5CE02">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olor w:val="auto"/>
                <w:kern w:val="0"/>
                <w:szCs w:val="21"/>
              </w:rPr>
            </w:pPr>
            <w:r>
              <w:rPr>
                <w:rFonts w:hint="eastAsia"/>
                <w:color w:val="auto"/>
                <w:kern w:val="0"/>
                <w:szCs w:val="21"/>
              </w:rPr>
              <w:t>审批部门：江苏省人民政府；</w:t>
            </w:r>
          </w:p>
          <w:p w14:paraId="065A638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color w:val="auto"/>
                <w:kern w:val="0"/>
                <w:szCs w:val="21"/>
              </w:rPr>
            </w:pPr>
            <w:r>
              <w:rPr>
                <w:rFonts w:hint="eastAsia"/>
                <w:color w:val="auto"/>
                <w:kern w:val="0"/>
                <w:szCs w:val="21"/>
              </w:rPr>
              <w:t>审批文件名称及文号：省政府关于海门市城市总体规划的批复“苏政</w:t>
            </w:r>
          </w:p>
          <w:p w14:paraId="42B94EF3">
            <w:pPr>
              <w:autoSpaceDE w:val="0"/>
              <w:autoSpaceDN w:val="0"/>
              <w:adjustRightInd w:val="0"/>
              <w:spacing w:line="360" w:lineRule="auto"/>
              <w:jc w:val="left"/>
              <w:rPr>
                <w:color w:val="auto"/>
                <w:kern w:val="0"/>
                <w:szCs w:val="21"/>
              </w:rPr>
            </w:pPr>
            <w:r>
              <w:rPr>
                <w:rFonts w:hint="eastAsia"/>
                <w:color w:val="auto"/>
                <w:kern w:val="0"/>
                <w:szCs w:val="21"/>
              </w:rPr>
              <w:t>复〔</w:t>
            </w:r>
            <w:r>
              <w:rPr>
                <w:rFonts w:hint="eastAsia"/>
                <w:color w:val="auto"/>
                <w:kern w:val="0"/>
                <w:szCs w:val="21"/>
                <w:vertAlign w:val="baseline"/>
              </w:rPr>
              <w:t>20</w:t>
            </w:r>
            <w:r>
              <w:rPr>
                <w:rFonts w:hint="eastAsia"/>
                <w:color w:val="auto"/>
                <w:kern w:val="0"/>
                <w:szCs w:val="21"/>
              </w:rPr>
              <w:t>14〕68号”</w:t>
            </w:r>
          </w:p>
        </w:tc>
      </w:tr>
      <w:tr w14:paraId="3F01C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0041D69A">
            <w:pPr>
              <w:adjustRightInd w:val="0"/>
              <w:snapToGrid w:val="0"/>
              <w:jc w:val="center"/>
              <w:rPr>
                <w:color w:val="auto"/>
                <w:szCs w:val="21"/>
              </w:rPr>
            </w:pPr>
            <w:r>
              <w:rPr>
                <w:color w:val="auto"/>
                <w:szCs w:val="21"/>
              </w:rPr>
              <w:t>规划环境影响</w:t>
            </w:r>
          </w:p>
          <w:p w14:paraId="55942E02">
            <w:pPr>
              <w:adjustRightInd w:val="0"/>
              <w:snapToGrid w:val="0"/>
              <w:jc w:val="center"/>
              <w:rPr>
                <w:color w:val="auto"/>
                <w:kern w:val="0"/>
                <w:szCs w:val="21"/>
              </w:rPr>
            </w:pPr>
            <w:r>
              <w:rPr>
                <w:color w:val="auto"/>
                <w:szCs w:val="21"/>
              </w:rPr>
              <w:t>评价情况</w:t>
            </w:r>
          </w:p>
        </w:tc>
        <w:tc>
          <w:tcPr>
            <w:tcW w:w="6488" w:type="dxa"/>
            <w:gridSpan w:val="3"/>
            <w:noWrap w:val="0"/>
            <w:vAlign w:val="center"/>
          </w:tcPr>
          <w:p w14:paraId="484FEC85">
            <w:pPr>
              <w:autoSpaceDE w:val="0"/>
              <w:autoSpaceDN w:val="0"/>
              <w:adjustRightInd w:val="0"/>
              <w:snapToGrid w:val="0"/>
              <w:spacing w:line="360" w:lineRule="auto"/>
              <w:jc w:val="left"/>
              <w:rPr>
                <w:rFonts w:hint="default" w:ascii="Times New Roman" w:hAnsi="Times New Roman" w:eastAsia="新宋体" w:cs="Times New Roman"/>
                <w:color w:val="auto"/>
                <w:szCs w:val="21"/>
                <w:lang w:val="en-US" w:eastAsia="zh-CN"/>
              </w:rPr>
            </w:pPr>
            <w:r>
              <w:rPr>
                <w:rFonts w:hint="default" w:ascii="Times New Roman" w:hAnsi="Times New Roman" w:eastAsia="新宋体" w:cs="Times New Roman"/>
                <w:color w:val="auto"/>
                <w:szCs w:val="21"/>
                <w:lang w:val="en-US" w:eastAsia="zh-CN"/>
              </w:rPr>
              <w:t>规划环评名称：《海门经济技术开发区开发建设规划（2022</w:t>
            </w:r>
            <w:r>
              <w:rPr>
                <w:rFonts w:hint="eastAsia" w:eastAsia="新宋体" w:cs="Times New Roman"/>
                <w:color w:val="auto"/>
                <w:szCs w:val="21"/>
                <w:lang w:val="en-US" w:eastAsia="zh-CN"/>
              </w:rPr>
              <w:t>—</w:t>
            </w:r>
            <w:r>
              <w:rPr>
                <w:rFonts w:hint="default" w:ascii="Times New Roman" w:hAnsi="Times New Roman" w:eastAsia="新宋体" w:cs="Times New Roman"/>
                <w:color w:val="auto"/>
                <w:szCs w:val="21"/>
                <w:lang w:val="en-US" w:eastAsia="zh-CN"/>
              </w:rPr>
              <w:t>2035年）环境影响报告书》；</w:t>
            </w:r>
          </w:p>
          <w:p w14:paraId="62E5AA05">
            <w:pPr>
              <w:autoSpaceDE w:val="0"/>
              <w:autoSpaceDN w:val="0"/>
              <w:adjustRightInd w:val="0"/>
              <w:snapToGrid w:val="0"/>
              <w:spacing w:line="360" w:lineRule="auto"/>
              <w:jc w:val="left"/>
              <w:rPr>
                <w:rFonts w:hint="default" w:ascii="Times New Roman" w:hAnsi="Times New Roman" w:eastAsia="新宋体" w:cs="Times New Roman"/>
                <w:color w:val="auto"/>
                <w:szCs w:val="21"/>
                <w:lang w:val="en-US" w:eastAsia="zh-CN"/>
              </w:rPr>
            </w:pPr>
            <w:r>
              <w:rPr>
                <w:rFonts w:hint="default" w:ascii="Times New Roman" w:hAnsi="Times New Roman" w:eastAsia="新宋体" w:cs="Times New Roman"/>
                <w:color w:val="auto"/>
                <w:szCs w:val="21"/>
                <w:lang w:val="en-US" w:eastAsia="zh-CN"/>
              </w:rPr>
              <w:t>审批部门：江苏省生态环境厅；</w:t>
            </w:r>
          </w:p>
          <w:p w14:paraId="67BD0C93">
            <w:pPr>
              <w:autoSpaceDE w:val="0"/>
              <w:autoSpaceDN w:val="0"/>
              <w:adjustRightInd w:val="0"/>
              <w:spacing w:line="360" w:lineRule="auto"/>
              <w:jc w:val="center"/>
              <w:rPr>
                <w:rFonts w:hint="default" w:ascii="Times New Roman" w:hAnsi="Times New Roman" w:eastAsia="新宋体" w:cs="Times New Roman"/>
                <w:color w:val="auto"/>
                <w:szCs w:val="21"/>
                <w:lang w:val="en-US" w:eastAsia="zh-CN"/>
              </w:rPr>
            </w:pPr>
            <w:r>
              <w:rPr>
                <w:rFonts w:hint="default" w:ascii="Times New Roman" w:hAnsi="Times New Roman" w:eastAsia="新宋体" w:cs="Times New Roman"/>
                <w:color w:val="auto"/>
                <w:szCs w:val="21"/>
                <w:lang w:val="en-US" w:eastAsia="zh-CN"/>
              </w:rPr>
              <w:t>审批文件名称及文号：《省生态环境厅关于</w:t>
            </w:r>
            <w:r>
              <w:rPr>
                <w:rFonts w:hint="eastAsia" w:eastAsia="新宋体" w:cs="Times New Roman"/>
                <w:color w:val="auto"/>
                <w:szCs w:val="21"/>
                <w:lang w:val="en-US" w:eastAsia="zh-CN"/>
              </w:rPr>
              <w:t>〈</w:t>
            </w:r>
            <w:r>
              <w:rPr>
                <w:rFonts w:hint="default" w:ascii="Times New Roman" w:hAnsi="Times New Roman" w:eastAsia="新宋体" w:cs="Times New Roman"/>
                <w:color w:val="auto"/>
                <w:szCs w:val="21"/>
                <w:lang w:val="en-US" w:eastAsia="zh-CN"/>
              </w:rPr>
              <w:t>海门经济技术开发区开</w:t>
            </w:r>
          </w:p>
          <w:p w14:paraId="695A8325">
            <w:pPr>
              <w:autoSpaceDE w:val="0"/>
              <w:autoSpaceDN w:val="0"/>
              <w:adjustRightInd w:val="0"/>
              <w:spacing w:line="360" w:lineRule="auto"/>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新宋体" w:cs="Times New Roman"/>
                <w:color w:val="auto"/>
                <w:szCs w:val="21"/>
                <w:lang w:val="en-US" w:eastAsia="zh-CN"/>
              </w:rPr>
              <w:t>发建设规划（2022</w:t>
            </w:r>
            <w:r>
              <w:rPr>
                <w:rFonts w:hint="eastAsia" w:eastAsia="新宋体" w:cs="Times New Roman"/>
                <w:color w:val="auto"/>
                <w:szCs w:val="21"/>
                <w:lang w:val="en-US" w:eastAsia="zh-CN"/>
              </w:rPr>
              <w:t>—</w:t>
            </w:r>
            <w:r>
              <w:rPr>
                <w:rFonts w:hint="default" w:ascii="Times New Roman" w:hAnsi="Times New Roman" w:eastAsia="新宋体" w:cs="Times New Roman"/>
                <w:color w:val="auto"/>
                <w:szCs w:val="21"/>
                <w:lang w:val="en-US" w:eastAsia="zh-CN"/>
              </w:rPr>
              <w:t>2035年）环境影响报告书</w:t>
            </w:r>
            <w:r>
              <w:rPr>
                <w:rFonts w:hint="eastAsia" w:eastAsia="新宋体" w:cs="Times New Roman"/>
                <w:color w:val="auto"/>
                <w:szCs w:val="21"/>
                <w:lang w:val="en-US" w:eastAsia="zh-CN"/>
              </w:rPr>
              <w:t>〉</w:t>
            </w:r>
            <w:r>
              <w:rPr>
                <w:rFonts w:hint="default" w:ascii="Times New Roman" w:hAnsi="Times New Roman" w:eastAsia="新宋体" w:cs="Times New Roman"/>
                <w:color w:val="auto"/>
                <w:szCs w:val="21"/>
                <w:lang w:val="en-US" w:eastAsia="zh-CN"/>
              </w:rPr>
              <w:t>的审查意见》苏环审</w:t>
            </w:r>
            <w:r>
              <w:rPr>
                <w:rFonts w:hint="eastAsia"/>
                <w:color w:val="auto"/>
                <w:kern w:val="0"/>
                <w:szCs w:val="21"/>
              </w:rPr>
              <w:t>〔20</w:t>
            </w:r>
            <w:r>
              <w:rPr>
                <w:rFonts w:hint="eastAsia"/>
                <w:color w:val="auto"/>
                <w:kern w:val="0"/>
                <w:szCs w:val="21"/>
                <w:lang w:val="en-US" w:eastAsia="zh-CN"/>
              </w:rPr>
              <w:t>2</w:t>
            </w:r>
            <w:r>
              <w:rPr>
                <w:rFonts w:hint="eastAsia"/>
                <w:color w:val="auto"/>
                <w:kern w:val="0"/>
                <w:szCs w:val="21"/>
              </w:rPr>
              <w:t>4〕</w:t>
            </w:r>
            <w:r>
              <w:rPr>
                <w:rFonts w:hint="default" w:ascii="Times New Roman" w:hAnsi="Times New Roman" w:eastAsia="新宋体" w:cs="Times New Roman"/>
                <w:color w:val="auto"/>
                <w:szCs w:val="21"/>
                <w:lang w:val="en-US" w:eastAsia="zh-CN"/>
              </w:rPr>
              <w:t>7号</w:t>
            </w:r>
          </w:p>
        </w:tc>
      </w:tr>
      <w:tr w14:paraId="14742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63C4A5C6">
            <w:pPr>
              <w:autoSpaceDE w:val="0"/>
              <w:autoSpaceDN w:val="0"/>
              <w:adjustRightInd w:val="0"/>
              <w:snapToGrid w:val="0"/>
              <w:jc w:val="center"/>
              <w:rPr>
                <w:color w:val="auto"/>
                <w:kern w:val="0"/>
                <w:szCs w:val="21"/>
              </w:rPr>
            </w:pPr>
            <w:r>
              <w:rPr>
                <w:color w:val="auto"/>
                <w:kern w:val="0"/>
                <w:szCs w:val="21"/>
              </w:rPr>
              <w:t>规划及规划环境</w:t>
            </w:r>
          </w:p>
          <w:p w14:paraId="032E803F">
            <w:pPr>
              <w:autoSpaceDE w:val="0"/>
              <w:autoSpaceDN w:val="0"/>
              <w:adjustRightInd w:val="0"/>
              <w:snapToGrid w:val="0"/>
              <w:jc w:val="center"/>
              <w:rPr>
                <w:color w:val="auto"/>
                <w:kern w:val="0"/>
                <w:szCs w:val="21"/>
              </w:rPr>
            </w:pPr>
            <w:r>
              <w:rPr>
                <w:color w:val="auto"/>
                <w:kern w:val="0"/>
                <w:szCs w:val="21"/>
              </w:rPr>
              <w:t>影响评价符合性分析</w:t>
            </w:r>
          </w:p>
        </w:tc>
        <w:tc>
          <w:tcPr>
            <w:tcW w:w="6488" w:type="dxa"/>
            <w:gridSpan w:val="3"/>
            <w:noWrap w:val="0"/>
            <w:vAlign w:val="center"/>
          </w:tcPr>
          <w:p w14:paraId="7E416B6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spacing w:val="0"/>
                <w:kern w:val="11"/>
                <w:sz w:val="21"/>
                <w:szCs w:val="21"/>
                <w:highlight w:val="none"/>
                <w:lang w:val="en-US" w:eastAsia="zh-CN"/>
              </w:rPr>
            </w:pPr>
            <w:r>
              <w:rPr>
                <w:rFonts w:hint="default" w:ascii="Times New Roman" w:hAnsi="Times New Roman" w:cs="Times New Roman"/>
                <w:b/>
                <w:bCs/>
                <w:color w:val="auto"/>
                <w:spacing w:val="0"/>
                <w:kern w:val="11"/>
                <w:sz w:val="21"/>
                <w:szCs w:val="21"/>
                <w:highlight w:val="none"/>
                <w:lang w:eastAsia="zh-CN"/>
              </w:rPr>
              <w:t>1、</w:t>
            </w:r>
            <w:r>
              <w:rPr>
                <w:rFonts w:hint="default" w:ascii="Times New Roman" w:hAnsi="Times New Roman" w:cs="Times New Roman"/>
                <w:b/>
                <w:bCs/>
                <w:color w:val="auto"/>
                <w:spacing w:val="0"/>
                <w:kern w:val="11"/>
                <w:sz w:val="21"/>
                <w:szCs w:val="21"/>
                <w:highlight w:val="none"/>
                <w:lang w:val="en-US" w:eastAsia="zh-CN"/>
              </w:rPr>
              <w:t>与《海门市城市总体规划（2013-2030）》和《海门经济技术开发区总体规划（2015-2030）》的相符性分析</w:t>
            </w:r>
          </w:p>
          <w:p w14:paraId="759C1D9E">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pacing w:val="0"/>
                <w:kern w:val="11"/>
                <w:sz w:val="21"/>
                <w:szCs w:val="21"/>
                <w:highlight w:val="none"/>
                <w:lang w:val="en-US" w:eastAsia="zh-CN"/>
              </w:rPr>
            </w:pPr>
            <w:r>
              <w:rPr>
                <w:rFonts w:hint="eastAsia" w:cs="Times New Roman"/>
                <w:color w:val="auto"/>
                <w:spacing w:val="0"/>
                <w:kern w:val="11"/>
                <w:sz w:val="21"/>
                <w:szCs w:val="21"/>
                <w:highlight w:val="none"/>
                <w:lang w:val="en-US" w:eastAsia="zh-CN"/>
              </w:rPr>
              <w:t>（1）</w:t>
            </w:r>
            <w:r>
              <w:rPr>
                <w:rFonts w:hint="default" w:ascii="Times New Roman" w:hAnsi="Times New Roman" w:cs="Times New Roman"/>
                <w:color w:val="auto"/>
                <w:spacing w:val="0"/>
                <w:kern w:val="11"/>
                <w:sz w:val="21"/>
                <w:szCs w:val="21"/>
                <w:highlight w:val="none"/>
                <w:lang w:val="en-US" w:eastAsia="zh-CN"/>
              </w:rPr>
              <w:t>《海门市城市总体规划（2013-2030）》用地规划相符性</w:t>
            </w:r>
          </w:p>
          <w:p w14:paraId="6FF1C178">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color w:val="auto"/>
                <w:szCs w:val="21"/>
                <w:lang w:val="en-US" w:eastAsia="zh-CN"/>
              </w:rPr>
            </w:pPr>
            <w:r>
              <w:rPr>
                <w:rFonts w:hint="eastAsia" w:cs="Times New Roman"/>
                <w:color w:val="auto"/>
                <w:spacing w:val="0"/>
                <w:kern w:val="11"/>
                <w:sz w:val="21"/>
                <w:szCs w:val="21"/>
                <w:highlight w:val="none"/>
                <w:lang w:val="en-US" w:eastAsia="zh-CN"/>
              </w:rPr>
              <w:t>本项目位于</w:t>
            </w:r>
            <w:r>
              <w:rPr>
                <w:rFonts w:hint="eastAsia"/>
                <w:color w:val="auto"/>
                <w:szCs w:val="21"/>
                <w:lang w:val="en-US" w:eastAsia="zh-CN"/>
              </w:rPr>
              <w:t>江苏省南通市海门经济技术开发区福州路123号，根据建设单位提供的不动产权证书，本项目所在地为工业用地（江苏一重锻造有限公司单独所有，不动产权编号为：苏（2017）海门市不动产权第0029203号），根据《海门市城市总体规划（2013-2030）》，项目所在地属于工业用地，因此本项目的建设符合城市规划要求。</w:t>
            </w:r>
          </w:p>
          <w:p w14:paraId="6EACF0BB">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default" w:ascii="Times New Roman" w:hAnsi="Times New Roman" w:cs="Times New Roman"/>
                <w:color w:val="auto"/>
                <w:spacing w:val="0"/>
                <w:kern w:val="11"/>
                <w:sz w:val="21"/>
                <w:szCs w:val="21"/>
                <w:highlight w:val="none"/>
                <w:lang w:val="en-US" w:eastAsia="zh-CN"/>
              </w:rPr>
            </w:pPr>
            <w:r>
              <w:rPr>
                <w:rFonts w:hint="default" w:ascii="Times New Roman" w:hAnsi="Times New Roman" w:cs="Times New Roman"/>
                <w:color w:val="auto"/>
                <w:spacing w:val="0"/>
                <w:kern w:val="11"/>
                <w:sz w:val="21"/>
                <w:szCs w:val="21"/>
                <w:highlight w:val="none"/>
                <w:lang w:val="en-US" w:eastAsia="zh-CN"/>
              </w:rPr>
              <w:t>（2）《海门经济技术开发区开发建设规划（2022-2035年）环境影响报告书》产业定位相符性</w:t>
            </w:r>
          </w:p>
          <w:p w14:paraId="7DC3B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根据《海门经济技术开发区开发建设规划（2022-2035 年）环境影响报告书》，规划如下：</w:t>
            </w:r>
          </w:p>
          <w:p w14:paraId="47B3E4B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规划范围：规划范围包括滨江片区和老城片区，其中，滨江片区西至保税东路-</w:t>
            </w:r>
            <w:r>
              <w:rPr>
                <w:rFonts w:hint="eastAsia" w:ascii="Times New Roman" w:hAnsi="Times New Roman" w:cs="Times New Roman"/>
                <w:color w:val="auto"/>
                <w:kern w:val="0"/>
                <w:sz w:val="21"/>
                <w:szCs w:val="21"/>
                <w:highlight w:val="none"/>
                <w:lang w:val="en-US" w:eastAsia="zh-CN" w:bidi="ar"/>
              </w:rPr>
              <w:t>如通苏湖城际东侧，东至岷江路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民生路，南至沿江江堤，北至大连路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 xml:space="preserve">上海路，面积 </w:t>
            </w:r>
            <w:r>
              <w:rPr>
                <w:rFonts w:hint="default" w:ascii="Times New Roman" w:hAnsi="Times New Roman" w:cs="Times New Roman"/>
                <w:color w:val="auto"/>
                <w:kern w:val="0"/>
                <w:sz w:val="21"/>
                <w:szCs w:val="21"/>
                <w:highlight w:val="none"/>
                <w:lang w:val="en-US" w:eastAsia="zh-CN" w:bidi="ar"/>
              </w:rPr>
              <w:t>48.25</w:t>
            </w:r>
            <w:r>
              <w:rPr>
                <w:rFonts w:hint="eastAsia" w:ascii="Times New Roman" w:hAnsi="Times New Roman" w:cs="Times New Roman"/>
                <w:color w:val="auto"/>
                <w:kern w:val="0"/>
                <w:sz w:val="21"/>
                <w:szCs w:val="21"/>
                <w:highlight w:val="none"/>
                <w:lang w:val="en-US" w:eastAsia="zh-CN" w:bidi="ar"/>
              </w:rPr>
              <w:t>平方公里；老城片区西至日新路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越秀路，东至嫩江路，南至南海路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东海路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北京路，北至河海路</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 xml:space="preserve">红海路，面积 </w:t>
            </w:r>
            <w:r>
              <w:rPr>
                <w:rFonts w:hint="default" w:ascii="Times New Roman" w:hAnsi="Times New Roman" w:cs="Times New Roman"/>
                <w:color w:val="auto"/>
                <w:kern w:val="0"/>
                <w:sz w:val="21"/>
                <w:szCs w:val="21"/>
                <w:highlight w:val="none"/>
                <w:lang w:val="en-US" w:eastAsia="zh-CN" w:bidi="ar"/>
              </w:rPr>
              <w:t xml:space="preserve">13.63 </w:t>
            </w:r>
            <w:r>
              <w:rPr>
                <w:rFonts w:hint="eastAsia" w:ascii="Times New Roman" w:hAnsi="Times New Roman" w:cs="Times New Roman"/>
                <w:color w:val="auto"/>
                <w:kern w:val="0"/>
                <w:sz w:val="21"/>
                <w:szCs w:val="21"/>
                <w:highlight w:val="none"/>
                <w:lang w:val="en-US" w:eastAsia="zh-CN" w:bidi="ar"/>
              </w:rPr>
              <w:t xml:space="preserve">平方公里；滨江片区 与老城片区相隔 </w:t>
            </w:r>
            <w:r>
              <w:rPr>
                <w:rFonts w:hint="default" w:ascii="Times New Roman" w:hAnsi="Times New Roman" w:cs="Times New Roman"/>
                <w:color w:val="auto"/>
                <w:kern w:val="0"/>
                <w:sz w:val="21"/>
                <w:szCs w:val="21"/>
                <w:highlight w:val="none"/>
                <w:lang w:val="en-US" w:eastAsia="zh-CN" w:bidi="ar"/>
              </w:rPr>
              <w:t xml:space="preserve">2.2 </w:t>
            </w:r>
            <w:r>
              <w:rPr>
                <w:rFonts w:hint="eastAsia" w:ascii="Times New Roman" w:hAnsi="Times New Roman" w:cs="Times New Roman"/>
                <w:color w:val="auto"/>
                <w:kern w:val="0"/>
                <w:sz w:val="21"/>
                <w:szCs w:val="21"/>
                <w:highlight w:val="none"/>
                <w:lang w:val="en-US" w:eastAsia="zh-CN" w:bidi="ar"/>
              </w:rPr>
              <w:t xml:space="preserve">公里，规划总面积 </w:t>
            </w:r>
            <w:r>
              <w:rPr>
                <w:rFonts w:hint="default" w:ascii="Times New Roman" w:hAnsi="Times New Roman" w:cs="Times New Roman"/>
                <w:color w:val="auto"/>
                <w:kern w:val="0"/>
                <w:sz w:val="21"/>
                <w:szCs w:val="21"/>
                <w:highlight w:val="none"/>
                <w:lang w:val="en-US" w:eastAsia="zh-CN" w:bidi="ar"/>
              </w:rPr>
              <w:t xml:space="preserve">61.88 </w:t>
            </w:r>
            <w:r>
              <w:rPr>
                <w:rFonts w:hint="eastAsia" w:ascii="Times New Roman" w:hAnsi="Times New Roman" w:cs="Times New Roman"/>
                <w:color w:val="auto"/>
                <w:kern w:val="0"/>
                <w:sz w:val="21"/>
                <w:szCs w:val="21"/>
                <w:highlight w:val="none"/>
                <w:lang w:val="en-US" w:eastAsia="zh-CN" w:bidi="ar"/>
              </w:rPr>
              <w:t>平方公里</w:t>
            </w:r>
            <w:r>
              <w:rPr>
                <w:rFonts w:hint="default" w:ascii="Times New Roman" w:hAnsi="Times New Roman" w:cs="Times New Roman"/>
                <w:color w:val="auto"/>
                <w:kern w:val="0"/>
                <w:sz w:val="21"/>
                <w:szCs w:val="21"/>
                <w:highlight w:val="none"/>
                <w:lang w:val="en-US" w:eastAsia="zh-CN" w:bidi="ar"/>
              </w:rPr>
              <w:t>。</w:t>
            </w:r>
          </w:p>
          <w:p w14:paraId="2A80597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规划期限：近期：202</w:t>
            </w:r>
            <w:r>
              <w:rPr>
                <w:rFonts w:hint="eastAsia" w:cs="Times New Roman"/>
                <w:color w:val="auto"/>
                <w:kern w:val="0"/>
                <w:sz w:val="21"/>
                <w:szCs w:val="21"/>
                <w:highlight w:val="none"/>
                <w:lang w:val="en-US" w:eastAsia="zh-CN" w:bidi="ar"/>
              </w:rPr>
              <w:t>2</w:t>
            </w:r>
            <w:r>
              <w:rPr>
                <w:rFonts w:hint="default" w:ascii="Times New Roman" w:hAnsi="Times New Roman" w:cs="Times New Roman"/>
                <w:color w:val="auto"/>
                <w:kern w:val="0"/>
                <w:sz w:val="21"/>
                <w:szCs w:val="21"/>
                <w:highlight w:val="none"/>
                <w:lang w:val="en-US" w:eastAsia="zh-CN" w:bidi="ar"/>
              </w:rPr>
              <w:t>－2025 年；远期：2026－2035 年。</w:t>
            </w:r>
          </w:p>
          <w:p w14:paraId="0CE324B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产业定位：聚焦新旧动能转换，提升产业竞争力，坚持主导产业提质增效与战略性新兴产业培育并举，海门经济技术开发区重点打造以海工装备、新一代信息技术、智能制造产业为主导的现代化产业体系，为高质量发展夯实产业基础。</w:t>
            </w:r>
          </w:p>
          <w:p w14:paraId="69748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①主导产业：海工装备、新一代信息技术、智能制造；</w:t>
            </w:r>
          </w:p>
          <w:p w14:paraId="01843A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②生产性服务业：电子商务、金融服务、现代物流、信息网络、融资租赁、工业设计、软件与服务外包等；</w:t>
            </w:r>
          </w:p>
          <w:p w14:paraId="3A56D1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③高端生活性服务业：商贸服务、文化、体育、旅游、休闲健康、养老医疗等。</w:t>
            </w:r>
          </w:p>
          <w:p w14:paraId="0DBD5D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cs="Times New Roman"/>
                <w:b w:val="0"/>
                <w:bCs w:val="0"/>
                <w:color w:val="auto"/>
                <w:spacing w:val="0"/>
                <w:kern w:val="11"/>
                <w:sz w:val="21"/>
                <w:szCs w:val="21"/>
                <w:highlight w:val="none"/>
                <w:lang w:val="en-US" w:eastAsia="zh-CN"/>
              </w:rPr>
            </w:pPr>
            <w:r>
              <w:rPr>
                <w:rFonts w:hint="eastAsia" w:cs="Times New Roman"/>
                <w:b w:val="0"/>
                <w:bCs w:val="0"/>
                <w:color w:val="auto"/>
                <w:spacing w:val="0"/>
                <w:kern w:val="11"/>
                <w:sz w:val="21"/>
                <w:szCs w:val="21"/>
                <w:highlight w:val="none"/>
                <w:lang w:val="en-US" w:eastAsia="zh-CN"/>
              </w:rPr>
              <w:t>本项目产品主要为锻件，主要应用于航空领域，行业分类属于</w:t>
            </w:r>
            <w:r>
              <w:rPr>
                <w:rFonts w:hint="default" w:ascii="Times New Roman" w:hAnsi="Times New Roman" w:eastAsia="宋体" w:cs="Times New Roman"/>
                <w:color w:val="auto"/>
                <w:vertAlign w:val="baseline"/>
                <w:lang w:val="en-US" w:eastAsia="zh-CN"/>
              </w:rPr>
              <w:t>C3393锻件及粉末冶金制品制造</w:t>
            </w:r>
            <w:r>
              <w:rPr>
                <w:rFonts w:hint="eastAsia" w:cs="Times New Roman"/>
                <w:b w:val="0"/>
                <w:bCs w:val="0"/>
                <w:color w:val="auto"/>
                <w:spacing w:val="0"/>
                <w:kern w:val="11"/>
                <w:sz w:val="21"/>
                <w:szCs w:val="21"/>
                <w:highlight w:val="none"/>
                <w:lang w:val="en-US" w:eastAsia="zh-CN"/>
              </w:rPr>
              <w:t>。对照产业准入清单可知，本项目不属于优先引入、禁止引入、限制引入，属于一般发展行业，为允许类，符合总体发展规划。</w:t>
            </w:r>
          </w:p>
          <w:p w14:paraId="7E5225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b/>
                <w:bCs/>
                <w:color w:val="auto"/>
                <w:szCs w:val="21"/>
                <w:lang w:val="en-US" w:eastAsia="zh-CN"/>
              </w:rPr>
            </w:pPr>
            <w:r>
              <w:rPr>
                <w:rFonts w:hint="eastAsia" w:ascii="Times New Roman" w:hAnsi="Times New Roman" w:eastAsia="宋体" w:cs="Times New Roman"/>
                <w:b/>
                <w:bCs/>
                <w:color w:val="auto"/>
                <w:kern w:val="2"/>
                <w:sz w:val="21"/>
                <w:szCs w:val="21"/>
                <w:lang w:val="en-US" w:eastAsia="zh-CN" w:bidi="ar-SA"/>
              </w:rPr>
              <w:t>2、</w:t>
            </w:r>
            <w:r>
              <w:rPr>
                <w:rFonts w:hint="eastAsia"/>
                <w:b/>
                <w:bCs/>
                <w:color w:val="auto"/>
                <w:szCs w:val="21"/>
                <w:lang w:val="en-US" w:eastAsia="zh-CN"/>
              </w:rPr>
              <w:t>与《省生态环境厅关于〈海门经济技术开发区开发建设规划（2022-2035 年）环境影响报告书〉的审查意见》（苏环审</w:t>
            </w:r>
            <w:r>
              <w:rPr>
                <w:rFonts w:hint="eastAsia"/>
                <w:b/>
                <w:bCs/>
                <w:color w:val="auto"/>
                <w:kern w:val="0"/>
                <w:szCs w:val="21"/>
              </w:rPr>
              <w:t>〔20</w:t>
            </w:r>
            <w:r>
              <w:rPr>
                <w:rFonts w:hint="eastAsia"/>
                <w:b/>
                <w:bCs/>
                <w:color w:val="auto"/>
                <w:kern w:val="0"/>
                <w:szCs w:val="21"/>
                <w:lang w:val="en-US" w:eastAsia="zh-CN"/>
              </w:rPr>
              <w:t>2</w:t>
            </w:r>
            <w:r>
              <w:rPr>
                <w:rFonts w:hint="eastAsia"/>
                <w:b/>
                <w:bCs/>
                <w:color w:val="auto"/>
                <w:kern w:val="0"/>
                <w:szCs w:val="21"/>
              </w:rPr>
              <w:t>4〕</w:t>
            </w:r>
            <w:r>
              <w:rPr>
                <w:rFonts w:hint="eastAsia"/>
                <w:b/>
                <w:bCs/>
                <w:color w:val="auto"/>
                <w:szCs w:val="21"/>
                <w:lang w:val="en-US" w:eastAsia="zh-CN"/>
              </w:rPr>
              <w:t xml:space="preserve">7 号）相符性分析 </w:t>
            </w:r>
          </w:p>
          <w:p w14:paraId="6A3841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b/>
                <w:bCs/>
                <w:color w:val="auto"/>
                <w:szCs w:val="21"/>
                <w:lang w:val="en-US" w:eastAsia="zh-CN"/>
              </w:rPr>
            </w:pPr>
            <w:r>
              <w:rPr>
                <w:rFonts w:hint="eastAsia"/>
                <w:b/>
                <w:bCs/>
                <w:color w:val="auto"/>
                <w:szCs w:val="21"/>
                <w:lang w:val="en-US" w:eastAsia="zh-CN"/>
              </w:rPr>
              <w:t>表 1-1 与《省生态环境厅关于〈海门经济技术开发区开发建设规划（2022- 2035 年）环境影响报告书〉的审查意见》（苏环审</w:t>
            </w:r>
            <w:r>
              <w:rPr>
                <w:rFonts w:hint="eastAsia"/>
                <w:b/>
                <w:bCs/>
                <w:color w:val="auto"/>
                <w:kern w:val="0"/>
                <w:szCs w:val="21"/>
              </w:rPr>
              <w:t>〔20</w:t>
            </w:r>
            <w:r>
              <w:rPr>
                <w:rFonts w:hint="eastAsia"/>
                <w:b/>
                <w:bCs/>
                <w:color w:val="auto"/>
                <w:kern w:val="0"/>
                <w:szCs w:val="21"/>
                <w:lang w:val="en-US" w:eastAsia="zh-CN"/>
              </w:rPr>
              <w:t>2</w:t>
            </w:r>
            <w:r>
              <w:rPr>
                <w:rFonts w:hint="eastAsia"/>
                <w:b/>
                <w:bCs/>
                <w:color w:val="auto"/>
                <w:kern w:val="0"/>
                <w:szCs w:val="21"/>
              </w:rPr>
              <w:t>4〕</w:t>
            </w:r>
            <w:r>
              <w:rPr>
                <w:rFonts w:hint="eastAsia"/>
                <w:b/>
                <w:bCs/>
                <w:color w:val="auto"/>
                <w:szCs w:val="21"/>
                <w:lang w:val="en-US" w:eastAsia="zh-CN"/>
              </w:rPr>
              <w:t>7 号）相符性</w:t>
            </w:r>
          </w:p>
          <w:tbl>
            <w:tblPr>
              <w:tblStyle w:val="4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3276"/>
              <w:gridCol w:w="1713"/>
              <w:gridCol w:w="986"/>
            </w:tblGrid>
            <w:tr w14:paraId="2209DD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62B7EF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b/>
                      <w:bCs/>
                      <w:color w:val="auto"/>
                      <w:szCs w:val="21"/>
                      <w:vertAlign w:val="baseline"/>
                      <w:lang w:val="en-US" w:eastAsia="zh-CN"/>
                    </w:rPr>
                  </w:pPr>
                  <w:r>
                    <w:rPr>
                      <w:rFonts w:hint="eastAsia"/>
                      <w:b/>
                      <w:bCs/>
                      <w:color w:val="auto"/>
                      <w:szCs w:val="21"/>
                      <w:vertAlign w:val="baseline"/>
                      <w:lang w:val="en-US" w:eastAsia="zh-CN"/>
                    </w:rPr>
                    <w:t>序号</w:t>
                  </w:r>
                </w:p>
              </w:tc>
              <w:tc>
                <w:tcPr>
                  <w:tcW w:w="3469" w:type="dxa"/>
                  <w:tcBorders>
                    <w:tl2br w:val="nil"/>
                    <w:tr2bl w:val="nil"/>
                  </w:tcBorders>
                  <w:vAlign w:val="center"/>
                </w:tcPr>
                <w:p w14:paraId="2345CC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b/>
                      <w:bCs/>
                      <w:color w:val="auto"/>
                      <w:szCs w:val="21"/>
                      <w:vertAlign w:val="baseline"/>
                      <w:lang w:val="en-US" w:eastAsia="zh-CN"/>
                    </w:rPr>
                  </w:pPr>
                  <w:r>
                    <w:rPr>
                      <w:rFonts w:hint="eastAsia"/>
                      <w:b/>
                      <w:bCs/>
                      <w:color w:val="auto"/>
                      <w:szCs w:val="21"/>
                      <w:vertAlign w:val="baseline"/>
                      <w:lang w:val="en-US" w:eastAsia="zh-CN"/>
                    </w:rPr>
                    <w:t>规划环评批复具体内容</w:t>
                  </w:r>
                </w:p>
              </w:tc>
              <w:tc>
                <w:tcPr>
                  <w:tcW w:w="1800" w:type="dxa"/>
                  <w:tcBorders>
                    <w:tl2br w:val="nil"/>
                    <w:tr2bl w:val="nil"/>
                  </w:tcBorders>
                  <w:vAlign w:val="center"/>
                </w:tcPr>
                <w:p w14:paraId="5B300E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b/>
                      <w:bCs/>
                      <w:color w:val="auto"/>
                      <w:szCs w:val="21"/>
                      <w:vertAlign w:val="baseline"/>
                      <w:lang w:val="en-US" w:eastAsia="zh-CN"/>
                    </w:rPr>
                  </w:pPr>
                  <w:r>
                    <w:rPr>
                      <w:rFonts w:hint="eastAsia"/>
                      <w:b/>
                      <w:bCs/>
                      <w:color w:val="auto"/>
                      <w:szCs w:val="21"/>
                      <w:vertAlign w:val="baseline"/>
                      <w:lang w:val="en-US" w:eastAsia="zh-CN"/>
                    </w:rPr>
                    <w:t>本项目情况</w:t>
                  </w:r>
                </w:p>
              </w:tc>
              <w:tc>
                <w:tcPr>
                  <w:tcW w:w="1038" w:type="dxa"/>
                  <w:tcBorders>
                    <w:tl2br w:val="nil"/>
                    <w:tr2bl w:val="nil"/>
                  </w:tcBorders>
                  <w:vAlign w:val="center"/>
                </w:tcPr>
                <w:p w14:paraId="5C637D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b/>
                      <w:bCs/>
                      <w:color w:val="auto"/>
                      <w:szCs w:val="21"/>
                      <w:vertAlign w:val="baseline"/>
                      <w:lang w:val="en-US" w:eastAsia="zh-CN"/>
                    </w:rPr>
                  </w:pPr>
                  <w:r>
                    <w:rPr>
                      <w:rFonts w:hint="eastAsia"/>
                      <w:b/>
                      <w:bCs/>
                      <w:color w:val="auto"/>
                      <w:szCs w:val="21"/>
                      <w:vertAlign w:val="baseline"/>
                      <w:lang w:val="en-US" w:eastAsia="zh-CN"/>
                    </w:rPr>
                    <w:t>相符性</w:t>
                  </w:r>
                </w:p>
              </w:tc>
            </w:tr>
            <w:tr w14:paraId="0FE563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597ED3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1</w:t>
                  </w:r>
                </w:p>
              </w:tc>
              <w:tc>
                <w:tcPr>
                  <w:tcW w:w="3469" w:type="dxa"/>
                  <w:tcBorders>
                    <w:tl2br w:val="nil"/>
                    <w:tr2bl w:val="nil"/>
                  </w:tcBorders>
                  <w:vAlign w:val="center"/>
                </w:tcPr>
                <w:p w14:paraId="761352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一）《规划》应深入贯彻落实习近平生态文明思想，完整、准确、全面贯彻新发展理念，坚持生态优先、节约集约、绿色低碳发展，以生态保护和环境质量持续改善为目标，做好与国土空间总体规划和生态环境分区管控体系的协调衔接，进一步优化《规划》布局、产业结构和发展规模，降低区域环境风险，协同推进生态环境高水平保护与经济高质量发展。</w:t>
                  </w:r>
                </w:p>
              </w:tc>
              <w:tc>
                <w:tcPr>
                  <w:tcW w:w="1800" w:type="dxa"/>
                  <w:tcBorders>
                    <w:tl2br w:val="nil"/>
                    <w:tr2bl w:val="nil"/>
                  </w:tcBorders>
                  <w:vAlign w:val="center"/>
                </w:tcPr>
                <w:p w14:paraId="15128A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olor w:val="auto"/>
                      <w:szCs w:val="21"/>
                      <w:vertAlign w:val="baseline"/>
                      <w:lang w:val="en-US" w:eastAsia="zh-CN"/>
                    </w:rPr>
                  </w:pPr>
                  <w:r>
                    <w:rPr>
                      <w:rFonts w:hint="eastAsia"/>
                      <w:color w:val="auto"/>
                      <w:szCs w:val="21"/>
                      <w:vertAlign w:val="baseline"/>
                      <w:lang w:val="en-US" w:eastAsia="zh-CN"/>
                    </w:rPr>
                    <w:t>本项目位于江苏省南通市海门经济技术开发区福州路123号，根据建设单位提供的不动产权证书，项目所在地为工业用地。</w:t>
                  </w:r>
                </w:p>
              </w:tc>
              <w:tc>
                <w:tcPr>
                  <w:tcW w:w="1038" w:type="dxa"/>
                  <w:tcBorders>
                    <w:tl2br w:val="nil"/>
                    <w:tr2bl w:val="nil"/>
                  </w:tcBorders>
                  <w:vAlign w:val="center"/>
                </w:tcPr>
                <w:p w14:paraId="3171A8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35C02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50E9A8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2</w:t>
                  </w:r>
                </w:p>
              </w:tc>
              <w:tc>
                <w:tcPr>
                  <w:tcW w:w="3469" w:type="dxa"/>
                  <w:tcBorders>
                    <w:tl2br w:val="nil"/>
                    <w:tr2bl w:val="nil"/>
                  </w:tcBorders>
                  <w:vAlign w:val="center"/>
                </w:tcPr>
                <w:p w14:paraId="713079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（二）严格空间管控，优化空间布局。严格落实生态空间管控要求，海门河清水通道维护区、海门区沿江堤防生态公益林和謇公湖重要湿地等 3 处生态空间管控区原则上不得开展有损主导生态功能的开发建设活动，不得随意占用和调整。开发区内绿地及水域在规划期内原则上不得开发利用。加快推进老城片区工居混杂用地综合整治，南通市先锋印刷有限公司、南通东莲纺织品有限公司、乾钟鞋业（海门）有限公司、海门市星苑绣衣有限责任公司、南通铭家纺织品有限公司等 5家企业于 2025 年前退出。强化工业企业退出和产业升级过程中的污染防治、生态修复。严格落实企业卫生防护距离要求，企业卫生防护距离内不得规划布局敏感目标。加强滨江片区浒通河两侧居住用地与工业用地之间100 米绿化防护带建设，排放 VOCs、氨气等废气污染物的企业远离居住用地布置，确保开发区产业布局与生态环境保护、人居环境安全相协调。</w:t>
                  </w:r>
                </w:p>
              </w:tc>
              <w:tc>
                <w:tcPr>
                  <w:tcW w:w="1800" w:type="dxa"/>
                  <w:tcBorders>
                    <w:tl2br w:val="nil"/>
                    <w:tr2bl w:val="nil"/>
                  </w:tcBorders>
                  <w:vAlign w:val="center"/>
                </w:tcPr>
                <w:p w14:paraId="367DFF5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本项目不涉及生态管控空间。建设项目位于江苏省南通市海门经济技术开发区福州路123号，不属于海门区沿江堤防生态公益林内；不属于海门长江饮用水水源保护区范围内；本项目为</w:t>
                  </w:r>
                  <w:r>
                    <w:rPr>
                      <w:rFonts w:hint="default" w:ascii="Times New Roman" w:hAnsi="Times New Roman" w:eastAsia="宋体" w:cs="Times New Roman"/>
                      <w:color w:val="auto"/>
                      <w:vertAlign w:val="baseline"/>
                      <w:lang w:val="en-US" w:eastAsia="zh-CN"/>
                    </w:rPr>
                    <w:t>C3393锻件及粉末冶金制品制造</w:t>
                  </w:r>
                  <w:r>
                    <w:rPr>
                      <w:rFonts w:hint="eastAsia"/>
                      <w:color w:val="auto"/>
                      <w:szCs w:val="21"/>
                      <w:vertAlign w:val="baseline"/>
                      <w:lang w:val="en-US" w:eastAsia="zh-CN"/>
                    </w:rPr>
                    <w:t>，不属于优先发展、限制发展、禁止发展，属于一般发展行业，属于允许类，符合总体发展规划。</w:t>
                  </w:r>
                </w:p>
              </w:tc>
              <w:tc>
                <w:tcPr>
                  <w:tcW w:w="1038" w:type="dxa"/>
                  <w:tcBorders>
                    <w:tl2br w:val="nil"/>
                    <w:tr2bl w:val="nil"/>
                  </w:tcBorders>
                  <w:vAlign w:val="center"/>
                </w:tcPr>
                <w:p w14:paraId="5C38BAE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76BDA1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53FBD2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3</w:t>
                  </w:r>
                </w:p>
              </w:tc>
              <w:tc>
                <w:tcPr>
                  <w:tcW w:w="3469" w:type="dxa"/>
                  <w:tcBorders>
                    <w:tl2br w:val="nil"/>
                    <w:tr2bl w:val="nil"/>
                  </w:tcBorders>
                  <w:vAlign w:val="center"/>
                </w:tcPr>
                <w:p w14:paraId="08AD73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三）严守环境质量底线，实施污染物排放限值限量管理。落实国家和江苏省关于大气、水、土壤、噪声污染防治、区域生态环境分区管控、工业园区（集中区）污染物排放限值限量管理相关要求，建立以环境质量为核心的污染物总量控制管理体系，实施主要污染物排放浓度和总量“双管控”。2025 年，开发区环境空气细颗粒物（PM2.5）年均浓度应达到 25 微克/立方米；大港河、新江海河、立新河稳定达到 II 类水质标准。</w:t>
                  </w:r>
                </w:p>
              </w:tc>
              <w:tc>
                <w:tcPr>
                  <w:tcW w:w="1800" w:type="dxa"/>
                  <w:tcBorders>
                    <w:tl2br w:val="nil"/>
                    <w:tr2bl w:val="nil"/>
                  </w:tcBorders>
                  <w:vAlign w:val="center"/>
                </w:tcPr>
                <w:p w14:paraId="32F60D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本项目采取有效污染防治措施，废水、废气及噪声 均可达标排放，排放总量在海门区内平衡。</w:t>
                  </w:r>
                </w:p>
              </w:tc>
              <w:tc>
                <w:tcPr>
                  <w:tcW w:w="1038" w:type="dxa"/>
                  <w:tcBorders>
                    <w:tl2br w:val="nil"/>
                    <w:tr2bl w:val="nil"/>
                  </w:tcBorders>
                  <w:vAlign w:val="center"/>
                </w:tcPr>
                <w:p w14:paraId="5A81D6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3F795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28DFCD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4</w:t>
                  </w:r>
                </w:p>
              </w:tc>
              <w:tc>
                <w:tcPr>
                  <w:tcW w:w="3469" w:type="dxa"/>
                  <w:tcBorders>
                    <w:tl2br w:val="nil"/>
                    <w:tr2bl w:val="nil"/>
                  </w:tcBorders>
                  <w:vAlign w:val="center"/>
                </w:tcPr>
                <w:p w14:paraId="7D64E8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四）加强源头治理，协同推进减污降碳。严格落实生态环境准入清单（附件2），落实《报告书》提出的生态环境准入要求，严格限制与主导产业不相关且排污负荷大的项目入区，执行最严格的废水、废气排放控制要求。强化企业特征污染物排放控制、高效治理设施建设，落实精细化管控要求。引进项目的生产工艺、设备，以及单位产品水耗、能耗、污染物排放和资源利用效率等应达到同行业国际先进水平。全面开展清洁生产审核，推动重点行业依法实施强制性审核，引导其他行业自觉自愿开展审核，不断提高现有企业清洁生产和污染治理水平。根据国家和地方碳减排、碳达峰行动方案和路径要求，推进开发区绿色低碳转型发展，优化产业结构、能源结构、交通运输等规划内容，实现减污降碳协同增效目标。</w:t>
                  </w:r>
                </w:p>
              </w:tc>
              <w:tc>
                <w:tcPr>
                  <w:tcW w:w="1800" w:type="dxa"/>
                  <w:tcBorders>
                    <w:tl2br w:val="nil"/>
                    <w:tr2bl w:val="nil"/>
                  </w:tcBorders>
                  <w:vAlign w:val="center"/>
                </w:tcPr>
                <w:p w14:paraId="683893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本项目所使用的能源主要为水、电、天然气，物耗及能耗水平均较低。</w:t>
                  </w:r>
                </w:p>
              </w:tc>
              <w:tc>
                <w:tcPr>
                  <w:tcW w:w="1038" w:type="dxa"/>
                  <w:tcBorders>
                    <w:tl2br w:val="nil"/>
                    <w:tr2bl w:val="nil"/>
                  </w:tcBorders>
                  <w:vAlign w:val="center"/>
                </w:tcPr>
                <w:p w14:paraId="6CF9A9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445CEE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3F529E8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5</w:t>
                  </w:r>
                </w:p>
              </w:tc>
              <w:tc>
                <w:tcPr>
                  <w:tcW w:w="3469" w:type="dxa"/>
                  <w:tcBorders>
                    <w:tl2br w:val="nil"/>
                    <w:tr2bl w:val="nil"/>
                  </w:tcBorders>
                  <w:vAlign w:val="center"/>
                </w:tcPr>
                <w:p w14:paraId="514035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五）完善环境基础设施建设，提高基础设施运行效能。完善区域污水管网建设，加快推进东洲污水处理厂、开发区污水处理厂扩建工程，确保工业废水与生活污水分类收集、分质处理；根据新一代信息技术产业项目引进情况推进工业绿岛建设，确保重金属废水“零排放”。推进中水回用设施及配套管网建设，确保开发区中水回用率不低于 30%。定期开展开发区污水管网渗漏排查工作，建立健全地下水污染监督、检查、管理及修复机制。积极推进供热管网建设，依托海门鑫源热电厂实施集中供热。加强开发区固体废物资源化、减量化、无害化处理，一般工业固废、危险废物应依法依规收集、处理处置，做到“就地分类收集、就近转移处置”。推进开发区固体废物储运中心建设，提升园区危废监管水平。</w:t>
                  </w:r>
                </w:p>
              </w:tc>
              <w:tc>
                <w:tcPr>
                  <w:tcW w:w="1800" w:type="dxa"/>
                  <w:tcBorders>
                    <w:tl2br w:val="nil"/>
                    <w:tr2bl w:val="nil"/>
                  </w:tcBorders>
                  <w:vAlign w:val="center"/>
                </w:tcPr>
                <w:p w14:paraId="572DED4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olor w:val="auto"/>
                      <w:szCs w:val="21"/>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本项目</w:t>
                  </w:r>
                  <w:r>
                    <w:rPr>
                      <w:rFonts w:hint="default" w:ascii="Times New Roman" w:hAnsi="Times New Roman" w:cs="Times New Roman"/>
                      <w:color w:val="auto"/>
                      <w:kern w:val="0"/>
                      <w:sz w:val="21"/>
                      <w:szCs w:val="21"/>
                      <w:highlight w:val="none"/>
                      <w:lang w:eastAsia="zh-CN" w:bidi="ar"/>
                    </w:rPr>
                    <w:t>废气经污染治理措施治理后达标排放；</w:t>
                  </w:r>
                  <w:r>
                    <w:rPr>
                      <w:rFonts w:hint="default" w:ascii="Times New Roman" w:hAnsi="Times New Roman" w:cs="Times New Roman"/>
                      <w:color w:val="auto"/>
                      <w:kern w:val="0"/>
                      <w:sz w:val="21"/>
                      <w:szCs w:val="21"/>
                      <w:highlight w:val="none"/>
                      <w:lang w:val="en-US" w:eastAsia="zh-CN" w:bidi="ar"/>
                    </w:rPr>
                    <w:t>污水经处理后接管达标排放</w:t>
                  </w:r>
                  <w:r>
                    <w:rPr>
                      <w:rFonts w:hint="default" w:ascii="Times New Roman" w:hAnsi="Times New Roman" w:cs="Times New Roman"/>
                      <w:color w:val="auto"/>
                      <w:kern w:val="0"/>
                      <w:sz w:val="21"/>
                      <w:szCs w:val="21"/>
                      <w:highlight w:val="none"/>
                      <w:lang w:eastAsia="zh-CN" w:bidi="ar"/>
                    </w:rPr>
                    <w:t>；固废妥善处置零排放</w:t>
                  </w:r>
                  <w:r>
                    <w:rPr>
                      <w:rFonts w:hint="default" w:ascii="Times New Roman" w:hAnsi="Times New Roman" w:eastAsia="宋体" w:cs="Times New Roman"/>
                      <w:color w:val="auto"/>
                      <w:kern w:val="0"/>
                      <w:sz w:val="21"/>
                      <w:szCs w:val="21"/>
                      <w:highlight w:val="none"/>
                      <w:lang w:val="en-US" w:eastAsia="zh-CN" w:bidi="ar"/>
                    </w:rPr>
                    <w:t>。</w:t>
                  </w:r>
                </w:p>
              </w:tc>
              <w:tc>
                <w:tcPr>
                  <w:tcW w:w="1038" w:type="dxa"/>
                  <w:tcBorders>
                    <w:tl2br w:val="nil"/>
                    <w:tr2bl w:val="nil"/>
                  </w:tcBorders>
                  <w:vAlign w:val="center"/>
                </w:tcPr>
                <w:p w14:paraId="1628D9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3B454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2E1A98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6</w:t>
                  </w:r>
                </w:p>
              </w:tc>
              <w:tc>
                <w:tcPr>
                  <w:tcW w:w="3469" w:type="dxa"/>
                  <w:tcBorders>
                    <w:tl2br w:val="nil"/>
                    <w:tr2bl w:val="nil"/>
                  </w:tcBorders>
                  <w:vAlign w:val="center"/>
                </w:tcPr>
                <w:p w14:paraId="333022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六）建立健全环境监测监控体系。开展包括环境空气、地表水、地下水、土壤、底泥等环境要素的长期跟踪监测与管理。结合区域跟踪监测情况，动态调整开发区开发建设规模和时序进度，优化生态环境保护措施，确保区域环境质量不恶化。对于企业关闭、搬迁遗留的污染地块应依法开展土壤污染状况调查、治理与修复工作。严格落实环境质量监测要求，建立开发区土壤和地下水隐患排查制度并纳入监控预警体系。探索开展新污染物环境本底调查监测，依法公开新污染物信息。指导区内企业规范安装在线监测设备并联网，推进区内排污许可重点管理单位自动监测全覆盖；暂不具备安装在线监测设备条件的企业，应做好委托监测工作。积极推进氟化物污染物排放及水环境质量的监测监控，区内重点涉氟企业雨水、污水排放口应安装氟化物自动监控系统并联网。</w:t>
                  </w:r>
                </w:p>
              </w:tc>
              <w:tc>
                <w:tcPr>
                  <w:tcW w:w="1800" w:type="dxa"/>
                  <w:tcBorders>
                    <w:tl2br w:val="nil"/>
                    <w:tr2bl w:val="nil"/>
                  </w:tcBorders>
                  <w:vAlign w:val="center"/>
                </w:tcPr>
                <w:p w14:paraId="630040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本项目建成后要求企业定期开展自行监测。</w:t>
                  </w:r>
                </w:p>
              </w:tc>
              <w:tc>
                <w:tcPr>
                  <w:tcW w:w="1038" w:type="dxa"/>
                  <w:tcBorders>
                    <w:tl2br w:val="nil"/>
                    <w:tr2bl w:val="nil"/>
                  </w:tcBorders>
                  <w:vAlign w:val="center"/>
                </w:tcPr>
                <w:p w14:paraId="5A3845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r w14:paraId="108B64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7" w:type="dxa"/>
                  <w:tcBorders>
                    <w:tl2br w:val="nil"/>
                    <w:tr2bl w:val="nil"/>
                  </w:tcBorders>
                  <w:vAlign w:val="center"/>
                </w:tcPr>
                <w:p w14:paraId="367BF6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7</w:t>
                  </w:r>
                </w:p>
              </w:tc>
              <w:tc>
                <w:tcPr>
                  <w:tcW w:w="3469" w:type="dxa"/>
                  <w:tcBorders>
                    <w:tl2br w:val="nil"/>
                    <w:tr2bl w:val="nil"/>
                  </w:tcBorders>
                  <w:vAlign w:val="center"/>
                </w:tcPr>
                <w:p w14:paraId="360F6F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color w:val="auto"/>
                      <w:szCs w:val="21"/>
                      <w:vertAlign w:val="baseline"/>
                      <w:lang w:val="en-US" w:eastAsia="zh-CN"/>
                    </w:rPr>
                  </w:pPr>
                  <w:r>
                    <w:rPr>
                      <w:rFonts w:hint="eastAsia"/>
                      <w:color w:val="auto"/>
                      <w:szCs w:val="21"/>
                      <w:vertAlign w:val="baseline"/>
                      <w:lang w:val="en-US" w:eastAsia="zh-CN"/>
                    </w:rPr>
                    <w:t>（七）健全环境风险防控体系，提升环境应急能力。强化入河排污口监督管理，有效管控入河污染物排放，加强通江河流环境风险管理，确保海门长江饮用水源保护区用水安全。进一步完善开发区特别是以涉重片区为重点的突发水污染事件风险防控体系建设，确保“小事故不出厂区、大事故不出园区”。加强环境应急基础设施建设，配备充足的应急装备物资，提高环境应急救援能力。建立健全环境风险评估和应急预案制度，定期开展环境应急演练，完善环境应急响应联动机制，提升应急实战水平。建立突发环境事件隐患排查长效机制，定期排查突发环境事件隐患，建立隐患清单并督促整改到位，保障区域环境安全。重点关注并督促指导涉重金属企业构筑“风险单元－管网、应急池－厂界”环境风险防控体系，严防涉重金属突发水污染事件。</w:t>
                  </w:r>
                </w:p>
              </w:tc>
              <w:tc>
                <w:tcPr>
                  <w:tcW w:w="1800" w:type="dxa"/>
                  <w:tcBorders>
                    <w:tl2br w:val="nil"/>
                    <w:tr2bl w:val="nil"/>
                  </w:tcBorders>
                  <w:vAlign w:val="center"/>
                </w:tcPr>
                <w:p w14:paraId="7D8B7E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olor w:val="auto"/>
                      <w:szCs w:val="21"/>
                      <w:vertAlign w:val="baseline"/>
                      <w:lang w:val="en-US" w:eastAsia="zh-CN"/>
                    </w:rPr>
                  </w:pPr>
                  <w:r>
                    <w:rPr>
                      <w:rFonts w:hint="eastAsia"/>
                      <w:color w:val="auto"/>
                      <w:szCs w:val="21"/>
                      <w:vertAlign w:val="baseline"/>
                      <w:lang w:val="en-US" w:eastAsia="zh-CN"/>
                    </w:rPr>
                    <w:t>本项目建成后将制定环境风险应急预案，同时企业内储备有足够的环境应急物资，实现环境风险联防联控，故能满足环境风险防控的相关要求。</w:t>
                  </w:r>
                </w:p>
              </w:tc>
              <w:tc>
                <w:tcPr>
                  <w:tcW w:w="1038" w:type="dxa"/>
                  <w:tcBorders>
                    <w:tl2br w:val="nil"/>
                    <w:tr2bl w:val="nil"/>
                  </w:tcBorders>
                  <w:vAlign w:val="center"/>
                </w:tcPr>
                <w:p w14:paraId="3D26C2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olor w:val="auto"/>
                      <w:szCs w:val="21"/>
                      <w:vertAlign w:val="baseline"/>
                      <w:lang w:val="en-US" w:eastAsia="zh-CN"/>
                    </w:rPr>
                  </w:pPr>
                  <w:r>
                    <w:rPr>
                      <w:rFonts w:hint="eastAsia"/>
                      <w:color w:val="auto"/>
                      <w:szCs w:val="21"/>
                      <w:vertAlign w:val="baseline"/>
                      <w:lang w:val="en-US" w:eastAsia="zh-CN"/>
                    </w:rPr>
                    <w:t>符合</w:t>
                  </w:r>
                </w:p>
              </w:tc>
            </w:tr>
          </w:tbl>
          <w:p w14:paraId="0C542A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Cs w:val="21"/>
                <w:lang w:val="en-US" w:eastAsia="zh-CN"/>
              </w:rPr>
            </w:pPr>
            <w:r>
              <w:rPr>
                <w:rFonts w:hint="eastAsia"/>
                <w:color w:val="auto"/>
                <w:szCs w:val="21"/>
                <w:lang w:val="en-US" w:eastAsia="zh-CN"/>
              </w:rPr>
              <w:t>由上表可知，本项目建设符合《省生态环境厅关于〈海门经济技术开发区开发建设规划（2022-2035 年）环境影响报告书〉的审查意见》（苏环审</w:t>
            </w:r>
            <w:r>
              <w:rPr>
                <w:rFonts w:hint="eastAsia"/>
                <w:b w:val="0"/>
                <w:bCs w:val="0"/>
                <w:color w:val="auto"/>
                <w:kern w:val="0"/>
                <w:szCs w:val="21"/>
              </w:rPr>
              <w:t>〔20</w:t>
            </w:r>
            <w:r>
              <w:rPr>
                <w:rFonts w:hint="eastAsia"/>
                <w:b w:val="0"/>
                <w:bCs w:val="0"/>
                <w:color w:val="auto"/>
                <w:kern w:val="0"/>
                <w:szCs w:val="21"/>
                <w:lang w:val="en-US" w:eastAsia="zh-CN"/>
              </w:rPr>
              <w:t>2</w:t>
            </w:r>
            <w:r>
              <w:rPr>
                <w:rFonts w:hint="eastAsia"/>
                <w:b w:val="0"/>
                <w:bCs w:val="0"/>
                <w:color w:val="auto"/>
                <w:kern w:val="0"/>
                <w:szCs w:val="21"/>
              </w:rPr>
              <w:t>4〕</w:t>
            </w:r>
            <w:r>
              <w:rPr>
                <w:rFonts w:hint="eastAsia"/>
                <w:color w:val="auto"/>
                <w:szCs w:val="21"/>
                <w:lang w:val="en-US" w:eastAsia="zh-CN"/>
              </w:rPr>
              <w:t>7 号）的相关要求。</w:t>
            </w:r>
          </w:p>
          <w:p w14:paraId="4E5D3F7B">
            <w:pPr>
              <w:numPr>
                <w:ilvl w:val="0"/>
                <w:numId w:val="0"/>
              </w:numPr>
              <w:autoSpaceDE w:val="0"/>
              <w:autoSpaceDN w:val="0"/>
              <w:adjustRightInd w:val="0"/>
              <w:snapToGrid w:val="0"/>
              <w:jc w:val="both"/>
              <w:rPr>
                <w:rFonts w:hint="default"/>
                <w:color w:val="auto"/>
                <w:lang w:val="en-US" w:eastAsia="zh-CN"/>
              </w:rPr>
            </w:pPr>
          </w:p>
        </w:tc>
      </w:tr>
      <w:tr w14:paraId="35825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6" w:hRule="atLeast"/>
          <w:jc w:val="center"/>
        </w:trPr>
        <w:tc>
          <w:tcPr>
            <w:tcW w:w="1188" w:type="dxa"/>
            <w:noWrap w:val="0"/>
            <w:vAlign w:val="center"/>
          </w:tcPr>
          <w:p w14:paraId="48C5E7EC">
            <w:pPr>
              <w:autoSpaceDE w:val="0"/>
              <w:autoSpaceDN w:val="0"/>
              <w:adjustRightInd w:val="0"/>
              <w:snapToGrid w:val="0"/>
              <w:jc w:val="center"/>
              <w:rPr>
                <w:color w:val="auto"/>
                <w:kern w:val="0"/>
                <w:szCs w:val="21"/>
              </w:rPr>
            </w:pPr>
            <w:r>
              <w:rPr>
                <w:color w:val="auto"/>
                <w:kern w:val="0"/>
                <w:szCs w:val="21"/>
              </w:rPr>
              <w:t>其他符合性分析</w:t>
            </w:r>
          </w:p>
        </w:tc>
        <w:tc>
          <w:tcPr>
            <w:tcW w:w="7682" w:type="dxa"/>
            <w:gridSpan w:val="4"/>
            <w:noWrap w:val="0"/>
            <w:vAlign w:val="center"/>
          </w:tcPr>
          <w:p w14:paraId="7D71B5B2">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1、产业政策相</w:t>
            </w:r>
            <w:r>
              <w:rPr>
                <w:rFonts w:hint="default" w:ascii="Times New Roman" w:hAnsi="Times New Roman" w:eastAsia="宋体" w:cs="Times New Roman"/>
                <w:b/>
                <w:color w:val="auto"/>
                <w:kern w:val="0"/>
                <w:szCs w:val="21"/>
                <w:lang w:val="en-US" w:eastAsia="zh-CN"/>
              </w:rPr>
              <w:t>符</w:t>
            </w:r>
            <w:r>
              <w:rPr>
                <w:rFonts w:hint="default" w:ascii="Times New Roman" w:hAnsi="Times New Roman" w:eastAsia="宋体" w:cs="Times New Roman"/>
                <w:b/>
                <w:color w:val="auto"/>
                <w:kern w:val="0"/>
                <w:szCs w:val="21"/>
              </w:rPr>
              <w:t>性分析</w:t>
            </w:r>
          </w:p>
          <w:p w14:paraId="336B8295">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s="Times New Roman"/>
                <w:smallCaps w:val="0"/>
                <w:color w:val="auto"/>
                <w:sz w:val="21"/>
                <w:szCs w:val="21"/>
                <w:highlight w:val="none"/>
                <w:lang w:val="en-US" w:eastAsia="zh-CN"/>
              </w:rPr>
            </w:pPr>
            <w:r>
              <w:rPr>
                <w:rFonts w:hint="default" w:ascii="Times New Roman" w:hAnsi="Times New Roman" w:eastAsia="宋体" w:cs="Times New Roman"/>
                <w:color w:val="auto"/>
                <w:kern w:val="0"/>
                <w:sz w:val="21"/>
                <w:szCs w:val="18"/>
              </w:rPr>
              <w:t>项目行业类别属于</w:t>
            </w:r>
            <w:r>
              <w:rPr>
                <w:rFonts w:hint="default" w:ascii="Times New Roman" w:hAnsi="Times New Roman" w:eastAsia="宋体" w:cs="Times New Roman"/>
                <w:color w:val="auto"/>
                <w:kern w:val="0"/>
                <w:sz w:val="21"/>
                <w:szCs w:val="18"/>
                <w:lang w:val="en-US" w:eastAsia="zh-CN"/>
              </w:rPr>
              <w:t>C3393锻件及粉末冶金制品制造</w:t>
            </w:r>
            <w:r>
              <w:rPr>
                <w:rFonts w:hint="default" w:ascii="Times New Roman" w:hAnsi="Times New Roman" w:eastAsia="宋体" w:cs="Times New Roman"/>
                <w:color w:val="auto"/>
                <w:kern w:val="0"/>
                <w:sz w:val="21"/>
                <w:szCs w:val="18"/>
              </w:rPr>
              <w:t>。</w:t>
            </w:r>
            <w:r>
              <w:rPr>
                <w:rFonts w:hint="eastAsia" w:ascii="Times New Roman" w:hAnsi="Times New Roman" w:eastAsia="宋体" w:cs="Times New Roman"/>
                <w:smallCaps w:val="0"/>
                <w:color w:val="auto"/>
                <w:sz w:val="21"/>
                <w:szCs w:val="21"/>
                <w:highlight w:val="none"/>
              </w:rPr>
              <w:t>根据《产业结构调整指导目录（20</w:t>
            </w:r>
            <w:r>
              <w:rPr>
                <w:rFonts w:hint="eastAsia" w:ascii="Times New Roman" w:hAnsi="Times New Roman" w:eastAsia="宋体" w:cs="Times New Roman"/>
                <w:smallCaps w:val="0"/>
                <w:color w:val="auto"/>
                <w:sz w:val="21"/>
                <w:szCs w:val="21"/>
                <w:highlight w:val="none"/>
                <w:lang w:val="en-US" w:eastAsia="zh-CN"/>
              </w:rPr>
              <w:t>24</w:t>
            </w:r>
            <w:r>
              <w:rPr>
                <w:rFonts w:hint="eastAsia" w:ascii="Times New Roman" w:hAnsi="Times New Roman" w:eastAsia="宋体" w:cs="Times New Roman"/>
                <w:smallCaps w:val="0"/>
                <w:color w:val="auto"/>
                <w:sz w:val="21"/>
                <w:szCs w:val="21"/>
                <w:highlight w:val="none"/>
              </w:rPr>
              <w:t>年本）》</w:t>
            </w:r>
            <w:r>
              <w:rPr>
                <w:rFonts w:hint="eastAsia" w:ascii="Times New Roman" w:hAnsi="Times New Roman" w:eastAsia="宋体" w:cs="Times New Roman"/>
                <w:smallCaps w:val="0"/>
                <w:color w:val="auto"/>
                <w:sz w:val="21"/>
                <w:szCs w:val="21"/>
                <w:highlight w:val="none"/>
                <w:lang w:eastAsia="zh-CN"/>
              </w:rPr>
              <w:t>，</w:t>
            </w:r>
            <w:r>
              <w:rPr>
                <w:rFonts w:hint="eastAsia" w:ascii="Times New Roman" w:hAnsi="Times New Roman" w:eastAsia="宋体" w:cs="Times New Roman"/>
                <w:smallCaps w:val="0"/>
                <w:color w:val="auto"/>
                <w:sz w:val="21"/>
                <w:szCs w:val="21"/>
                <w:highlight w:val="none"/>
                <w:lang w:val="en-US" w:eastAsia="zh-CN"/>
              </w:rPr>
              <w:t>不属于限制和禁止项目。对照《南通市工业结构调整指导目录》，不属于限制类和淘汰类项目，符合《南通市工业结构调整指导目录》的要求。</w:t>
            </w:r>
          </w:p>
          <w:p w14:paraId="2D9176D8">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s="Times New Roman"/>
                <w:smallCaps w:val="0"/>
                <w:color w:val="auto"/>
                <w:sz w:val="21"/>
                <w:szCs w:val="21"/>
                <w:highlight w:val="none"/>
                <w:lang w:val="en-US" w:eastAsia="zh-CN"/>
              </w:rPr>
            </w:pPr>
            <w:r>
              <w:rPr>
                <w:rFonts w:hint="eastAsia" w:ascii="Times New Roman" w:hAnsi="Times New Roman" w:eastAsia="宋体" w:cs="Times New Roman"/>
                <w:smallCaps w:val="0"/>
                <w:color w:val="auto"/>
                <w:sz w:val="21"/>
                <w:szCs w:val="21"/>
                <w:highlight w:val="none"/>
                <w:lang w:val="en-US" w:eastAsia="zh-CN"/>
              </w:rPr>
              <w:t>本项目不属于国土资源部《限制用地项目目录（2012年本）》和《禁止用地项目目录（2012年本）》、《江苏省限制用地项目目录（2013年本）》和《江苏省禁止用地项目目录（2013年本）》中的限制用地、禁止用地项目；亦不属于其它相关法律法规要求淘汰和限制的产业。</w:t>
            </w:r>
          </w:p>
          <w:p w14:paraId="6C46F8F3">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bCs/>
                <w:color w:val="auto"/>
                <w:sz w:val="21"/>
                <w:szCs w:val="16"/>
              </w:rPr>
            </w:pPr>
            <w:r>
              <w:rPr>
                <w:rFonts w:hint="default" w:ascii="Times New Roman" w:hAnsi="Times New Roman" w:cs="Times New Roman"/>
                <w:color w:val="auto"/>
                <w:sz w:val="21"/>
                <w:szCs w:val="16"/>
              </w:rPr>
              <w:t>本项目对照《市场准入负面清单》（202</w:t>
            </w:r>
            <w:r>
              <w:rPr>
                <w:rFonts w:hint="default" w:ascii="Times New Roman" w:hAnsi="Times New Roman" w:cs="Times New Roman"/>
                <w:color w:val="auto"/>
                <w:sz w:val="21"/>
                <w:szCs w:val="16"/>
                <w:lang w:val="en-US" w:eastAsia="zh-CN"/>
              </w:rPr>
              <w:t>4</w:t>
            </w:r>
            <w:r>
              <w:rPr>
                <w:rFonts w:hint="default" w:ascii="Times New Roman" w:hAnsi="Times New Roman" w:cs="Times New Roman"/>
                <w:color w:val="auto"/>
                <w:sz w:val="21"/>
                <w:szCs w:val="16"/>
              </w:rPr>
              <w:t xml:space="preserve"> 版），不属于其中的禁止类和限制类，符合相关规划。</w:t>
            </w:r>
            <w:r>
              <w:rPr>
                <w:rFonts w:hint="default" w:ascii="Times New Roman" w:hAnsi="Times New Roman" w:cs="Times New Roman"/>
                <w:bCs/>
                <w:color w:val="auto"/>
                <w:sz w:val="21"/>
                <w:szCs w:val="16"/>
              </w:rPr>
              <w:t>对照《环境保护综合名录（2021年版）》，本项目不在“高污染、高环境风险”产品名录内；对照《关于坚决遏制“两高”项目盲目发展的通知》（苏发改资环发〔2021〕837号），本项目不属于两高项目。</w:t>
            </w:r>
          </w:p>
          <w:p w14:paraId="1B8E25BB">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s="Times New Roman"/>
                <w:color w:val="auto"/>
                <w:kern w:val="0"/>
                <w:szCs w:val="21"/>
              </w:rPr>
            </w:pPr>
            <w:r>
              <w:rPr>
                <w:rFonts w:hint="default" w:ascii="Times New Roman" w:hAnsi="Times New Roman" w:cs="Times New Roman"/>
                <w:bCs/>
                <w:color w:val="auto"/>
                <w:sz w:val="21"/>
                <w:szCs w:val="16"/>
              </w:rPr>
              <w:t>因此，</w:t>
            </w:r>
            <w:r>
              <w:rPr>
                <w:rFonts w:hint="default" w:ascii="Times New Roman" w:hAnsi="Times New Roman" w:cs="Times New Roman"/>
                <w:color w:val="auto"/>
                <w:sz w:val="21"/>
                <w:szCs w:val="16"/>
              </w:rPr>
              <w:t>本项目</w:t>
            </w:r>
            <w:r>
              <w:rPr>
                <w:rFonts w:hint="default" w:ascii="Times New Roman" w:hAnsi="Times New Roman" w:cs="Times New Roman"/>
                <w:bCs/>
                <w:color w:val="auto"/>
                <w:sz w:val="21"/>
                <w:szCs w:val="16"/>
              </w:rPr>
              <w:t>符合国家和地方相关产业政策要求。</w:t>
            </w:r>
          </w:p>
          <w:p w14:paraId="7ADB19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1"/>
                <w:szCs w:val="21"/>
                <w:shd w:val="clear" w:color="auto" w:fill="auto"/>
              </w:rPr>
            </w:pPr>
            <w:r>
              <w:rPr>
                <w:rFonts w:hint="eastAsia" w:ascii="Times New Roman" w:hAnsi="Times New Roman" w:cs="Times New Roman"/>
                <w:b/>
                <w:bCs/>
                <w:color w:val="auto"/>
                <w:sz w:val="21"/>
                <w:szCs w:val="21"/>
                <w:shd w:val="clear" w:color="auto" w:fill="auto"/>
                <w:lang w:val="en-US" w:eastAsia="zh-CN"/>
              </w:rPr>
              <w:t>2</w:t>
            </w:r>
            <w:r>
              <w:rPr>
                <w:rFonts w:hint="default" w:ascii="Times New Roman" w:hAnsi="Times New Roman" w:cs="Times New Roman"/>
                <w:b/>
                <w:bCs/>
                <w:color w:val="auto"/>
                <w:sz w:val="21"/>
                <w:szCs w:val="21"/>
                <w:shd w:val="clear" w:color="auto" w:fill="auto"/>
              </w:rPr>
              <w:t>、“三线一单”相符性分析</w:t>
            </w:r>
          </w:p>
          <w:p w14:paraId="0542EF45">
            <w:pPr>
              <w:adjustRightInd w:val="0"/>
              <w:snapToGrid w:val="0"/>
              <w:spacing w:line="360" w:lineRule="auto"/>
              <w:ind w:firstLine="420" w:firstLineChars="200"/>
              <w:jc w:val="left"/>
              <w:rPr>
                <w:color w:val="auto"/>
                <w:shd w:val="clear" w:color="auto" w:fill="auto"/>
              </w:rPr>
            </w:pPr>
            <w:r>
              <w:rPr>
                <w:rFonts w:hint="eastAsia"/>
                <w:color w:val="auto"/>
                <w:shd w:val="clear" w:color="auto" w:fill="auto"/>
              </w:rPr>
              <w:t>①对照《江苏省国家级生态保护红线规划》（苏政发</w:t>
            </w:r>
            <w:r>
              <w:rPr>
                <w:rFonts w:hint="default" w:ascii="Times New Roman" w:hAnsi="Times New Roman" w:cs="Times New Roman"/>
                <w:bCs/>
                <w:color w:val="auto"/>
                <w:sz w:val="21"/>
                <w:szCs w:val="16"/>
              </w:rPr>
              <w:t>〔20</w:t>
            </w:r>
            <w:r>
              <w:rPr>
                <w:rFonts w:hint="eastAsia" w:cs="Times New Roman"/>
                <w:bCs/>
                <w:color w:val="auto"/>
                <w:sz w:val="21"/>
                <w:szCs w:val="16"/>
                <w:lang w:val="en-US" w:eastAsia="zh-CN"/>
              </w:rPr>
              <w:t>18</w:t>
            </w:r>
            <w:r>
              <w:rPr>
                <w:rFonts w:hint="default" w:ascii="Times New Roman" w:hAnsi="Times New Roman" w:cs="Times New Roman"/>
                <w:bCs/>
                <w:color w:val="auto"/>
                <w:sz w:val="21"/>
                <w:szCs w:val="16"/>
              </w:rPr>
              <w:t>〕</w:t>
            </w:r>
            <w:r>
              <w:rPr>
                <w:color w:val="auto"/>
                <w:shd w:val="clear" w:color="auto" w:fill="auto"/>
              </w:rPr>
              <w:t xml:space="preserve">74 </w:t>
            </w:r>
            <w:r>
              <w:rPr>
                <w:rFonts w:hint="eastAsia"/>
                <w:color w:val="auto"/>
                <w:shd w:val="clear" w:color="auto" w:fill="auto"/>
              </w:rPr>
              <w:t>号），海门区境内生态保护红线为海门长江饮用水源保护区。本项目位于</w:t>
            </w:r>
            <w:r>
              <w:rPr>
                <w:rFonts w:hint="eastAsia"/>
                <w:color w:val="auto"/>
                <w:szCs w:val="21"/>
                <w:lang w:val="en-US" w:eastAsia="zh-CN"/>
              </w:rPr>
              <w:t>江苏省南通市海门经济技术开发区福州路123号</w:t>
            </w:r>
            <w:r>
              <w:rPr>
                <w:rFonts w:hint="eastAsia"/>
                <w:color w:val="auto"/>
                <w:shd w:val="clear" w:color="auto" w:fill="auto"/>
              </w:rPr>
              <w:t>，距离海门长江饮用水源保护区约</w:t>
            </w:r>
            <w:r>
              <w:rPr>
                <w:rFonts w:hint="eastAsia"/>
                <w:color w:val="auto"/>
                <w:shd w:val="clear" w:color="auto" w:fill="auto"/>
                <w:lang w:val="en-US" w:eastAsia="zh-CN"/>
              </w:rPr>
              <w:t>2.1</w:t>
            </w:r>
            <w:r>
              <w:rPr>
                <w:color w:val="auto"/>
                <w:shd w:val="clear" w:color="auto" w:fill="auto"/>
              </w:rPr>
              <w:t>km</w:t>
            </w:r>
            <w:r>
              <w:rPr>
                <w:rFonts w:hint="eastAsia"/>
                <w:color w:val="auto"/>
                <w:shd w:val="clear" w:color="auto" w:fill="auto"/>
              </w:rPr>
              <w:t>，不涉及上述生态保护红线，符合《江苏省国家级生态保护红线规划》（苏政发</w:t>
            </w:r>
            <w:r>
              <w:rPr>
                <w:rFonts w:hint="eastAsia"/>
                <w:color w:val="auto"/>
                <w:shd w:val="clear" w:color="auto" w:fill="auto"/>
                <w:lang w:eastAsia="zh-CN"/>
              </w:rPr>
              <w:t>〔</w:t>
            </w:r>
            <w:r>
              <w:rPr>
                <w:color w:val="auto"/>
                <w:shd w:val="clear" w:color="auto" w:fill="auto"/>
              </w:rPr>
              <w:t>2018</w:t>
            </w:r>
            <w:r>
              <w:rPr>
                <w:rFonts w:hint="eastAsia"/>
                <w:color w:val="auto"/>
                <w:shd w:val="clear" w:color="auto" w:fill="auto"/>
                <w:lang w:eastAsia="zh-CN"/>
              </w:rPr>
              <w:t>〕</w:t>
            </w:r>
            <w:r>
              <w:rPr>
                <w:color w:val="auto"/>
                <w:shd w:val="clear" w:color="auto" w:fill="auto"/>
              </w:rPr>
              <w:t>74</w:t>
            </w:r>
            <w:r>
              <w:rPr>
                <w:rFonts w:hint="eastAsia"/>
                <w:color w:val="auto"/>
                <w:shd w:val="clear" w:color="auto" w:fill="auto"/>
              </w:rPr>
              <w:t>号）相关要求。</w:t>
            </w:r>
          </w:p>
          <w:p w14:paraId="08CD7A5C">
            <w:pPr>
              <w:adjustRightInd w:val="0"/>
              <w:snapToGrid w:val="0"/>
              <w:spacing w:line="360" w:lineRule="auto"/>
              <w:ind w:firstLine="420" w:firstLineChars="200"/>
              <w:jc w:val="left"/>
              <w:rPr>
                <w:color w:val="auto"/>
                <w:shd w:val="clear" w:color="auto" w:fill="auto"/>
              </w:rPr>
            </w:pPr>
            <w:r>
              <w:rPr>
                <w:rFonts w:hint="eastAsia"/>
                <w:color w:val="auto"/>
                <w:shd w:val="clear" w:color="auto" w:fill="auto"/>
              </w:rPr>
              <w:t>②生态空间管控区域：《江苏省生态空间管控区域规划》（苏政发</w:t>
            </w:r>
            <w:r>
              <w:rPr>
                <w:rFonts w:hint="eastAsia"/>
                <w:color w:val="auto"/>
                <w:shd w:val="clear" w:color="auto" w:fill="auto"/>
                <w:lang w:eastAsia="zh-CN"/>
              </w:rPr>
              <w:t>〔</w:t>
            </w:r>
            <w:r>
              <w:rPr>
                <w:color w:val="auto"/>
                <w:shd w:val="clear" w:color="auto" w:fill="auto"/>
              </w:rPr>
              <w:t>2020</w:t>
            </w:r>
            <w:r>
              <w:rPr>
                <w:rFonts w:hint="eastAsia"/>
                <w:color w:val="auto"/>
                <w:shd w:val="clear" w:color="auto" w:fill="auto"/>
                <w:lang w:eastAsia="zh-CN"/>
              </w:rPr>
              <w:t>〕</w:t>
            </w:r>
            <w:r>
              <w:rPr>
                <w:color w:val="auto"/>
                <w:shd w:val="clear" w:color="auto" w:fill="auto"/>
              </w:rPr>
              <w:t>1</w:t>
            </w:r>
            <w:r>
              <w:rPr>
                <w:rFonts w:hint="eastAsia"/>
                <w:color w:val="auto"/>
                <w:shd w:val="clear" w:color="auto" w:fill="auto"/>
              </w:rPr>
              <w:t>号）</w:t>
            </w:r>
            <w:r>
              <w:rPr>
                <w:rFonts w:hint="eastAsia"/>
                <w:color w:val="auto"/>
                <w:shd w:val="clear" w:color="auto" w:fill="auto"/>
                <w:lang w:eastAsia="zh-CN"/>
              </w:rPr>
              <w:t>、</w:t>
            </w:r>
            <w:r>
              <w:rPr>
                <w:rFonts w:hint="eastAsia"/>
                <w:color w:val="auto"/>
                <w:shd w:val="clear" w:color="auto" w:fill="auto"/>
              </w:rPr>
              <w:t>《南通市海门区生态空间管控区域优化调整方案》</w:t>
            </w:r>
            <w:r>
              <w:rPr>
                <w:rFonts w:hint="eastAsia"/>
                <w:color w:val="auto"/>
                <w:shd w:val="clear" w:color="auto" w:fill="auto"/>
                <w:lang w:val="en-US" w:eastAsia="zh-CN"/>
              </w:rPr>
              <w:t>、</w:t>
            </w:r>
            <w:r>
              <w:rPr>
                <w:rFonts w:hint="default" w:ascii="Times New Roman" w:hAnsi="Times New Roman" w:eastAsia="宋体" w:cs="Times New Roman"/>
                <w:color w:val="auto"/>
                <w:sz w:val="21"/>
                <w:szCs w:val="21"/>
                <w:lang w:val="en-US" w:eastAsia="zh-CN"/>
              </w:rPr>
              <w:t>《自然资源部生态环境部国家林业和草原局关于加强生态保护红线管理的通知（试行）》（自然资发</w:t>
            </w:r>
            <w:r>
              <w:rPr>
                <w:rFonts w:hint="eastAsia"/>
                <w:color w:val="auto"/>
                <w:shd w:val="clear" w:color="auto" w:fill="auto"/>
                <w:lang w:eastAsia="zh-CN"/>
              </w:rPr>
              <w:t>〔</w:t>
            </w:r>
            <w:r>
              <w:rPr>
                <w:color w:val="auto"/>
                <w:shd w:val="clear" w:color="auto" w:fill="auto"/>
              </w:rPr>
              <w:t>202</w:t>
            </w:r>
            <w:r>
              <w:rPr>
                <w:rFonts w:hint="eastAsia"/>
                <w:color w:val="auto"/>
                <w:shd w:val="clear" w:color="auto" w:fill="auto"/>
                <w:lang w:val="en-US" w:eastAsia="zh-CN"/>
              </w:rPr>
              <w:t>2</w:t>
            </w:r>
            <w:r>
              <w:rPr>
                <w:rFonts w:hint="eastAsia"/>
                <w:color w:val="auto"/>
                <w:shd w:val="clear" w:color="auto" w:fill="auto"/>
                <w:lang w:eastAsia="zh-CN"/>
              </w:rPr>
              <w:t>〕</w:t>
            </w:r>
            <w:r>
              <w:rPr>
                <w:rFonts w:hint="default" w:ascii="Times New Roman" w:hAnsi="Times New Roman" w:eastAsia="宋体" w:cs="Times New Roman"/>
                <w:color w:val="auto"/>
                <w:sz w:val="21"/>
                <w:szCs w:val="21"/>
                <w:lang w:val="en-US" w:eastAsia="zh-CN"/>
              </w:rPr>
              <w:t>142号）</w:t>
            </w:r>
            <w:r>
              <w:rPr>
                <w:rFonts w:hint="eastAsia" w:cs="Times New Roman"/>
                <w:color w:val="auto"/>
                <w:sz w:val="21"/>
                <w:szCs w:val="21"/>
                <w:lang w:val="en-US" w:eastAsia="zh-CN"/>
              </w:rPr>
              <w:t>，</w:t>
            </w:r>
            <w:r>
              <w:rPr>
                <w:rFonts w:hint="eastAsia"/>
                <w:color w:val="auto"/>
                <w:shd w:val="clear" w:color="auto" w:fill="auto"/>
              </w:rPr>
              <w:t>将江苏省具有重要生态服务功能的区域分为自然保护区、风景名胜区、森林公园、湿地公园、地质遗迹保护区（公园）、饮用水源保护区、海洋特别保护区、洪水调蓄区、重要水源涵养区、重要渔业水域、重要湿地、清水通道维护区、生态公益林、太湖重要保护区、特殊物种保护区等</w:t>
            </w:r>
            <w:r>
              <w:rPr>
                <w:color w:val="auto"/>
                <w:shd w:val="clear" w:color="auto" w:fill="auto"/>
              </w:rPr>
              <w:t>15</w:t>
            </w:r>
            <w:r>
              <w:rPr>
                <w:rFonts w:hint="eastAsia"/>
                <w:color w:val="auto"/>
                <w:shd w:val="clear" w:color="auto" w:fill="auto"/>
              </w:rPr>
              <w:t>种类型。本项目位于</w:t>
            </w:r>
            <w:r>
              <w:rPr>
                <w:rFonts w:hint="eastAsia"/>
                <w:color w:val="auto"/>
                <w:szCs w:val="21"/>
                <w:shd w:val="clear" w:color="auto" w:fill="auto"/>
                <w:lang w:val="en-US" w:eastAsia="zh-CN"/>
              </w:rPr>
              <w:t>江苏省南通市海门经济技术开发区福州路123号</w:t>
            </w:r>
            <w:r>
              <w:rPr>
                <w:rFonts w:hint="eastAsia"/>
                <w:color w:val="auto"/>
                <w:shd w:val="clear" w:color="auto" w:fill="auto"/>
              </w:rPr>
              <w:t>，距离海门区沿江堤防生态公益林约</w:t>
            </w:r>
            <w:r>
              <w:rPr>
                <w:rFonts w:hint="eastAsia"/>
                <w:color w:val="auto"/>
                <w:shd w:val="clear" w:color="auto" w:fill="auto"/>
                <w:lang w:val="en-US" w:eastAsia="zh-CN"/>
              </w:rPr>
              <w:t>2.9k</w:t>
            </w:r>
            <w:r>
              <w:rPr>
                <w:color w:val="auto"/>
                <w:shd w:val="clear" w:color="auto" w:fill="auto"/>
              </w:rPr>
              <w:t>m</w:t>
            </w:r>
            <w:r>
              <w:rPr>
                <w:rFonts w:hint="eastAsia"/>
                <w:color w:val="auto"/>
                <w:shd w:val="clear" w:color="auto" w:fill="auto"/>
              </w:rPr>
              <w:t>，不在其管控范围内</w:t>
            </w:r>
            <w:r>
              <w:rPr>
                <w:rFonts w:hint="eastAsia"/>
                <w:color w:val="auto"/>
                <w:shd w:val="clear" w:color="auto" w:fill="auto"/>
                <w:lang w:eastAsia="zh-CN"/>
              </w:rPr>
              <w:t>。</w:t>
            </w:r>
          </w:p>
          <w:p w14:paraId="08CA94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rPr>
            </w:pPr>
            <w:r>
              <w:rPr>
                <w:rFonts w:hint="eastAsia" w:ascii="Times New Roman" w:hAnsi="Times New Roman" w:cs="Times New Roman"/>
                <w:bCs/>
                <w:color w:val="auto"/>
                <w:lang w:val="en-US" w:eastAsia="zh-CN"/>
              </w:rPr>
              <w:t>③本</w:t>
            </w:r>
            <w:r>
              <w:rPr>
                <w:rFonts w:hint="default" w:ascii="Times New Roman" w:hAnsi="Times New Roman" w:cs="Times New Roman"/>
                <w:color w:val="auto"/>
              </w:rPr>
              <w:t>项目与《江苏省“三线一单”生态环境分区管控方案》（苏政发〔2020〕49 号） 相符性分析见下表。</w:t>
            </w:r>
          </w:p>
          <w:p w14:paraId="488B95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rPr>
            </w:pPr>
            <w:r>
              <w:rPr>
                <w:rFonts w:hint="default" w:ascii="Times New Roman" w:hAnsi="Times New Roman" w:cs="Times New Roman"/>
                <w:b/>
                <w:color w:val="auto"/>
              </w:rPr>
              <w:t>表1-</w:t>
            </w:r>
            <w:r>
              <w:rPr>
                <w:rFonts w:hint="eastAsia" w:cs="Times New Roman"/>
                <w:b/>
                <w:color w:val="auto"/>
                <w:lang w:val="en-US" w:eastAsia="zh-CN"/>
              </w:rPr>
              <w:t>2</w:t>
            </w:r>
            <w:r>
              <w:rPr>
                <w:rFonts w:hint="default" w:ascii="Times New Roman" w:hAnsi="Times New Roman" w:cs="Times New Roman"/>
                <w:b/>
                <w:color w:val="auto"/>
              </w:rPr>
              <w:t xml:space="preserve">  建设项目与苏政发〔2020〕49 号相符性分析</w:t>
            </w:r>
          </w:p>
          <w:tbl>
            <w:tblPr>
              <w:tblStyle w:val="4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4986"/>
              <w:gridCol w:w="1533"/>
            </w:tblGrid>
            <w:tr w14:paraId="442CCE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14:paraId="67CE615F">
                  <w:pPr>
                    <w:jc w:val="center"/>
                    <w:rPr>
                      <w:b/>
                      <w:bCs/>
                      <w:color w:val="auto"/>
                    </w:rPr>
                  </w:pPr>
                  <w:r>
                    <w:rPr>
                      <w:rFonts w:hint="eastAsia"/>
                      <w:b/>
                      <w:bCs/>
                      <w:color w:val="auto"/>
                    </w:rPr>
                    <w:t>管控类别</w:t>
                  </w:r>
                </w:p>
              </w:tc>
              <w:tc>
                <w:tcPr>
                  <w:tcW w:w="3243" w:type="pct"/>
                  <w:vAlign w:val="center"/>
                </w:tcPr>
                <w:p w14:paraId="366237E7">
                  <w:pPr>
                    <w:spacing w:line="400" w:lineRule="exact"/>
                    <w:jc w:val="center"/>
                    <w:rPr>
                      <w:b/>
                      <w:bCs/>
                      <w:color w:val="auto"/>
                    </w:rPr>
                  </w:pPr>
                  <w:r>
                    <w:rPr>
                      <w:rFonts w:hint="eastAsia"/>
                      <w:b/>
                      <w:bCs/>
                      <w:color w:val="auto"/>
                    </w:rPr>
                    <w:t>重点管控要求</w:t>
                  </w:r>
                </w:p>
              </w:tc>
              <w:tc>
                <w:tcPr>
                  <w:tcW w:w="997" w:type="pct"/>
                  <w:vAlign w:val="center"/>
                </w:tcPr>
                <w:p w14:paraId="6EF4B29B">
                  <w:pPr>
                    <w:spacing w:line="400" w:lineRule="exact"/>
                    <w:jc w:val="center"/>
                    <w:rPr>
                      <w:b/>
                      <w:bCs/>
                      <w:color w:val="auto"/>
                    </w:rPr>
                  </w:pPr>
                  <w:r>
                    <w:rPr>
                      <w:b/>
                      <w:bCs/>
                      <w:color w:val="auto"/>
                    </w:rPr>
                    <w:t>相符性分析</w:t>
                  </w:r>
                </w:p>
              </w:tc>
            </w:tr>
            <w:tr w14:paraId="040C6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14:paraId="7D90F061">
                  <w:pPr>
                    <w:jc w:val="center"/>
                    <w:rPr>
                      <w:color w:val="auto"/>
                    </w:rPr>
                  </w:pPr>
                  <w:r>
                    <w:rPr>
                      <w:rFonts w:hint="eastAsia"/>
                      <w:color w:val="auto"/>
                    </w:rPr>
                    <w:t>空间布局约束</w:t>
                  </w:r>
                </w:p>
              </w:tc>
              <w:tc>
                <w:tcPr>
                  <w:tcW w:w="3243" w:type="pct"/>
                  <w:vAlign w:val="center"/>
                </w:tcPr>
                <w:p w14:paraId="4DADBF05">
                  <w:pPr>
                    <w:widowControl/>
                    <w:jc w:val="center"/>
                    <w:rPr>
                      <w:rFonts w:ascii="Times New Roman" w:hAnsi="Times New Roman" w:cs="Times New Roman"/>
                      <w:color w:val="auto"/>
                      <w:kern w:val="0"/>
                      <w:lang w:bidi="ar"/>
                    </w:rPr>
                  </w:pPr>
                  <w:r>
                    <w:rPr>
                      <w:rFonts w:ascii="Times New Roman" w:hAnsi="Times New Roman" w:cs="Times New Roman"/>
                      <w:color w:val="auto"/>
                      <w:kern w:val="0"/>
                      <w:lang w:bidi="ar"/>
                    </w:rPr>
                    <w:t>①按照《省政府关于印发江苏省生态空间管控区域规划的通知》（苏政发〔2020〕1 号）、《省政府关于印发江苏省国家级生态保护红线规划的通知》（苏政</w:t>
                  </w:r>
                  <w:r>
                    <w:rPr>
                      <w:rFonts w:ascii="Times New Roman" w:hAnsi="Times New Roman" w:cs="Times New Roman"/>
                      <w:b w:val="0"/>
                      <w:bCs w:val="0"/>
                      <w:color w:val="auto"/>
                      <w:kern w:val="0"/>
                      <w:lang w:bidi="ar"/>
                    </w:rPr>
                    <w:t>发</w:t>
                  </w:r>
                  <w:r>
                    <w:rPr>
                      <w:rFonts w:hint="eastAsia"/>
                      <w:b w:val="0"/>
                      <w:bCs w:val="0"/>
                      <w:color w:val="auto"/>
                      <w:kern w:val="0"/>
                      <w:szCs w:val="21"/>
                    </w:rPr>
                    <w:t>〔20</w:t>
                  </w:r>
                  <w:r>
                    <w:rPr>
                      <w:rFonts w:hint="eastAsia"/>
                      <w:b w:val="0"/>
                      <w:bCs w:val="0"/>
                      <w:color w:val="auto"/>
                      <w:kern w:val="0"/>
                      <w:szCs w:val="21"/>
                      <w:lang w:val="en-US" w:eastAsia="zh-CN"/>
                    </w:rPr>
                    <w:t>18</w:t>
                  </w:r>
                  <w:r>
                    <w:rPr>
                      <w:rFonts w:hint="eastAsia"/>
                      <w:b w:val="0"/>
                      <w:bCs w:val="0"/>
                      <w:color w:val="auto"/>
                      <w:kern w:val="0"/>
                      <w:szCs w:val="21"/>
                    </w:rPr>
                    <w:t>〕</w:t>
                  </w:r>
                  <w:r>
                    <w:rPr>
                      <w:rFonts w:ascii="Times New Roman" w:hAnsi="Times New Roman" w:cs="Times New Roman"/>
                      <w:color w:val="auto"/>
                      <w:kern w:val="0"/>
                      <w:lang w:bidi="ar"/>
                    </w:rPr>
                    <w:t>74 号），坚持节约优先、保护优先、自然恢复为主的方针，以</w:t>
                  </w:r>
                  <w:r>
                    <w:rPr>
                      <w:rFonts w:hint="eastAsia" w:cs="Times New Roman"/>
                      <w:color w:val="auto"/>
                      <w:kern w:val="0"/>
                      <w:lang w:eastAsia="zh-CN" w:bidi="ar"/>
                    </w:rPr>
                    <w:t>改善</w:t>
                  </w:r>
                  <w:r>
                    <w:rPr>
                      <w:rFonts w:ascii="Times New Roman" w:hAnsi="Times New Roman" w:cs="Times New Roman"/>
                      <w:color w:val="auto"/>
                      <w:kern w:val="0"/>
                      <w:lang w:bidi="ar"/>
                    </w:rPr>
                    <w:t>生态环境质量为核心，以保障和维护生态功能为主线，统筹山水林田湖草一体化保护和修复，严守生态保护红线</w:t>
                  </w:r>
                  <w:r>
                    <w:rPr>
                      <w:rFonts w:hint="eastAsia" w:cs="Times New Roman"/>
                      <w:color w:val="auto"/>
                      <w:kern w:val="0"/>
                      <w:lang w:eastAsia="zh-CN" w:bidi="ar"/>
                    </w:rPr>
                    <w:t>，</w:t>
                  </w:r>
                  <w:r>
                    <w:rPr>
                      <w:rFonts w:ascii="Times New Roman" w:hAnsi="Times New Roman" w:cs="Times New Roman"/>
                      <w:color w:val="auto"/>
                      <w:kern w:val="0"/>
                      <w:lang w:bidi="ar"/>
                    </w:rPr>
                    <w:t>实行最严格的生态空间管控制度，确保全省生态功能不降低、面积不减少、性质不改变，切实维护生态</w:t>
                  </w:r>
                </w:p>
                <w:p w14:paraId="754C6D00">
                  <w:pPr>
                    <w:widowControl/>
                    <w:jc w:val="both"/>
                    <w:rPr>
                      <w:rFonts w:ascii="Times New Roman" w:hAnsi="Times New Roman" w:cs="Times New Roman"/>
                      <w:color w:val="auto"/>
                    </w:rPr>
                  </w:pPr>
                  <w:r>
                    <w:rPr>
                      <w:rFonts w:ascii="Times New Roman" w:hAnsi="Times New Roman" w:cs="Times New Roman"/>
                      <w:color w:val="auto"/>
                      <w:kern w:val="0"/>
                      <w:lang w:bidi="ar"/>
                    </w:rPr>
                    <w:t>安全。</w:t>
                  </w:r>
                </w:p>
                <w:p w14:paraId="58023B23">
                  <w:pPr>
                    <w:widowControl/>
                    <w:jc w:val="center"/>
                    <w:rPr>
                      <w:rFonts w:ascii="Times New Roman" w:hAnsi="Times New Roman" w:cs="Times New Roman"/>
                      <w:color w:val="auto"/>
                      <w:kern w:val="0"/>
                      <w:lang w:bidi="ar"/>
                    </w:rPr>
                  </w:pPr>
                  <w:r>
                    <w:rPr>
                      <w:rFonts w:ascii="Times New Roman" w:hAnsi="Times New Roman" w:cs="Times New Roman"/>
                      <w:color w:val="auto"/>
                      <w:kern w:val="0"/>
                      <w:lang w:bidi="ar"/>
                    </w:rPr>
                    <w:t>②.牢牢把握推动长江经济带发展</w:t>
                  </w:r>
                  <w:r>
                    <w:rPr>
                      <w:rFonts w:hint="eastAsia" w:cs="Times New Roman"/>
                      <w:color w:val="auto"/>
                      <w:kern w:val="0"/>
                      <w:lang w:eastAsia="zh-CN" w:bidi="ar"/>
                    </w:rPr>
                    <w:t>“</w:t>
                  </w:r>
                  <w:r>
                    <w:rPr>
                      <w:rFonts w:ascii="Times New Roman" w:hAnsi="Times New Roman" w:cs="Times New Roman"/>
                      <w:color w:val="auto"/>
                      <w:kern w:val="0"/>
                      <w:lang w:bidi="ar"/>
                    </w:rPr>
                    <w:t>共抓大保护</w:t>
                  </w:r>
                  <w:r>
                    <w:rPr>
                      <w:rFonts w:hint="eastAsia" w:cs="Times New Roman"/>
                      <w:color w:val="auto"/>
                      <w:kern w:val="0"/>
                      <w:lang w:eastAsia="zh-CN" w:bidi="ar"/>
                    </w:rPr>
                    <w:t>，</w:t>
                  </w:r>
                  <w:r>
                    <w:rPr>
                      <w:rFonts w:ascii="Times New Roman" w:hAnsi="Times New Roman" w:cs="Times New Roman"/>
                      <w:color w:val="auto"/>
                      <w:kern w:val="0"/>
                      <w:lang w:bidi="ar"/>
                    </w:rPr>
                    <w:t>不搞大开发</w:t>
                  </w:r>
                  <w:r>
                    <w:rPr>
                      <w:rFonts w:hint="eastAsia" w:cs="Times New Roman"/>
                      <w:color w:val="auto"/>
                      <w:kern w:val="0"/>
                      <w:lang w:eastAsia="zh-CN" w:bidi="ar"/>
                    </w:rPr>
                    <w:t>”</w:t>
                  </w:r>
                  <w:r>
                    <w:rPr>
                      <w:rFonts w:ascii="Times New Roman" w:hAnsi="Times New Roman" w:cs="Times New Roman"/>
                      <w:color w:val="auto"/>
                      <w:kern w:val="0"/>
                      <w:lang w:bidi="ar"/>
                    </w:rPr>
                    <w:t>战略导向。对省域范围内需要重点保护的岸线、河段和区域实行严格空间布局管控</w:t>
                  </w:r>
                  <w:r>
                    <w:rPr>
                      <w:rFonts w:hint="eastAsia" w:cs="Times New Roman"/>
                      <w:color w:val="auto"/>
                      <w:kern w:val="0"/>
                      <w:lang w:eastAsia="zh-CN" w:bidi="ar"/>
                    </w:rPr>
                    <w:t>，</w:t>
                  </w:r>
                  <w:r>
                    <w:rPr>
                      <w:rFonts w:ascii="Times New Roman" w:hAnsi="Times New Roman" w:cs="Times New Roman"/>
                      <w:color w:val="auto"/>
                      <w:kern w:val="0"/>
                      <w:lang w:bidi="ar"/>
                    </w:rPr>
                    <w:t>管住控好排放量大、耗能高、产能过剩的产业，推动长</w:t>
                  </w:r>
                </w:p>
                <w:p w14:paraId="6A265956">
                  <w:pPr>
                    <w:widowControl/>
                    <w:jc w:val="both"/>
                    <w:rPr>
                      <w:rFonts w:ascii="Times New Roman" w:hAnsi="Times New Roman" w:cs="Times New Roman"/>
                      <w:color w:val="auto"/>
                    </w:rPr>
                  </w:pPr>
                  <w:r>
                    <w:rPr>
                      <w:rFonts w:ascii="Times New Roman" w:hAnsi="Times New Roman" w:cs="Times New Roman"/>
                      <w:color w:val="auto"/>
                      <w:kern w:val="0"/>
                      <w:lang w:bidi="ar"/>
                    </w:rPr>
                    <w:t>江经济带高质量发展。</w:t>
                  </w:r>
                </w:p>
                <w:p w14:paraId="4B70DE62">
                  <w:pPr>
                    <w:widowControl/>
                    <w:jc w:val="center"/>
                    <w:rPr>
                      <w:rFonts w:ascii="Times New Roman" w:hAnsi="Times New Roman" w:cs="Times New Roman"/>
                      <w:color w:val="auto"/>
                      <w:kern w:val="0"/>
                      <w:lang w:bidi="ar"/>
                    </w:rPr>
                  </w:pPr>
                  <w:r>
                    <w:rPr>
                      <w:rFonts w:ascii="Times New Roman" w:hAnsi="Times New Roman" w:cs="Times New Roman"/>
                      <w:color w:val="auto"/>
                      <w:kern w:val="0"/>
                      <w:lang w:bidi="ar"/>
                    </w:rPr>
                    <w:t>③大幅压减沿长江干支流两侧 1 公里范围内、环境敏感区域、城镇人口密集区、化工园区外和规模以下化工生产企业，着力破解</w:t>
                  </w:r>
                  <w:r>
                    <w:rPr>
                      <w:rFonts w:hint="eastAsia" w:cs="Times New Roman"/>
                      <w:color w:val="auto"/>
                      <w:kern w:val="0"/>
                      <w:lang w:eastAsia="zh-CN" w:bidi="ar"/>
                    </w:rPr>
                    <w:t>“</w:t>
                  </w:r>
                  <w:r>
                    <w:rPr>
                      <w:rFonts w:ascii="Times New Roman" w:hAnsi="Times New Roman" w:cs="Times New Roman"/>
                      <w:color w:val="auto"/>
                      <w:kern w:val="0"/>
                      <w:lang w:bidi="ar"/>
                    </w:rPr>
                    <w:t>重化围江</w:t>
                  </w:r>
                  <w:r>
                    <w:rPr>
                      <w:rFonts w:hint="eastAsia" w:cs="Times New Roman"/>
                      <w:color w:val="auto"/>
                      <w:kern w:val="0"/>
                      <w:lang w:eastAsia="zh-CN" w:bidi="ar"/>
                    </w:rPr>
                    <w:t>”</w:t>
                  </w:r>
                  <w:r>
                    <w:rPr>
                      <w:rFonts w:ascii="Times New Roman" w:hAnsi="Times New Roman" w:cs="Times New Roman"/>
                      <w:color w:val="auto"/>
                      <w:kern w:val="0"/>
                      <w:lang w:bidi="ar"/>
                    </w:rPr>
                    <w:t>突出问题，高起点同步推进沿江地区战略性转型和沿海地区战</w:t>
                  </w:r>
                </w:p>
                <w:p w14:paraId="5A96F696">
                  <w:pPr>
                    <w:widowControl/>
                    <w:jc w:val="both"/>
                    <w:rPr>
                      <w:color w:val="auto"/>
                    </w:rPr>
                  </w:pPr>
                  <w:r>
                    <w:rPr>
                      <w:rFonts w:ascii="Times New Roman" w:hAnsi="Times New Roman" w:cs="Times New Roman"/>
                      <w:color w:val="auto"/>
                      <w:kern w:val="0"/>
                      <w:lang w:bidi="ar"/>
                    </w:rPr>
                    <w:t>略性布局。</w:t>
                  </w:r>
                </w:p>
              </w:tc>
              <w:tc>
                <w:tcPr>
                  <w:tcW w:w="997" w:type="pct"/>
                  <w:vAlign w:val="center"/>
                </w:tcPr>
                <w:p w14:paraId="0B045104">
                  <w:pPr>
                    <w:bidi w:val="0"/>
                    <w:rPr>
                      <w:color w:val="auto"/>
                    </w:rPr>
                  </w:pPr>
                  <w:r>
                    <w:rPr>
                      <w:rFonts w:hint="eastAsia"/>
                      <w:color w:val="auto"/>
                      <w:lang w:val="en-US" w:eastAsia="zh-CN"/>
                    </w:rPr>
                    <w:t>对照江苏省环境管控单元图，项目位于重点管控单元内，重点管控单元主要推进产业布局优化、转型升级，不断提高资源利用效率，加强污染物排放控制和环境风险防控，解决突出生态环境问题。本项目为</w:t>
                  </w:r>
                  <w:r>
                    <w:rPr>
                      <w:rFonts w:hint="default" w:ascii="Times New Roman" w:hAnsi="Times New Roman" w:eastAsia="宋体" w:cs="Times New Roman"/>
                      <w:color w:val="auto"/>
                      <w:sz w:val="21"/>
                      <w:szCs w:val="21"/>
                      <w:vertAlign w:val="baseline"/>
                      <w:lang w:val="en-US" w:eastAsia="zh-CN"/>
                    </w:rPr>
                    <w:t>锻件及粉末冶金制品制造</w:t>
                  </w:r>
                  <w:r>
                    <w:rPr>
                      <w:rFonts w:hint="eastAsia"/>
                      <w:color w:val="auto"/>
                      <w:lang w:val="en-US" w:eastAsia="zh-CN"/>
                    </w:rPr>
                    <w:t>，三废采取有效措施处理，对周边生态环境影响较小。</w:t>
                  </w:r>
                  <w:r>
                    <w:rPr>
                      <w:color w:val="auto"/>
                    </w:rPr>
                    <w:t>因此，本项目符合苏政发〔2020〕49号相关要求。</w:t>
                  </w:r>
                </w:p>
                <w:p w14:paraId="368EEF55">
                  <w:pPr>
                    <w:jc w:val="center"/>
                    <w:rPr>
                      <w:color w:val="auto"/>
                    </w:rPr>
                  </w:pPr>
                </w:p>
              </w:tc>
            </w:tr>
            <w:tr w14:paraId="7AAD48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pct"/>
                  <w:vAlign w:val="center"/>
                </w:tcPr>
                <w:p w14:paraId="6B22522B">
                  <w:pPr>
                    <w:jc w:val="center"/>
                    <w:rPr>
                      <w:color w:val="auto"/>
                    </w:rPr>
                  </w:pPr>
                  <w:r>
                    <w:rPr>
                      <w:rFonts w:hint="eastAsia"/>
                      <w:color w:val="auto"/>
                    </w:rPr>
                    <w:t>污染物排放管控</w:t>
                  </w:r>
                </w:p>
              </w:tc>
              <w:tc>
                <w:tcPr>
                  <w:tcW w:w="3243" w:type="pct"/>
                  <w:vAlign w:val="center"/>
                </w:tcPr>
                <w:p w14:paraId="7213C4DD">
                  <w:pPr>
                    <w:widowControl/>
                    <w:jc w:val="center"/>
                    <w:rPr>
                      <w:rFonts w:ascii="Times New Roman" w:hAnsi="Times New Roman" w:cs="Times New Roman"/>
                      <w:color w:val="auto"/>
                      <w:kern w:val="0"/>
                      <w:lang w:bidi="ar"/>
                    </w:rPr>
                  </w:pPr>
                  <w:r>
                    <w:rPr>
                      <w:rFonts w:ascii="Times New Roman" w:hAnsi="Times New Roman" w:cs="Times New Roman"/>
                      <w:color w:val="auto"/>
                      <w:kern w:val="0"/>
                      <w:lang w:bidi="ar"/>
                    </w:rPr>
                    <w:t>①坚持生态环境质量只能更好、不能变坏，实施污染物总量控制，以环境容量定产业、定项目、定规模，确保开发建设行为不突破生态环境承载力。</w:t>
                  </w:r>
                </w:p>
                <w:p w14:paraId="40CE1167">
                  <w:pPr>
                    <w:widowControl/>
                    <w:jc w:val="center"/>
                    <w:rPr>
                      <w:color w:val="auto"/>
                    </w:rPr>
                  </w:pPr>
                  <w:r>
                    <w:rPr>
                      <w:rFonts w:ascii="Times New Roman" w:hAnsi="Times New Roman" w:cs="Times New Roman"/>
                      <w:color w:val="auto"/>
                      <w:kern w:val="0"/>
                      <w:lang w:bidi="ar"/>
                    </w:rPr>
                    <w:t>②2020年主要污染物排放总量要求：全省</w:t>
                  </w:r>
                  <w:r>
                    <w:rPr>
                      <w:rFonts w:hint="eastAsia" w:cs="Times New Roman"/>
                      <w:color w:val="auto"/>
                      <w:kern w:val="0"/>
                      <w:lang w:eastAsia="zh-CN" w:bidi="ar"/>
                    </w:rPr>
                    <w:t>二氧化硫</w:t>
                  </w:r>
                  <w:r>
                    <w:rPr>
                      <w:rFonts w:ascii="Times New Roman" w:hAnsi="Times New Roman" w:cs="Times New Roman"/>
                      <w:color w:val="auto"/>
                      <w:kern w:val="0"/>
                      <w:lang w:bidi="ar"/>
                    </w:rPr>
                    <w:t>、氧化物、挥发性有机物、化学需氧量、氨氮、总氮、总磷排放总量分别为 66.8万吨、85.4万吨、149.6万吨、91.2万吨、11.9万吨、29.2万吨、2.7万吨。</w:t>
                  </w:r>
                </w:p>
              </w:tc>
              <w:tc>
                <w:tcPr>
                  <w:tcW w:w="997" w:type="pct"/>
                  <w:vAlign w:val="center"/>
                </w:tcPr>
                <w:p w14:paraId="10CB47B3">
                  <w:pPr>
                    <w:widowControl/>
                    <w:jc w:val="center"/>
                    <w:rPr>
                      <w:color w:val="auto"/>
                    </w:rPr>
                  </w:pPr>
                  <w:r>
                    <w:rPr>
                      <w:rFonts w:ascii="Times New Roman" w:hAnsi="Times New Roman" w:cs="Times New Roman"/>
                      <w:color w:val="auto"/>
                      <w:kern w:val="0"/>
                      <w:lang w:bidi="ar"/>
                    </w:rPr>
                    <w:t>本项目建成后将实施污染物总量控制，新增大气污染物总量能在海门区范围内平衡</w:t>
                  </w:r>
                  <w:r>
                    <w:rPr>
                      <w:rFonts w:hint="eastAsia" w:cs="Times New Roman"/>
                      <w:color w:val="auto"/>
                      <w:kern w:val="0"/>
                      <w:lang w:eastAsia="zh-CN" w:bidi="ar"/>
                    </w:rPr>
                    <w:t>。</w:t>
                  </w:r>
                  <w:r>
                    <w:rPr>
                      <w:rFonts w:hint="eastAsia" w:cs="Times New Roman"/>
                      <w:color w:val="auto"/>
                      <w:kern w:val="0"/>
                      <w:lang w:val="en-US" w:eastAsia="zh-CN" w:bidi="ar"/>
                    </w:rPr>
                    <w:t>故不会突破生态环境承</w:t>
                  </w:r>
                  <w:r>
                    <w:rPr>
                      <w:rFonts w:ascii="Times New Roman" w:hAnsi="Times New Roman" w:cs="Times New Roman"/>
                      <w:color w:val="auto"/>
                      <w:kern w:val="0"/>
                      <w:lang w:bidi="ar"/>
                    </w:rPr>
                    <w:t>载力。</w:t>
                  </w:r>
                </w:p>
              </w:tc>
            </w:tr>
            <w:tr w14:paraId="514E4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14:paraId="2F5EA228">
                  <w:pPr>
                    <w:jc w:val="center"/>
                    <w:rPr>
                      <w:color w:val="auto"/>
                    </w:rPr>
                  </w:pPr>
                  <w:r>
                    <w:rPr>
                      <w:rFonts w:hint="eastAsia"/>
                      <w:color w:val="auto"/>
                    </w:rPr>
                    <w:t>环境风险防控</w:t>
                  </w:r>
                </w:p>
              </w:tc>
              <w:tc>
                <w:tcPr>
                  <w:tcW w:w="3243" w:type="pct"/>
                  <w:vAlign w:val="center"/>
                </w:tcPr>
                <w:p w14:paraId="50C70661">
                  <w:pPr>
                    <w:widowControl/>
                    <w:jc w:val="center"/>
                    <w:rPr>
                      <w:rFonts w:ascii="Times New Roman" w:hAnsi="Times New Roman" w:cs="Times New Roman"/>
                      <w:color w:val="auto"/>
                    </w:rPr>
                  </w:pPr>
                  <w:r>
                    <w:rPr>
                      <w:rFonts w:ascii="Times New Roman" w:hAnsi="Times New Roman" w:cs="Times New Roman"/>
                      <w:color w:val="auto"/>
                      <w:kern w:val="0"/>
                      <w:lang w:bidi="ar"/>
                    </w:rPr>
                    <w:t>①强化环境事故应急管理，深化跨部门、跨区域环境应急协调联动，分区域建立环境应急物资储备库。各级工业园区（集聚区）和企业的环境应急装备和储备物资应纳入储备体系。</w:t>
                  </w:r>
                </w:p>
                <w:p w14:paraId="371AB92C">
                  <w:pPr>
                    <w:widowControl/>
                    <w:jc w:val="center"/>
                    <w:rPr>
                      <w:color w:val="auto"/>
                    </w:rPr>
                  </w:pPr>
                  <w:r>
                    <w:rPr>
                      <w:rFonts w:ascii="Times New Roman" w:hAnsi="Times New Roman" w:cs="Times New Roman"/>
                      <w:color w:val="auto"/>
                      <w:kern w:val="0"/>
                      <w:lang w:bidi="ar"/>
                    </w:rPr>
                    <w:t>②强化环境风险防控能力建设。按照统一信息平台、统一监管力度、统一应急等级、协同应急救援思路，在沿江发展带、沿海发展带、环太湖等地区构建区域性环境风险预警应急响应机制</w:t>
                  </w:r>
                  <w:r>
                    <w:rPr>
                      <w:rFonts w:hint="eastAsia" w:cs="Times New Roman"/>
                      <w:color w:val="auto"/>
                      <w:kern w:val="0"/>
                      <w:lang w:eastAsia="zh-CN" w:bidi="ar"/>
                    </w:rPr>
                    <w:t>，</w:t>
                  </w:r>
                  <w:r>
                    <w:rPr>
                      <w:rFonts w:ascii="Times New Roman" w:hAnsi="Times New Roman" w:cs="Times New Roman"/>
                      <w:color w:val="auto"/>
                      <w:kern w:val="0"/>
                      <w:lang w:bidi="ar"/>
                    </w:rPr>
                    <w:t>实施区域突发环境风险预警联防联控。</w:t>
                  </w:r>
                </w:p>
              </w:tc>
              <w:tc>
                <w:tcPr>
                  <w:tcW w:w="997" w:type="pct"/>
                  <w:vAlign w:val="center"/>
                </w:tcPr>
                <w:p w14:paraId="1F1F3096">
                  <w:pPr>
                    <w:widowControl/>
                    <w:jc w:val="center"/>
                    <w:rPr>
                      <w:color w:val="auto"/>
                    </w:rPr>
                  </w:pPr>
                  <w:r>
                    <w:rPr>
                      <w:rFonts w:ascii="Times New Roman" w:hAnsi="Times New Roman" w:cs="Times New Roman"/>
                      <w:color w:val="auto"/>
                      <w:kern w:val="0"/>
                      <w:lang w:bidi="ar"/>
                    </w:rPr>
                    <w:t>本项目建成后将制定环境风险应急预案，同时企业内储备有足够的环境应急物资，实现环境风险联防控，故能满足环境风险防控的相关要求。</w:t>
                  </w:r>
                </w:p>
              </w:tc>
            </w:tr>
            <w:tr w14:paraId="337BEB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14:paraId="4479D4EE">
                  <w:pPr>
                    <w:jc w:val="center"/>
                    <w:rPr>
                      <w:color w:val="auto"/>
                    </w:rPr>
                  </w:pPr>
                  <w:r>
                    <w:rPr>
                      <w:rFonts w:hint="eastAsia"/>
                      <w:color w:val="auto"/>
                    </w:rPr>
                    <w:t>资源利用效率要求</w:t>
                  </w:r>
                </w:p>
              </w:tc>
              <w:tc>
                <w:tcPr>
                  <w:tcW w:w="3243" w:type="pct"/>
                  <w:vAlign w:val="center"/>
                </w:tcPr>
                <w:p w14:paraId="7F30A45B">
                  <w:pPr>
                    <w:widowControl/>
                    <w:jc w:val="center"/>
                    <w:rPr>
                      <w:rFonts w:ascii="Times New Roman" w:hAnsi="Times New Roman" w:cs="Times New Roman"/>
                      <w:color w:val="auto"/>
                    </w:rPr>
                  </w:pPr>
                  <w:r>
                    <w:rPr>
                      <w:rFonts w:ascii="Times New Roman" w:hAnsi="Times New Roman" w:cs="Times New Roman"/>
                      <w:color w:val="auto"/>
                      <w:kern w:val="0"/>
                      <w:lang w:bidi="ar"/>
                    </w:rPr>
                    <w:t>①水资源利用总量及效率要求：到 2020 年，全省用水总量不得超过 524.15 亿立方米。全省万元地区生产总值用水量万元工业增加值用水量达到国家最严格水资源管理考核要求。到 2020 年，全省矿井水、洗煤废水 70%以上综合利用，高耗水行业达到先进定额标准，工业水循环利用率达到 90%。</w:t>
                  </w:r>
                </w:p>
                <w:p w14:paraId="4A9BF8D8">
                  <w:pPr>
                    <w:widowControl/>
                    <w:jc w:val="center"/>
                    <w:rPr>
                      <w:rFonts w:ascii="Times New Roman" w:hAnsi="Times New Roman" w:cs="Times New Roman"/>
                      <w:color w:val="auto"/>
                    </w:rPr>
                  </w:pPr>
                  <w:r>
                    <w:rPr>
                      <w:rFonts w:ascii="Times New Roman" w:hAnsi="Times New Roman" w:cs="Times New Roman"/>
                      <w:color w:val="auto"/>
                      <w:kern w:val="0"/>
                      <w:lang w:bidi="ar"/>
                    </w:rPr>
                    <w:t>②土地资源总量要求：到 2020 年，全省耕地保有量不低于 456.87 万</w:t>
                  </w:r>
                  <w:r>
                    <w:rPr>
                      <w:rFonts w:hint="eastAsia" w:cs="Times New Roman"/>
                      <w:color w:val="auto"/>
                      <w:kern w:val="0"/>
                      <w:lang w:eastAsia="zh-CN" w:bidi="ar"/>
                    </w:rPr>
                    <w:t>公顷</w:t>
                  </w:r>
                  <w:r>
                    <w:rPr>
                      <w:rFonts w:ascii="Times New Roman" w:hAnsi="Times New Roman" w:cs="Times New Roman"/>
                      <w:color w:val="auto"/>
                      <w:kern w:val="0"/>
                      <w:lang w:bidi="ar"/>
                    </w:rPr>
                    <w:t>，永久基本农田保护面积不低于 390.67 万公顷。</w:t>
                  </w:r>
                </w:p>
                <w:p w14:paraId="3F229AF9">
                  <w:pPr>
                    <w:widowControl/>
                    <w:jc w:val="center"/>
                    <w:rPr>
                      <w:rFonts w:ascii="Times New Roman" w:hAnsi="Times New Roman" w:cs="Times New Roman"/>
                      <w:color w:val="auto"/>
                    </w:rPr>
                  </w:pPr>
                  <w:r>
                    <w:rPr>
                      <w:rFonts w:ascii="Times New Roman" w:hAnsi="Times New Roman" w:cs="Times New Roman"/>
                      <w:color w:val="auto"/>
                      <w:kern w:val="0"/>
                      <w:lang w:bidi="ar"/>
                    </w:rPr>
                    <w:t>③禁燃区要求：在禁燃区内，禁止销售、燃用高污染燃料；禁新建、扩建燃用高污染燃料的设施，已建成的，应当在城市</w:t>
                  </w:r>
                  <w:r>
                    <w:rPr>
                      <w:rFonts w:hint="eastAsia" w:cs="Times New Roman"/>
                      <w:color w:val="auto"/>
                      <w:kern w:val="0"/>
                      <w:lang w:eastAsia="zh-CN" w:bidi="ar"/>
                    </w:rPr>
                    <w:t>人民政府</w:t>
                  </w:r>
                  <w:r>
                    <w:rPr>
                      <w:rFonts w:ascii="Times New Roman" w:hAnsi="Times New Roman" w:cs="Times New Roman"/>
                      <w:color w:val="auto"/>
                      <w:kern w:val="0"/>
                      <w:lang w:bidi="ar"/>
                    </w:rPr>
                    <w:t>规定的</w:t>
                  </w:r>
                  <w:r>
                    <w:rPr>
                      <w:rFonts w:hint="eastAsia" w:cs="Times New Roman"/>
                      <w:color w:val="auto"/>
                      <w:kern w:val="0"/>
                      <w:lang w:eastAsia="zh-CN" w:bidi="ar"/>
                    </w:rPr>
                    <w:t>期限</w:t>
                  </w:r>
                  <w:r>
                    <w:rPr>
                      <w:rFonts w:ascii="Times New Roman" w:hAnsi="Times New Roman" w:cs="Times New Roman"/>
                      <w:color w:val="auto"/>
                      <w:kern w:val="0"/>
                      <w:lang w:bidi="ar"/>
                    </w:rPr>
                    <w:t>内改用天然气、页岩气、液化石油气、电或者其他清洁能源。</w:t>
                  </w:r>
                </w:p>
              </w:tc>
              <w:tc>
                <w:tcPr>
                  <w:tcW w:w="997" w:type="pct"/>
                  <w:vAlign w:val="center"/>
                </w:tcPr>
                <w:p w14:paraId="62C1496A">
                  <w:pPr>
                    <w:widowControl/>
                    <w:jc w:val="center"/>
                    <w:rPr>
                      <w:rFonts w:ascii="Times New Roman" w:hAnsi="Times New Roman" w:cs="Times New Roman"/>
                      <w:color w:val="auto"/>
                    </w:rPr>
                  </w:pPr>
                  <w:r>
                    <w:rPr>
                      <w:rFonts w:ascii="Times New Roman" w:hAnsi="Times New Roman" w:cs="Times New Roman"/>
                      <w:color w:val="auto"/>
                      <w:kern w:val="0"/>
                      <w:lang w:bidi="ar"/>
                    </w:rPr>
                    <w:t>本项目不新增耕地、农田等用地，满足土地资源总量要求；生产过程中使用电能等，不使用高污染燃料，故符合禁燃区的相关要求。</w:t>
                  </w:r>
                </w:p>
              </w:tc>
            </w:tr>
          </w:tbl>
          <w:p w14:paraId="43BC0599">
            <w:pPr>
              <w:adjustRightInd w:val="0"/>
              <w:snapToGrid w:val="0"/>
              <w:spacing w:line="360" w:lineRule="auto"/>
              <w:ind w:firstLine="420" w:firstLineChars="200"/>
              <w:rPr>
                <w:color w:val="auto"/>
                <w:kern w:val="0"/>
              </w:rPr>
            </w:pPr>
            <w:r>
              <w:rPr>
                <w:rFonts w:hint="eastAsia"/>
                <w:color w:val="auto"/>
                <w:kern w:val="0"/>
              </w:rPr>
              <w:t>本项目的建设符合《省政府关于印发江苏省“三线一单”生态环境分区管控方案的通知》（苏政发</w:t>
            </w:r>
            <w:r>
              <w:rPr>
                <w:rFonts w:hint="eastAsia"/>
                <w:color w:val="auto"/>
                <w:kern w:val="0"/>
                <w:lang w:eastAsia="zh-CN"/>
              </w:rPr>
              <w:t>〔</w:t>
            </w:r>
            <w:r>
              <w:rPr>
                <w:color w:val="auto"/>
                <w:kern w:val="0"/>
              </w:rPr>
              <w:t>2020</w:t>
            </w:r>
            <w:r>
              <w:rPr>
                <w:rFonts w:hint="eastAsia"/>
                <w:color w:val="auto"/>
                <w:kern w:val="0"/>
                <w:lang w:eastAsia="zh-CN"/>
              </w:rPr>
              <w:t>〕</w:t>
            </w:r>
            <w:r>
              <w:rPr>
                <w:color w:val="auto"/>
                <w:kern w:val="0"/>
              </w:rPr>
              <w:t>49</w:t>
            </w:r>
            <w:r>
              <w:rPr>
                <w:rFonts w:hint="eastAsia"/>
                <w:color w:val="auto"/>
                <w:kern w:val="0"/>
              </w:rPr>
              <w:t xml:space="preserve">号）的相关要求。 </w:t>
            </w:r>
          </w:p>
          <w:p w14:paraId="29088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color w:val="auto"/>
                <w:sz w:val="21"/>
                <w:szCs w:val="21"/>
                <w:highlight w:val="none"/>
                <w:lang w:val="en-US" w:eastAsia="zh-CN"/>
              </w:rPr>
            </w:pPr>
            <w:r>
              <w:rPr>
                <w:rFonts w:hint="eastAsia"/>
                <w:color w:val="auto"/>
                <w:kern w:val="0"/>
              </w:rPr>
              <w:t>④</w:t>
            </w:r>
            <w:r>
              <w:rPr>
                <w:rFonts w:hint="default" w:ascii="Times New Roman" w:hAnsi="Times New Roman" w:cs="Times New Roman"/>
                <w:b w:val="0"/>
                <w:bCs w:val="0"/>
                <w:color w:val="auto"/>
                <w:sz w:val="21"/>
                <w:szCs w:val="21"/>
                <w:highlight w:val="none"/>
                <w:lang w:val="en-US" w:eastAsia="zh-CN"/>
              </w:rPr>
              <w:t>项目与</w:t>
            </w:r>
            <w:r>
              <w:rPr>
                <w:rFonts w:hint="default" w:ascii="Times New Roman" w:hAnsi="Times New Roman" w:cs="Times New Roman"/>
                <w:b w:val="0"/>
                <w:bCs w:val="0"/>
                <w:color w:val="auto"/>
                <w:sz w:val="21"/>
                <w:szCs w:val="21"/>
                <w:highlight w:val="none"/>
              </w:rPr>
              <w:t>《市政府办公室关于印发南通市“三线一单”生态环境分区管控实施方案的通知》（通政办规</w:t>
            </w:r>
            <w:r>
              <w:rPr>
                <w:rFonts w:hint="eastAsia"/>
                <w:color w:val="auto"/>
                <w:kern w:val="0"/>
                <w:lang w:eastAsia="zh-CN"/>
              </w:rPr>
              <w:t>〔</w:t>
            </w:r>
            <w:r>
              <w:rPr>
                <w:color w:val="auto"/>
                <w:kern w:val="0"/>
              </w:rPr>
              <w:t>202</w:t>
            </w:r>
            <w:r>
              <w:rPr>
                <w:rFonts w:hint="eastAsia"/>
                <w:color w:val="auto"/>
                <w:kern w:val="0"/>
                <w:lang w:val="en-US" w:eastAsia="zh-CN"/>
              </w:rPr>
              <w:t>1</w:t>
            </w:r>
            <w:r>
              <w:rPr>
                <w:rFonts w:hint="eastAsia"/>
                <w:color w:val="auto"/>
                <w:kern w:val="0"/>
                <w:lang w:eastAsia="zh-CN"/>
              </w:rPr>
              <w:t>〕</w:t>
            </w:r>
            <w:r>
              <w:rPr>
                <w:rFonts w:hint="default" w:ascii="Times New Roman" w:hAnsi="Times New Roman" w:cs="Times New Roman"/>
                <w:b w:val="0"/>
                <w:bCs w:val="0"/>
                <w:color w:val="auto"/>
                <w:sz w:val="21"/>
                <w:szCs w:val="21"/>
                <w:highlight w:val="none"/>
              </w:rPr>
              <w:t>4号）</w:t>
            </w:r>
            <w:r>
              <w:rPr>
                <w:rFonts w:hint="default" w:ascii="Times New Roman" w:hAnsi="Times New Roman" w:cs="Times New Roman"/>
                <w:b w:val="0"/>
                <w:bCs w:val="0"/>
                <w:color w:val="auto"/>
                <w:sz w:val="21"/>
                <w:szCs w:val="21"/>
                <w:highlight w:val="none"/>
                <w:lang w:val="en-US" w:eastAsia="zh-CN"/>
              </w:rPr>
              <w:t>相符性分析见表1-</w:t>
            </w:r>
            <w:r>
              <w:rPr>
                <w:rFonts w:hint="eastAsia" w:cs="Times New Roman"/>
                <w:b w:val="0"/>
                <w:bCs w:val="0"/>
                <w:color w:val="auto"/>
                <w:sz w:val="21"/>
                <w:szCs w:val="21"/>
                <w:highlight w:val="none"/>
                <w:lang w:val="en-US" w:eastAsia="zh-CN"/>
              </w:rPr>
              <w:t>5</w:t>
            </w:r>
            <w:r>
              <w:rPr>
                <w:rFonts w:hint="default" w:ascii="Times New Roman" w:hAnsi="Times New Roman" w:cs="Times New Roman"/>
                <w:b w:val="0"/>
                <w:bCs w:val="0"/>
                <w:color w:val="auto"/>
                <w:sz w:val="21"/>
                <w:szCs w:val="21"/>
                <w:highlight w:val="none"/>
                <w:lang w:val="en-US" w:eastAsia="zh-CN"/>
              </w:rPr>
              <w:t>。</w:t>
            </w:r>
          </w:p>
          <w:p w14:paraId="587C439E">
            <w:pPr>
              <w:spacing w:line="360" w:lineRule="auto"/>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表1-</w:t>
            </w:r>
            <w:r>
              <w:rPr>
                <w:rFonts w:hint="eastAsia"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与《市政府办公室关于印发南通市“三线一单”生态环境分区管控实施方案的通知》（通政办规</w:t>
            </w:r>
            <w:r>
              <w:rPr>
                <w:rFonts w:hint="eastAsia"/>
                <w:b/>
                <w:bCs/>
                <w:color w:val="auto"/>
                <w:kern w:val="0"/>
                <w:lang w:eastAsia="zh-CN"/>
              </w:rPr>
              <w:t>〔</w:t>
            </w:r>
            <w:r>
              <w:rPr>
                <w:b/>
                <w:bCs/>
                <w:color w:val="auto"/>
                <w:kern w:val="0"/>
              </w:rPr>
              <w:t>202</w:t>
            </w:r>
            <w:r>
              <w:rPr>
                <w:rFonts w:hint="eastAsia"/>
                <w:b/>
                <w:bCs/>
                <w:color w:val="auto"/>
                <w:kern w:val="0"/>
                <w:lang w:val="en-US" w:eastAsia="zh-CN"/>
              </w:rPr>
              <w:t>1</w:t>
            </w:r>
            <w:r>
              <w:rPr>
                <w:rFonts w:hint="eastAsia"/>
                <w:b/>
                <w:bCs/>
                <w:color w:val="auto"/>
                <w:kern w:val="0"/>
                <w:lang w:eastAsia="zh-CN"/>
              </w:rPr>
              <w:t>〕</w:t>
            </w:r>
            <w:r>
              <w:rPr>
                <w:rFonts w:hint="default" w:ascii="Times New Roman" w:hAnsi="Times New Roman" w:cs="Times New Roman"/>
                <w:b/>
                <w:bCs/>
                <w:color w:val="auto"/>
                <w:sz w:val="21"/>
                <w:szCs w:val="21"/>
                <w:highlight w:val="none"/>
              </w:rPr>
              <w:t>4号）的相符性</w:t>
            </w:r>
          </w:p>
          <w:tbl>
            <w:tblPr>
              <w:tblStyle w:val="4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414"/>
              <w:gridCol w:w="2155"/>
              <w:gridCol w:w="688"/>
            </w:tblGrid>
            <w:tr w14:paraId="040AA9A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6" w:type="pct"/>
                  <w:noWrap w:val="0"/>
                  <w:vAlign w:val="center"/>
                </w:tcPr>
                <w:p w14:paraId="017A3225">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管控类别</w:t>
                  </w:r>
                </w:p>
              </w:tc>
              <w:tc>
                <w:tcPr>
                  <w:tcW w:w="2879" w:type="pct"/>
                  <w:noWrap w:val="0"/>
                  <w:vAlign w:val="center"/>
                </w:tcPr>
                <w:p w14:paraId="305913BA">
                  <w:pPr>
                    <w:ind w:firstLine="422" w:firstLineChars="20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重点管控要求</w:t>
                  </w:r>
                </w:p>
              </w:tc>
              <w:tc>
                <w:tcPr>
                  <w:tcW w:w="1409" w:type="pct"/>
                  <w:noWrap w:val="0"/>
                  <w:vAlign w:val="center"/>
                </w:tcPr>
                <w:p w14:paraId="5D86F95A">
                  <w:pPr>
                    <w:ind w:firstLine="422" w:firstLineChars="20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本项目情况</w:t>
                  </w:r>
                </w:p>
              </w:tc>
              <w:tc>
                <w:tcPr>
                  <w:tcW w:w="455" w:type="pct"/>
                  <w:noWrap w:val="0"/>
                  <w:vAlign w:val="center"/>
                </w:tcPr>
                <w:p w14:paraId="3E58F9D4">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相符性</w:t>
                  </w:r>
                </w:p>
              </w:tc>
            </w:tr>
            <w:tr w14:paraId="2776D8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6" w:type="pct"/>
                  <w:noWrap w:val="0"/>
                  <w:vAlign w:val="center"/>
                </w:tcPr>
                <w:p w14:paraId="1D7BF211">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空间布局约束</w:t>
                  </w:r>
                </w:p>
              </w:tc>
              <w:tc>
                <w:tcPr>
                  <w:tcW w:w="2879" w:type="pct"/>
                  <w:noWrap w:val="0"/>
                  <w:vAlign w:val="center"/>
                </w:tcPr>
                <w:p w14:paraId="64EE6DB4">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1.严格执行《南通市长江经济带生态环境保护实施规划》（通政办发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18</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42号）、《南通市“两减六治三提升”专项行动实施方案》（通政办发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17</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55号）、《南通市打赢蓝天保卫战三年行动计划实施方案（2018</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2020年）》（通政发〔2018〕63号）、《南通市土壤污染防治工作方案》（通政发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17</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20号）、《南通市水污染防治工作方案》（通政发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16</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35号）等文件要求。 2.严格执行《（长江经济带发展负面清单指南）江苏省实施细则（试行）》；禁止引进列入《南通市工业结构调整指导目录》淘汰类的产业、列入《南通市工业产业技术改造负面清单》严格禁止的技术改造工艺装备及产品。 3.根据《南通市长江经济带生态环境保护实施规划》（通政办发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18</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42号），沿江地区不再新布局石化项目。禁止在长江干流自然保护区、风景名胜区等重点区域新建工业类和污染类项目</w:t>
                  </w:r>
                  <w:r>
                    <w:rPr>
                      <w:rFonts w:hint="eastAsia" w:cs="Times New Roman"/>
                      <w:color w:val="auto"/>
                      <w:sz w:val="21"/>
                      <w:szCs w:val="21"/>
                      <w:highlight w:val="none"/>
                      <w:lang w:eastAsia="zh-CN"/>
                    </w:rPr>
                    <w:t>，对</w:t>
                  </w:r>
                  <w:r>
                    <w:rPr>
                      <w:rFonts w:hint="default" w:ascii="Times New Roman" w:hAnsi="Times New Roman" w:cs="Times New Roman"/>
                      <w:color w:val="auto"/>
                      <w:sz w:val="21"/>
                      <w:szCs w:val="21"/>
                      <w:highlight w:val="none"/>
                    </w:rPr>
                    <w:t>现有高风险企业实施限期治理。自然保护区核心区及缓冲区内禁止新建码头工程，逐步拆除已有的各类生产设施以及危化品、石油类泊位。禁止向内河和江海直达船舶销售</w:t>
                  </w:r>
                  <w:r>
                    <w:rPr>
                      <w:rFonts w:hint="eastAsia" w:cs="Times New Roman"/>
                      <w:color w:val="auto"/>
                      <w:sz w:val="21"/>
                      <w:szCs w:val="21"/>
                      <w:highlight w:val="none"/>
                      <w:lang w:eastAsia="zh-CN"/>
                    </w:rPr>
                    <w:t>柴油</w:t>
                  </w:r>
                  <w:r>
                    <w:rPr>
                      <w:rFonts w:hint="default" w:ascii="Times New Roman" w:hAnsi="Times New Roman" w:cs="Times New Roman"/>
                      <w:color w:val="auto"/>
                      <w:sz w:val="21"/>
                      <w:szCs w:val="21"/>
                      <w:highlight w:val="none"/>
                    </w:rPr>
                    <w:t>、重油以及不符合标准的普通柴油，禁止海船使用不符合要求的燃油。</w:t>
                  </w:r>
                </w:p>
                <w:p w14:paraId="407F1E43">
                  <w:pPr>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4.根据《省政府关于加强全省化工园区化工集中区规范化管理的通知》（苏政发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202</w:t>
                  </w:r>
                  <w:r>
                    <w:rPr>
                      <w:rFonts w:hint="default" w:ascii="Times New Roman" w:hAnsi="Times New Roman"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94号）、《市政府关于印发南通市化工产业环保准入指导意见的通知》（通政发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14</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10号），化工园区、化工集中区处于长江干流和主要支流岸线1公里范围（以下简称沿江1公里范围）内的区域不得新建、扩建化工企业和项目（安全、环保、节能、信息化智能化、提升产品品质技术改造项目除外）。禁止建设属于国家、省和我市禁止类、淘汰类生产工艺、产品的项目。从严控制农药、传统医药、染料化工项目审批，原则上不再新上医药中间体、农药中间体、染料中间体项目（具有自主知识产权的关键中间体及高产出、低污染项目除外，分别由科技部门和环保部门认定）。沿江化工园区不再新增农药、染料化工企业。</w:t>
                  </w:r>
                </w:p>
              </w:tc>
              <w:tc>
                <w:tcPr>
                  <w:tcW w:w="1409" w:type="pct"/>
                  <w:noWrap w:val="0"/>
                  <w:vAlign w:val="center"/>
                </w:tcPr>
                <w:p w14:paraId="70B4B7A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严格执行《南通市长江经济带生态环境保护实施规划》（通政办发〔2018〕42号）、《南通市“两减六治三提升”专项行动实施方案》（通政办发〔2017〕55号）、《南通市打赢蓝天保卫战三年行动计划实施方案（2018</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2020年）》（通政发〔2018〕63号）、《南通市土壤污染防治工作方案》（通政发〔2017〕20号）、《南通市水污染防治工作方案》（通政发〔2016〕35号）等文件要求。 2.本项目严格执行《（长江经济带发展负面清单指南）江苏省实施细则（试行）》；本项目不属于《南通市工业结构调整指导目录》淘汰类的产业、不属于《南通市工业产业技术改造负面清单》严格禁止的技术改造工艺装备及产品。 3.本项目不属于石化项目，不在长江干流自然保护区、风景名胜区等重点区域内，符合《南通市长江经济带生态环境保护实施规划》（通政办发〔2018〕42号）文件要求。4.本项目不属于化工项目。</w:t>
                  </w:r>
                </w:p>
              </w:tc>
              <w:tc>
                <w:tcPr>
                  <w:tcW w:w="455" w:type="pct"/>
                  <w:noWrap w:val="0"/>
                  <w:vAlign w:val="center"/>
                </w:tcPr>
                <w:p w14:paraId="20D8E64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相符</w:t>
                  </w:r>
                </w:p>
              </w:tc>
            </w:tr>
            <w:tr w14:paraId="5B6AA5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6" w:type="pct"/>
                  <w:noWrap w:val="0"/>
                  <w:vAlign w:val="center"/>
                </w:tcPr>
                <w:p w14:paraId="25C3B473">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污染物排放管控</w:t>
                  </w:r>
                </w:p>
              </w:tc>
              <w:tc>
                <w:tcPr>
                  <w:tcW w:w="2879" w:type="pct"/>
                  <w:noWrap w:val="0"/>
                  <w:vAlign w:val="center"/>
                </w:tcPr>
                <w:p w14:paraId="593672A6">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严格落实污染物排放总量控制制度，把主要污染物排放总量指标作为建设项目环境影响评价审批的前置条件。排放主要污染物的建设项目，在环境影响评价文件（以下简称环评文件）审批前，须取得主要污染物排放总量指标。2.用于建设项目的“可替代总量指标”不得低于建设项目所需替代的主要污染物排放总量指标。上一年度环境空气质量年平均浓度不达标的地区、水环境质量未达到要求的地区，相关污染物应按照建设项目所需替代的主要污染物排放总量指标的2倍进行削减替代（燃煤发电机组大气污染物排放浓度基本达到燃气轮机组排放限值的除外）；细颗粒物（PM</w:t>
                  </w:r>
                  <w:r>
                    <w:rPr>
                      <w:rFonts w:hint="default" w:ascii="Times New Roman" w:hAnsi="Times New Roman" w:cs="Times New Roman"/>
                      <w:color w:val="auto"/>
                      <w:sz w:val="21"/>
                      <w:szCs w:val="21"/>
                      <w:highlight w:val="none"/>
                      <w:vertAlign w:val="subscript"/>
                    </w:rPr>
                    <w:t>2.5</w:t>
                  </w:r>
                  <w:r>
                    <w:rPr>
                      <w:rFonts w:hint="default" w:ascii="Times New Roman" w:hAnsi="Times New Roman" w:cs="Times New Roman"/>
                      <w:color w:val="auto"/>
                      <w:sz w:val="21"/>
                      <w:szCs w:val="21"/>
                      <w:highlight w:val="none"/>
                    </w:rPr>
                    <w:t>）年平均浓度不达标的地区，二氧化硫、氮氧化物、烟粉尘、挥发性有机物四项污染物均需进行2倍削减替代（燃煤发电机组大气污染物排放浓度基本达到燃气轮机组排放限值的除外）。3.落实《省政府办公厅关于印发江苏省排污权有偿使用和交易管理暂行办法的通知》（苏政办发</w:t>
                  </w:r>
                  <w:r>
                    <w:rPr>
                      <w:rFonts w:hint="eastAsia" w:cs="Times New Roman"/>
                      <w:color w:val="auto"/>
                      <w:sz w:val="21"/>
                      <w:szCs w:val="21"/>
                      <w:highlight w:val="none"/>
                      <w:lang w:val="en-US"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17</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115号）及配套的实施细则中，关于新、改扩建项目获得排污权指标的相关要求。</w:t>
                  </w:r>
                </w:p>
              </w:tc>
              <w:tc>
                <w:tcPr>
                  <w:tcW w:w="1409" w:type="pct"/>
                  <w:noWrap w:val="0"/>
                  <w:vAlign w:val="center"/>
                </w:tcPr>
                <w:p w14:paraId="2EFDC5B3">
                  <w:pPr>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kern w:val="0"/>
                      <w:lang w:bidi="ar"/>
                    </w:rPr>
                    <w:t>本项目建成后将实施污染物总量控制，新增大气污染物总量能在海门区范围内平衡</w:t>
                  </w:r>
                  <w:r>
                    <w:rPr>
                      <w:rFonts w:hint="eastAsia" w:cs="Times New Roman"/>
                      <w:color w:val="auto"/>
                      <w:kern w:val="0"/>
                      <w:lang w:eastAsia="zh-CN" w:bidi="ar"/>
                    </w:rPr>
                    <w:t>。</w:t>
                  </w:r>
                  <w:r>
                    <w:rPr>
                      <w:rFonts w:hint="eastAsia" w:cs="Times New Roman"/>
                      <w:color w:val="auto"/>
                      <w:kern w:val="0"/>
                      <w:lang w:val="en-US" w:eastAsia="zh-CN" w:bidi="ar"/>
                    </w:rPr>
                    <w:t>故不会突破生态环境承</w:t>
                  </w:r>
                  <w:r>
                    <w:rPr>
                      <w:rFonts w:ascii="Times New Roman" w:hAnsi="Times New Roman" w:cs="Times New Roman"/>
                      <w:color w:val="auto"/>
                      <w:kern w:val="0"/>
                      <w:lang w:bidi="ar"/>
                    </w:rPr>
                    <w:t>载力。</w:t>
                  </w:r>
                  <w:r>
                    <w:rPr>
                      <w:rFonts w:hint="default" w:ascii="Times New Roman" w:hAnsi="Times New Roman" w:cs="Times New Roman"/>
                      <w:color w:val="auto"/>
                      <w:sz w:val="21"/>
                      <w:szCs w:val="21"/>
                      <w:highlight w:val="none"/>
                      <w:lang w:val="en-US" w:eastAsia="zh-CN"/>
                    </w:rPr>
                    <w:t xml:space="preserve"> </w:t>
                  </w:r>
                </w:p>
              </w:tc>
              <w:tc>
                <w:tcPr>
                  <w:tcW w:w="455" w:type="pct"/>
                  <w:noWrap w:val="0"/>
                  <w:vAlign w:val="center"/>
                </w:tcPr>
                <w:p w14:paraId="00C0A65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相符</w:t>
                  </w:r>
                </w:p>
              </w:tc>
            </w:tr>
            <w:tr w14:paraId="6FE95E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6" w:type="pct"/>
                  <w:noWrap w:val="0"/>
                  <w:vAlign w:val="center"/>
                </w:tcPr>
                <w:p w14:paraId="051CCB67">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环境风险防控</w:t>
                  </w:r>
                </w:p>
              </w:tc>
              <w:tc>
                <w:tcPr>
                  <w:tcW w:w="2879" w:type="pct"/>
                  <w:noWrap w:val="0"/>
                  <w:vAlign w:val="center"/>
                </w:tcPr>
                <w:p w14:paraId="6A665E89">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1.落实《南通市突发环境事件应急预案（2020年修订版）》（通政办发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202</w:t>
                  </w:r>
                  <w:r>
                    <w:rPr>
                      <w:rFonts w:hint="default" w:ascii="Times New Roman" w:hAnsi="Times New Roman"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46号）。</w:t>
                  </w:r>
                </w:p>
                <w:p w14:paraId="228B436C">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2.根据《南通市化工产业安全环保整治提升三年行动计划（2019</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2021年）》（通政办发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19</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102号），保留提升的化工生产企业必须</w:t>
                  </w:r>
                  <w:r>
                    <w:rPr>
                      <w:rFonts w:hint="eastAsia" w:cs="Times New Roman"/>
                      <w:color w:val="auto"/>
                      <w:sz w:val="21"/>
                      <w:szCs w:val="21"/>
                      <w:highlight w:val="none"/>
                      <w:lang w:eastAsia="zh-CN"/>
                    </w:rPr>
                    <w:t>制定</w:t>
                  </w:r>
                  <w:r>
                    <w:rPr>
                      <w:rFonts w:hint="default" w:ascii="Times New Roman" w:hAnsi="Times New Roman" w:cs="Times New Roman"/>
                      <w:color w:val="auto"/>
                      <w:sz w:val="21"/>
                      <w:szCs w:val="21"/>
                      <w:highlight w:val="none"/>
                    </w:rPr>
                    <w:t>整治提升实施方案。严格危险废物处置管理。企业须在环评报告中准确全面评价固体废物的种类、数量、属性及产生、贮存、利用或处置情况。在安评报告中对固体废物贮存、利用处置环节进行安全性评价，并按标准规范设计、建造或改建贮存、利用处置危险废物的设施设备。生产企业应按照相关管理要求申报、处置废弃危险化学品。强化对危险废物的收集、贮存和处置的监督管理，实现危险废物监管无盲区、无死角。3.根据《关于加快全省化工钢铁煤电行业转型升级高质量发展的实施意见》（苏办发</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18</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32号），钢铁行业企业总平面布置必须符合国家规范要求，有较大变更的必须进行安全风险分析和评估论证。企业必须按规定设计、设置和运行自动控制系统，按规定实施全流程自动控制改造，有条件的鼓励创建智能工厂（装置）。企业涉及重大危险源的设施设备与周边重要公共建筑安全距离须符合国家相关标准要求。坚决淘汰超期服役的高风险设备和设施。</w:t>
                  </w:r>
                </w:p>
              </w:tc>
              <w:tc>
                <w:tcPr>
                  <w:tcW w:w="1409" w:type="pct"/>
                  <w:noWrap w:val="0"/>
                  <w:vAlign w:val="center"/>
                </w:tcPr>
                <w:p w14:paraId="52A1D89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1.本环评要求企业落实应急预案。2.在本次环评报告中全面评价固体废物的种类、属性及产生、贮存、利用或处置情况。</w:t>
                  </w:r>
                </w:p>
              </w:tc>
              <w:tc>
                <w:tcPr>
                  <w:tcW w:w="455" w:type="pct"/>
                  <w:noWrap w:val="0"/>
                  <w:vAlign w:val="center"/>
                </w:tcPr>
                <w:p w14:paraId="724B2E1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相符</w:t>
                  </w:r>
                </w:p>
              </w:tc>
            </w:tr>
            <w:tr w14:paraId="4B8BA5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6" w:type="pct"/>
                  <w:noWrap w:val="0"/>
                  <w:vAlign w:val="center"/>
                </w:tcPr>
                <w:p w14:paraId="1DF515EC">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资源利用效率要求</w:t>
                  </w:r>
                </w:p>
              </w:tc>
              <w:tc>
                <w:tcPr>
                  <w:tcW w:w="2879" w:type="pct"/>
                  <w:noWrap w:val="0"/>
                  <w:vAlign w:val="center"/>
                </w:tcPr>
                <w:p w14:paraId="461A6E02">
                  <w:pPr>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根据《中华人民共和国大气污染防治法》，禁燃区禁止新建、扩建燃用高污染燃料的项目和设施，已建成的应逐步或依法限期改用天然气、电或者其他清洁能源。2.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3.严格控制地下水开采。落实《江苏省地下水超采区划分方案》（苏政复</w:t>
                  </w:r>
                  <w:r>
                    <w:rPr>
                      <w:rFonts w:hint="eastAsia"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13</w:t>
                  </w:r>
                  <w:r>
                    <w:rPr>
                      <w:rFonts w:hint="eastAsia" w:cs="Times New Roman"/>
                      <w:b w:val="0"/>
                      <w:bCs w:val="0"/>
                      <w:color w:val="auto"/>
                      <w:sz w:val="21"/>
                      <w:szCs w:val="21"/>
                      <w:highlight w:val="none"/>
                      <w:lang w:val="en-US" w:eastAsia="zh-CN"/>
                    </w:rPr>
                    <w:t>〕</w:t>
                  </w:r>
                  <w:r>
                    <w:rPr>
                      <w:rFonts w:hint="default" w:ascii="Times New Roman" w:hAnsi="Times New Roman" w:cs="Times New Roman"/>
                      <w:color w:val="auto"/>
                      <w:sz w:val="21"/>
                      <w:szCs w:val="21"/>
                      <w:highlight w:val="none"/>
                    </w:rPr>
                    <w:t>59号），在海门区的海门城区、三厂、常乐等乡镇共计136.9平方公里，实施地下水禁采；在如东县的掘港及马塘、岔河、洋口、丰利等乡镇，海门区除三阳、海永外的大部分地区，启东市的汇龙、吕四、北新等乡镇，通州区的东社镇、二甲镇，通州湾的三余镇等地2095.8平方公里，实施地下水限采。</w:t>
                  </w:r>
                </w:p>
              </w:tc>
              <w:tc>
                <w:tcPr>
                  <w:tcW w:w="1409" w:type="pct"/>
                  <w:noWrap w:val="0"/>
                  <w:vAlign w:val="center"/>
                </w:tcPr>
                <w:p w14:paraId="69B00A8B">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1.本项目不使用高污染燃料。2.本项目不属于化工项目，也不属于钢铁行业。3.本项目不使用地下水。</w:t>
                  </w:r>
                </w:p>
              </w:tc>
              <w:tc>
                <w:tcPr>
                  <w:tcW w:w="455" w:type="pct"/>
                  <w:noWrap w:val="0"/>
                  <w:vAlign w:val="center"/>
                </w:tcPr>
                <w:p w14:paraId="2CDF2A1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相符</w:t>
                  </w:r>
                </w:p>
              </w:tc>
            </w:tr>
          </w:tbl>
          <w:p w14:paraId="2B5D5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color w:val="auto"/>
                <w:sz w:val="21"/>
                <w:szCs w:val="21"/>
                <w:highlight w:val="none"/>
                <w:lang w:val="en-US" w:eastAsia="zh-CN"/>
              </w:rPr>
            </w:pPr>
            <w:r>
              <w:rPr>
                <w:rFonts w:hint="eastAsia"/>
                <w:color w:val="auto"/>
                <w:kern w:val="0"/>
              </w:rPr>
              <w:t>⑤本项目与《南通市</w:t>
            </w:r>
            <w:r>
              <w:rPr>
                <w:rFonts w:hint="eastAsia"/>
                <w:color w:val="auto"/>
                <w:kern w:val="0"/>
                <w:lang w:val="en-US" w:eastAsia="zh-CN"/>
              </w:rPr>
              <w:t>海门区</w:t>
            </w:r>
            <w:r>
              <w:rPr>
                <w:rFonts w:hint="eastAsia"/>
                <w:color w:val="auto"/>
                <w:kern w:val="0"/>
              </w:rPr>
              <w:t>“三线一单”生态环境分区管控实施方案的通知》（</w:t>
            </w:r>
            <w:r>
              <w:rPr>
                <w:rFonts w:hint="eastAsia"/>
                <w:color w:val="auto"/>
                <w:kern w:val="0"/>
                <w:lang w:val="en-US" w:eastAsia="zh-CN"/>
              </w:rPr>
              <w:t>海政办发〔</w:t>
            </w:r>
            <w:r>
              <w:rPr>
                <w:color w:val="auto"/>
                <w:kern w:val="0"/>
              </w:rPr>
              <w:t>2021</w:t>
            </w:r>
            <w:r>
              <w:rPr>
                <w:rFonts w:hint="eastAsia"/>
                <w:color w:val="auto"/>
                <w:kern w:val="0"/>
                <w:lang w:eastAsia="zh-CN"/>
              </w:rPr>
              <w:t>〕</w:t>
            </w:r>
            <w:r>
              <w:rPr>
                <w:rFonts w:hint="eastAsia"/>
                <w:color w:val="auto"/>
                <w:kern w:val="0"/>
                <w:lang w:val="en-US" w:eastAsia="zh-CN"/>
              </w:rPr>
              <w:t>85</w:t>
            </w:r>
            <w:r>
              <w:rPr>
                <w:rFonts w:hint="eastAsia"/>
                <w:color w:val="auto"/>
                <w:kern w:val="0"/>
              </w:rPr>
              <w:t>号）相符性分析如下：</w:t>
            </w:r>
          </w:p>
          <w:p w14:paraId="5A530FC3">
            <w:pPr>
              <w:spacing w:line="360" w:lineRule="auto"/>
              <w:ind w:firstLine="422" w:firstLineChars="20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表1-</w:t>
            </w:r>
            <w:r>
              <w:rPr>
                <w:rFonts w:hint="eastAsia" w:cs="Times New Roman"/>
                <w:b/>
                <w:bCs/>
                <w:color w:val="auto"/>
                <w:sz w:val="21"/>
                <w:szCs w:val="21"/>
                <w:highlight w:val="none"/>
                <w:lang w:val="en-US" w:eastAsia="zh-CN"/>
              </w:rPr>
              <w:t>4</w:t>
            </w:r>
            <w:r>
              <w:rPr>
                <w:rFonts w:hint="default" w:ascii="Times New Roman" w:hAnsi="Times New Roman" w:cs="Times New Roman"/>
                <w:b/>
                <w:bCs/>
                <w:color w:val="auto"/>
                <w:sz w:val="21"/>
                <w:szCs w:val="21"/>
                <w:highlight w:val="none"/>
              </w:rPr>
              <w:t xml:space="preserve">  </w:t>
            </w:r>
            <w:r>
              <w:rPr>
                <w:b/>
                <w:color w:val="auto"/>
              </w:rPr>
              <w:t>与</w:t>
            </w:r>
            <w:r>
              <w:rPr>
                <w:rFonts w:hint="eastAsia"/>
                <w:b/>
                <w:color w:val="auto"/>
                <w:lang w:val="en-US" w:eastAsia="zh-CN"/>
              </w:rPr>
              <w:t>海门区</w:t>
            </w:r>
            <w:r>
              <w:rPr>
                <w:rFonts w:hint="eastAsia"/>
                <w:b/>
                <w:color w:val="auto"/>
              </w:rPr>
              <w:t>“三线一单”生态环境分区管控方案</w:t>
            </w:r>
            <w:r>
              <w:rPr>
                <w:b/>
                <w:color w:val="auto"/>
              </w:rPr>
              <w:t>相符性分析</w:t>
            </w:r>
          </w:p>
          <w:tbl>
            <w:tblPr>
              <w:tblStyle w:val="4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035"/>
              <w:gridCol w:w="1856"/>
            </w:tblGrid>
            <w:tr w14:paraId="322DD6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086404C7">
                  <w:pPr>
                    <w:jc w:val="center"/>
                    <w:rPr>
                      <w:color w:val="auto"/>
                    </w:rPr>
                  </w:pPr>
                  <w:r>
                    <w:rPr>
                      <w:rFonts w:hint="eastAsia"/>
                      <w:color w:val="auto"/>
                    </w:rPr>
                    <w:t>管控类别</w:t>
                  </w:r>
                </w:p>
              </w:tc>
              <w:tc>
                <w:tcPr>
                  <w:tcW w:w="3275" w:type="pct"/>
                  <w:vAlign w:val="center"/>
                </w:tcPr>
                <w:p w14:paraId="4A0F233F">
                  <w:pPr>
                    <w:spacing w:line="400" w:lineRule="exact"/>
                    <w:jc w:val="center"/>
                    <w:rPr>
                      <w:color w:val="auto"/>
                    </w:rPr>
                  </w:pPr>
                  <w:r>
                    <w:rPr>
                      <w:rFonts w:hint="eastAsia"/>
                      <w:color w:val="auto"/>
                    </w:rPr>
                    <w:t>重点管控要求</w:t>
                  </w:r>
                </w:p>
              </w:tc>
              <w:tc>
                <w:tcPr>
                  <w:tcW w:w="1207" w:type="pct"/>
                  <w:vAlign w:val="center"/>
                </w:tcPr>
                <w:p w14:paraId="7C510D3D">
                  <w:pPr>
                    <w:spacing w:line="400" w:lineRule="exact"/>
                    <w:jc w:val="center"/>
                    <w:rPr>
                      <w:color w:val="auto"/>
                    </w:rPr>
                  </w:pPr>
                  <w:r>
                    <w:rPr>
                      <w:color w:val="auto"/>
                    </w:rPr>
                    <w:t>相符性分析</w:t>
                  </w:r>
                </w:p>
              </w:tc>
            </w:tr>
            <w:tr w14:paraId="25A1A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79481437">
                  <w:pPr>
                    <w:jc w:val="center"/>
                    <w:rPr>
                      <w:color w:val="auto"/>
                    </w:rPr>
                  </w:pPr>
                  <w:r>
                    <w:rPr>
                      <w:rFonts w:hint="eastAsia"/>
                      <w:color w:val="auto"/>
                    </w:rPr>
                    <w:t>空间布局约束</w:t>
                  </w:r>
                </w:p>
              </w:tc>
              <w:tc>
                <w:tcPr>
                  <w:tcW w:w="3275" w:type="pct"/>
                  <w:vAlign w:val="center"/>
                </w:tcPr>
                <w:p w14:paraId="26A413F1">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1. 严格执行《江苏省“三线一单”生态环境分区管控方案 》、《南通市“三线一单”生态环境分区管控实施方案》等文件中总体准入管控的相关要求。</w:t>
                  </w:r>
                </w:p>
                <w:p w14:paraId="0A5B16DF">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2. 按照《省政府关于印发江苏省生态空间管控区域规划的通知》、《省政府办公厅关于印发江苏省生态空间管控区域调整管理办法的通知》、《省政府办公厅关于印发江苏省生态空间管控区域监督管理办法的通知》，生态空间管控区域一经划定，任何单位和个人不得擅自占用。落实生态红线管控刚性要求。严格落实国家生态保护红线、省级生态空间管控区域要求，加强生态空间保护区域执法监管，确保生态功能不降低、面积不减少、性质不改变。</w:t>
                  </w:r>
                </w:p>
                <w:p w14:paraId="2683BA12">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3. 根据《南通市海门区国民经济和社会发展第十四个五年规划和二〇三五年远景目标纲要》，海门区重点围绕高端家纺、现代建筑、先进装备制造三大现有千亿级产业提升和新材料、生物医药、新一代信息技术三大新兴千亿级产业培育，强化产业链、创新链、价值链三链一体协同发展，形成“一城两港六组团”空间格局。</w:t>
                  </w:r>
                </w:p>
                <w:p w14:paraId="2082D148">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4. 严格执行《〈长江经济带负面清单指南〉江苏省实施细则（试行）》和《南通市长江经济带生态环境保护实施规划》等，青龙化工区、灵甸化工区已取消化工定位，加快推进沿江 1km 范围内化工企业关停、转型海门区长江干流和主要支流岸线 1 公里范围内的区域不得新建、扩建化工企业和项目。</w:t>
                  </w:r>
                </w:p>
                <w:p w14:paraId="3815DA36">
                  <w:pPr>
                    <w:widowControl/>
                    <w:jc w:val="center"/>
                    <w:rPr>
                      <w:color w:val="auto"/>
                    </w:rPr>
                  </w:pPr>
                  <w:r>
                    <w:rPr>
                      <w:rFonts w:hint="default" w:ascii="Times New Roman" w:hAnsi="Times New Roman" w:cs="Times New Roman" w:eastAsiaTheme="minorEastAsia"/>
                      <w:snapToGrid w:val="0"/>
                      <w:color w:val="auto"/>
                      <w:kern w:val="0"/>
                    </w:rPr>
                    <w:t>5. 落实《南通市关于加大污染减排力度推进重点行业绿色发展的指导意见》《海门区重点行业转型升级和绿色发展工作方案》，严格涉重项目环境准入，落实纺织印染、装备制造、电子信息、船舶海工、非金属矿物制品、生物医药等行业准入要求。</w:t>
                  </w:r>
                </w:p>
              </w:tc>
              <w:tc>
                <w:tcPr>
                  <w:tcW w:w="1207" w:type="pct"/>
                  <w:vAlign w:val="center"/>
                </w:tcPr>
                <w:p w14:paraId="79F6DAC0">
                  <w:pPr>
                    <w:widowControl/>
                    <w:jc w:val="center"/>
                    <w:rPr>
                      <w:color w:val="auto"/>
                    </w:rPr>
                  </w:pPr>
                  <w:r>
                    <w:rPr>
                      <w:rFonts w:ascii="Times New Roman" w:hAnsi="Times New Roman" w:cs="Times New Roman"/>
                      <w:color w:val="auto"/>
                      <w:kern w:val="0"/>
                      <w:lang w:bidi="ar"/>
                    </w:rPr>
                    <w:t>本项目不属于淘汰类、禁止类产业，不涉及禁止的技术改造工艺装备及产品；本项目不属于石化项目，不在保护区内。因此，本项目符合</w:t>
                  </w:r>
                  <w:r>
                    <w:rPr>
                      <w:rFonts w:hint="eastAsia"/>
                      <w:color w:val="auto"/>
                      <w:kern w:val="0"/>
                      <w:lang w:val="en-US" w:eastAsia="zh-CN"/>
                    </w:rPr>
                    <w:t>海政办发〔</w:t>
                  </w:r>
                  <w:r>
                    <w:rPr>
                      <w:color w:val="auto"/>
                      <w:kern w:val="0"/>
                    </w:rPr>
                    <w:t>2021</w:t>
                  </w:r>
                  <w:r>
                    <w:rPr>
                      <w:rFonts w:hint="eastAsia"/>
                      <w:color w:val="auto"/>
                      <w:kern w:val="0"/>
                      <w:lang w:eastAsia="zh-CN"/>
                    </w:rPr>
                    <w:t>〕</w:t>
                  </w:r>
                  <w:r>
                    <w:rPr>
                      <w:rFonts w:hint="eastAsia"/>
                      <w:color w:val="auto"/>
                      <w:kern w:val="0"/>
                      <w:lang w:val="en-US" w:eastAsia="zh-CN"/>
                    </w:rPr>
                    <w:t>85</w:t>
                  </w:r>
                  <w:r>
                    <w:rPr>
                      <w:rFonts w:hint="eastAsia"/>
                      <w:color w:val="auto"/>
                      <w:kern w:val="0"/>
                    </w:rPr>
                    <w:t>号</w:t>
                  </w:r>
                  <w:r>
                    <w:rPr>
                      <w:rFonts w:ascii="Times New Roman" w:hAnsi="Times New Roman" w:cs="Times New Roman"/>
                      <w:color w:val="auto"/>
                      <w:kern w:val="0"/>
                      <w:lang w:bidi="ar"/>
                    </w:rPr>
                    <w:t>相关要求。</w:t>
                  </w:r>
                </w:p>
              </w:tc>
            </w:tr>
            <w:tr w14:paraId="79DE05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51429627">
                  <w:pPr>
                    <w:jc w:val="center"/>
                    <w:rPr>
                      <w:color w:val="auto"/>
                    </w:rPr>
                  </w:pPr>
                  <w:r>
                    <w:rPr>
                      <w:rFonts w:hint="eastAsia"/>
                      <w:color w:val="auto"/>
                    </w:rPr>
                    <w:t>污染物排放管控</w:t>
                  </w:r>
                </w:p>
              </w:tc>
              <w:tc>
                <w:tcPr>
                  <w:tcW w:w="3275" w:type="pct"/>
                  <w:vAlign w:val="center"/>
                </w:tcPr>
                <w:p w14:paraId="3B046DEA">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1. 加速碳排放达峰和空气质量达标“双达”进程，落实达峰和减排措施，实行碳排放总量和强度双重目标控制机制。单位GDP二氧化碳排放下降率完成市级下达任务。</w:t>
                  </w:r>
                </w:p>
                <w:p w14:paraId="23CF5616">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2. 落实《关于印发江苏省工业园区（集中区）污染物排放限值限量管理工作方案（试行）的通知》，实施工业园区生态环境限值限量管理，严控高能耗高排放、严禁高污染不安全项目落地，完善工业园区主要污染物排放总量控制措施，实现主要污染物排放浓度和总量“双控”。</w:t>
                  </w:r>
                </w:p>
                <w:p w14:paraId="5F986DF8">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3. 严格执行《关于加强高耗能、高排放建设项目生态环境源头防控的指导意见》，严把建设项目环境准入关，落实区域削减要求。</w:t>
                  </w:r>
                </w:p>
                <w:p w14:paraId="4A2B99A5">
                  <w:pPr>
                    <w:widowControl/>
                    <w:spacing w:line="240" w:lineRule="auto"/>
                    <w:jc w:val="center"/>
                    <w:rPr>
                      <w:color w:val="auto"/>
                    </w:rPr>
                  </w:pPr>
                  <w:r>
                    <w:rPr>
                      <w:rFonts w:hint="default" w:ascii="Times New Roman" w:hAnsi="Times New Roman" w:cs="Times New Roman" w:eastAsiaTheme="minorEastAsia"/>
                      <w:snapToGrid w:val="0"/>
                      <w:color w:val="auto"/>
                      <w:kern w:val="0"/>
                    </w:rPr>
                    <w:t>4. 2025年污染物排放总量以“十四五”规划约束性目标为准。</w:t>
                  </w:r>
                </w:p>
              </w:tc>
              <w:tc>
                <w:tcPr>
                  <w:tcW w:w="1207" w:type="pct"/>
                  <w:vAlign w:val="center"/>
                </w:tcPr>
                <w:p w14:paraId="6B1E1155">
                  <w:pPr>
                    <w:widowControl/>
                    <w:jc w:val="center"/>
                    <w:rPr>
                      <w:color w:val="auto"/>
                    </w:rPr>
                  </w:pPr>
                  <w:r>
                    <w:rPr>
                      <w:rFonts w:ascii="Times New Roman" w:hAnsi="Times New Roman" w:cs="Times New Roman"/>
                      <w:color w:val="auto"/>
                      <w:kern w:val="0"/>
                      <w:lang w:bidi="ar"/>
                    </w:rPr>
                    <w:t>本项目建成后将实施污染物总量控制，新增大气污染物总量能在海门区范围内平衡。</w:t>
                  </w:r>
                </w:p>
              </w:tc>
            </w:tr>
            <w:tr w14:paraId="43B634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6DC8DA15">
                  <w:pPr>
                    <w:jc w:val="center"/>
                    <w:rPr>
                      <w:color w:val="auto"/>
                    </w:rPr>
                  </w:pPr>
                  <w:r>
                    <w:rPr>
                      <w:rFonts w:hint="eastAsia"/>
                      <w:color w:val="auto"/>
                    </w:rPr>
                    <w:t>环境风险防控</w:t>
                  </w:r>
                </w:p>
              </w:tc>
              <w:tc>
                <w:tcPr>
                  <w:tcW w:w="3275" w:type="pct"/>
                  <w:vAlign w:val="center"/>
                </w:tcPr>
                <w:p w14:paraId="498DF0C5">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1. 落实《南通市海门区突发事件总体应急预案》《海门区突发环境事件应急预案（2020年修订版）》《海门区集中式饮用水源突发污染事件应急预案（2020年修订版）》等文件要求，建立健全环境风险防范体系，强化环境事故应急管理，防范化解重大风险。</w:t>
                  </w:r>
                </w:p>
                <w:p w14:paraId="4B53E5BA">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2. 根据《海门市污染地块环境管理联动实施方案》，落实地块属地政府管理责任，实行联动监管。加强污染地块环境风险防控，有效保障建设用地土壤环境安全。</w:t>
                  </w:r>
                </w:p>
                <w:p w14:paraId="5CAEF34F">
                  <w:pPr>
                    <w:widowControl/>
                    <w:spacing w:line="240" w:lineRule="auto"/>
                    <w:jc w:val="center"/>
                    <w:rPr>
                      <w:color w:val="auto"/>
                    </w:rPr>
                  </w:pPr>
                  <w:r>
                    <w:rPr>
                      <w:rFonts w:hint="default" w:ascii="Times New Roman" w:hAnsi="Times New Roman" w:cs="Times New Roman" w:eastAsiaTheme="minorEastAsia"/>
                      <w:snapToGrid w:val="0"/>
                      <w:color w:val="auto"/>
                      <w:kern w:val="0"/>
                    </w:rPr>
                    <w:t>3. 根据《海门市重污染天气应急预案（2020年修订版）》，加强空气质量监测和大气污染源监控，建立重污染天气风险防范体系，积极预警、及时控制、消除隐患，提高应急处置能力，尽可能减轻重污染天气造成的影响和损失，最大程度地保障大气环境安全。</w:t>
                  </w:r>
                </w:p>
              </w:tc>
              <w:tc>
                <w:tcPr>
                  <w:tcW w:w="1207" w:type="pct"/>
                  <w:vAlign w:val="center"/>
                </w:tcPr>
                <w:p w14:paraId="4DDBDB46">
                  <w:pPr>
                    <w:widowControl/>
                    <w:jc w:val="center"/>
                    <w:rPr>
                      <w:color w:val="auto"/>
                    </w:rPr>
                  </w:pPr>
                  <w:r>
                    <w:rPr>
                      <w:rFonts w:ascii="Times New Roman" w:hAnsi="Times New Roman" w:cs="Times New Roman"/>
                      <w:color w:val="auto"/>
                      <w:kern w:val="0"/>
                      <w:lang w:bidi="ar"/>
                    </w:rPr>
                    <w:t>本项目建成后将制定环境风险应急预案，同时企业内储备有足够的环境应急物资，实现环境风险联防控，故能满足环境风险防控的相关要求。</w:t>
                  </w:r>
                </w:p>
              </w:tc>
            </w:tr>
            <w:tr w14:paraId="712D2F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4E75418B">
                  <w:pPr>
                    <w:jc w:val="center"/>
                    <w:rPr>
                      <w:color w:val="auto"/>
                    </w:rPr>
                  </w:pPr>
                  <w:r>
                    <w:rPr>
                      <w:rFonts w:hint="eastAsia"/>
                      <w:color w:val="auto"/>
                    </w:rPr>
                    <w:t>资源利用效率要求</w:t>
                  </w:r>
                </w:p>
              </w:tc>
              <w:tc>
                <w:tcPr>
                  <w:tcW w:w="3275" w:type="pct"/>
                  <w:vAlign w:val="center"/>
                </w:tcPr>
                <w:p w14:paraId="3E4E0F5A">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1. 到2025年，</w:t>
                  </w:r>
                  <w:bookmarkStart w:id="2" w:name="_Hlk90020885"/>
                  <w:r>
                    <w:rPr>
                      <w:rFonts w:hint="default" w:ascii="Times New Roman" w:hAnsi="Times New Roman" w:cs="Times New Roman" w:eastAsiaTheme="minorEastAsia"/>
                      <w:snapToGrid w:val="0"/>
                      <w:color w:val="auto"/>
                      <w:kern w:val="0"/>
                    </w:rPr>
                    <w:t>海门区用水总量控制在3.1亿立方米以内，单位地区生产总值用水量控制在16立方米内；燃煤总量控制在30万吨以内，其中非电行业燃煤量为0（不计中天钢铁项目）。单位地区生产总值能耗控制在0.2tce/万元以下。</w:t>
                  </w:r>
                </w:p>
                <w:p w14:paraId="03BEC25B">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 xml:space="preserve">2. </w:t>
                  </w:r>
                  <w:bookmarkEnd w:id="2"/>
                  <w:r>
                    <w:rPr>
                      <w:rFonts w:hint="default" w:ascii="Times New Roman" w:hAnsi="Times New Roman" w:cs="Times New Roman" w:eastAsiaTheme="minorEastAsia"/>
                      <w:snapToGrid w:val="0"/>
                      <w:color w:val="auto"/>
                      <w:kern w:val="0"/>
                    </w:rPr>
                    <w:t>落实《关于强化节能审查工作和监督管理坚决遏制“两高”项目盲目发展的通知》，“两高”项目要坚决落实能效水平和能耗减量替代要求，能效水平须达到国内领先、国际先进，能效水平不满足要求和未落实能耗减量替代的，一律不得出具节能审查意见。</w:t>
                  </w:r>
                </w:p>
                <w:p w14:paraId="0CAD59AD">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3. 根据《海门市政府关于划定高污染燃料禁燃区的通告》，海门经济技术开发区、三厂工业园区、海门工业园区、海永镇范围内除现有热电企业、集中供热企业及规划建设的火电、热电联产项目外，全部为Ⅲ类燃料禁燃区；其他行政区域内为Ⅱ类燃料禁燃区，分区域执行相关文件管理要求。</w:t>
                  </w:r>
                </w:p>
                <w:p w14:paraId="2CF2AEF4">
                  <w:pPr>
                    <w:autoSpaceDE w:val="0"/>
                    <w:autoSpaceDN w:val="0"/>
                    <w:adjustRightInd w:val="0"/>
                    <w:snapToGrid w:val="0"/>
                    <w:spacing w:line="240" w:lineRule="auto"/>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4. 实施最严格海洋资源管理和海洋环境保护，进一步从严管控围填海，严格保护自然岸线，整治修复受损岸线，严格水域岸线用途管制，严禁违法侵占河道、围垦河道、非法采砂，注重沿海滩涂资源保护，加强渔业资源养护，建立渔业资源保护区域，控制海洋捕捞强度。加强海洋自然保护地建设，严格落实用海项目生态补偿制度。</w:t>
                  </w:r>
                </w:p>
                <w:p w14:paraId="33A1F71C">
                  <w:pPr>
                    <w:widowControl/>
                    <w:spacing w:line="240" w:lineRule="auto"/>
                    <w:jc w:val="center"/>
                    <w:rPr>
                      <w:rFonts w:ascii="Times New Roman" w:hAnsi="Times New Roman" w:cs="Times New Roman"/>
                      <w:color w:val="auto"/>
                    </w:rPr>
                  </w:pPr>
                  <w:r>
                    <w:rPr>
                      <w:rFonts w:hint="default" w:ascii="Times New Roman" w:hAnsi="Times New Roman" w:cs="Times New Roman" w:eastAsiaTheme="minorEastAsia"/>
                      <w:snapToGrid w:val="0"/>
                      <w:color w:val="auto"/>
                      <w:kern w:val="0"/>
                    </w:rPr>
                    <w:t>5. 根据国家《长江岸线保护和开发利用总体规划》，制定岸线保护和开发利用实施方案，严格分区管理和用途管制。加强长江岸线保护，海门城区段及以东以生活、生态岸线为主，限制工业发展。到2025年，确保全区长江干线及洲岛岸线开发利用率保持在50%以下。</w:t>
                  </w:r>
                </w:p>
              </w:tc>
              <w:tc>
                <w:tcPr>
                  <w:tcW w:w="1207" w:type="pct"/>
                  <w:vAlign w:val="center"/>
                </w:tcPr>
                <w:p w14:paraId="420BAFFB">
                  <w:pPr>
                    <w:widowControl/>
                    <w:jc w:val="center"/>
                    <w:rPr>
                      <w:rFonts w:ascii="Times New Roman" w:hAnsi="Times New Roman" w:cs="Times New Roman"/>
                      <w:color w:val="auto"/>
                    </w:rPr>
                  </w:pPr>
                  <w:r>
                    <w:rPr>
                      <w:rFonts w:ascii="Times New Roman" w:hAnsi="Times New Roman" w:cs="Times New Roman"/>
                      <w:color w:val="auto"/>
                      <w:kern w:val="0"/>
                      <w:lang w:bidi="ar"/>
                    </w:rPr>
                    <w:t>生产过程中不使用高污染燃料，故符合禁燃区的相关要求。</w:t>
                  </w:r>
                </w:p>
              </w:tc>
            </w:tr>
          </w:tbl>
          <w:p w14:paraId="3CF53306">
            <w:pPr>
              <w:adjustRightInd w:val="0"/>
              <w:snapToGrid w:val="0"/>
              <w:spacing w:line="360" w:lineRule="auto"/>
              <w:ind w:firstLine="420" w:firstLineChars="200"/>
              <w:rPr>
                <w:color w:val="auto"/>
                <w:kern w:val="0"/>
              </w:rPr>
            </w:pPr>
            <w:r>
              <w:rPr>
                <w:rFonts w:hint="eastAsia"/>
                <w:color w:val="auto"/>
                <w:kern w:val="0"/>
              </w:rPr>
              <w:t>因此，本项目的建设符合《南通市</w:t>
            </w:r>
            <w:r>
              <w:rPr>
                <w:rFonts w:hint="eastAsia"/>
                <w:color w:val="auto"/>
                <w:kern w:val="0"/>
                <w:lang w:val="en-US" w:eastAsia="zh-CN"/>
              </w:rPr>
              <w:t>海门区</w:t>
            </w:r>
            <w:r>
              <w:rPr>
                <w:rFonts w:hint="eastAsia"/>
                <w:color w:val="auto"/>
                <w:kern w:val="0"/>
              </w:rPr>
              <w:t>“三线一单”生态环境分区管控实施方案的通知》（</w:t>
            </w:r>
            <w:r>
              <w:rPr>
                <w:rFonts w:hint="eastAsia"/>
                <w:color w:val="auto"/>
                <w:kern w:val="0"/>
                <w:lang w:val="en-US" w:eastAsia="zh-CN"/>
              </w:rPr>
              <w:t>海政办发〔</w:t>
            </w:r>
            <w:r>
              <w:rPr>
                <w:color w:val="auto"/>
                <w:kern w:val="0"/>
              </w:rPr>
              <w:t>2021</w:t>
            </w:r>
            <w:r>
              <w:rPr>
                <w:rFonts w:hint="eastAsia"/>
                <w:color w:val="auto"/>
                <w:kern w:val="0"/>
                <w:lang w:eastAsia="zh-CN"/>
              </w:rPr>
              <w:t>〕</w:t>
            </w:r>
            <w:r>
              <w:rPr>
                <w:rFonts w:hint="eastAsia"/>
                <w:color w:val="auto"/>
                <w:kern w:val="0"/>
                <w:lang w:val="en-US" w:eastAsia="zh-CN"/>
              </w:rPr>
              <w:t>85</w:t>
            </w:r>
            <w:r>
              <w:rPr>
                <w:rFonts w:hint="eastAsia"/>
                <w:color w:val="auto"/>
                <w:kern w:val="0"/>
              </w:rPr>
              <w:t xml:space="preserve">号）中相关要求。 </w:t>
            </w:r>
          </w:p>
          <w:p w14:paraId="3987CDCB">
            <w:pPr>
              <w:adjustRightInd w:val="0"/>
              <w:snapToGrid w:val="0"/>
              <w:spacing w:line="360" w:lineRule="auto"/>
              <w:ind w:firstLine="420" w:firstLineChars="200"/>
              <w:rPr>
                <w:color w:val="auto"/>
                <w:kern w:val="0"/>
              </w:rPr>
            </w:pPr>
            <w:r>
              <w:rPr>
                <w:rFonts w:hint="eastAsia"/>
                <w:color w:val="auto"/>
                <w:kern w:val="0"/>
                <w:lang w:val="en-US" w:eastAsia="zh-CN"/>
              </w:rPr>
              <w:t>⑥</w:t>
            </w:r>
            <w:r>
              <w:rPr>
                <w:rFonts w:hint="eastAsia"/>
                <w:color w:val="auto"/>
                <w:kern w:val="0"/>
              </w:rPr>
              <w:t>与《省政府关于印发江苏省生态空间管控区域调整管理办法的通知》（苏政办发〔</w:t>
            </w:r>
            <w:r>
              <w:rPr>
                <w:color w:val="auto"/>
                <w:kern w:val="0"/>
              </w:rPr>
              <w:t>2021</w:t>
            </w:r>
            <w:r>
              <w:rPr>
                <w:rFonts w:hint="eastAsia"/>
                <w:color w:val="auto"/>
                <w:kern w:val="0"/>
              </w:rPr>
              <w:t>〕</w:t>
            </w:r>
            <w:r>
              <w:rPr>
                <w:color w:val="auto"/>
                <w:kern w:val="0"/>
              </w:rPr>
              <w:t>3</w:t>
            </w:r>
            <w:r>
              <w:rPr>
                <w:rFonts w:hint="eastAsia"/>
                <w:color w:val="auto"/>
                <w:kern w:val="0"/>
              </w:rPr>
              <w:t xml:space="preserve">号）相符性分析： </w:t>
            </w:r>
          </w:p>
          <w:p w14:paraId="63AC11BE">
            <w:pPr>
              <w:adjustRightInd w:val="0"/>
              <w:snapToGrid w:val="0"/>
              <w:spacing w:line="360" w:lineRule="auto"/>
              <w:ind w:firstLine="420" w:firstLineChars="200"/>
              <w:rPr>
                <w:color w:val="auto"/>
                <w:kern w:val="0"/>
              </w:rPr>
            </w:pPr>
            <w:r>
              <w:rPr>
                <w:rFonts w:hint="eastAsia"/>
                <w:color w:val="auto"/>
                <w:kern w:val="0"/>
              </w:rPr>
              <w:t xml:space="preserve">根据江苏省省域生态环境重点管控要求： </w:t>
            </w:r>
          </w:p>
          <w:p w14:paraId="24BA9452">
            <w:pPr>
              <w:adjustRightInd w:val="0"/>
              <w:snapToGrid w:val="0"/>
              <w:spacing w:line="360" w:lineRule="auto"/>
              <w:ind w:firstLine="420" w:firstLineChars="200"/>
              <w:rPr>
                <w:color w:val="auto"/>
                <w:kern w:val="0"/>
              </w:rPr>
            </w:pPr>
            <w:r>
              <w:rPr>
                <w:rFonts w:hint="eastAsia"/>
                <w:color w:val="auto"/>
                <w:kern w:val="0"/>
              </w:rPr>
              <w:t xml:space="preserve">空间布局约束方面： </w:t>
            </w:r>
          </w:p>
          <w:p w14:paraId="0909ABEF">
            <w:pPr>
              <w:adjustRightInd w:val="0"/>
              <w:snapToGrid w:val="0"/>
              <w:spacing w:line="360" w:lineRule="auto"/>
              <w:ind w:firstLine="420" w:firstLineChars="200"/>
              <w:rPr>
                <w:color w:val="auto"/>
                <w:kern w:val="0"/>
              </w:rPr>
            </w:pPr>
            <w:r>
              <w:rPr>
                <w:rFonts w:hint="eastAsia"/>
                <w:color w:val="auto"/>
                <w:kern w:val="0"/>
              </w:rPr>
              <w:t>坚持节约优先、保护优先、自然恢复为主的方针</w:t>
            </w:r>
            <w:r>
              <w:rPr>
                <w:rFonts w:hint="eastAsia"/>
                <w:color w:val="auto"/>
                <w:kern w:val="0"/>
                <w:lang w:eastAsia="zh-CN"/>
              </w:rPr>
              <w:t>，</w:t>
            </w:r>
            <w:r>
              <w:rPr>
                <w:rFonts w:hint="eastAsia"/>
                <w:color w:val="auto"/>
                <w:kern w:val="0"/>
              </w:rPr>
              <w:t>以改</w:t>
            </w:r>
            <w:r>
              <w:rPr>
                <w:rFonts w:hint="eastAsia"/>
                <w:color w:val="auto"/>
                <w:kern w:val="0"/>
                <w:lang w:val="en-US" w:eastAsia="zh-CN"/>
              </w:rPr>
              <w:t>善</w:t>
            </w:r>
            <w:r>
              <w:rPr>
                <w:rFonts w:hint="eastAsia"/>
                <w:color w:val="auto"/>
                <w:kern w:val="0"/>
              </w:rPr>
              <w:t xml:space="preserve">生态环境质量为核心，以保障和维护生态功能为主线，统筹山水林田湖草一体化保护和修复，严守生态保护红线，实行最严格的生态空间管控制度，确保全省生态功能不降低、面积不减少、性质不改变，切实维护生态安全。 </w:t>
            </w:r>
          </w:p>
          <w:p w14:paraId="7F1888C4">
            <w:pPr>
              <w:adjustRightInd w:val="0"/>
              <w:snapToGrid w:val="0"/>
              <w:spacing w:line="360" w:lineRule="auto"/>
              <w:ind w:firstLine="420" w:firstLineChars="200"/>
              <w:rPr>
                <w:color w:val="auto"/>
                <w:kern w:val="0"/>
              </w:rPr>
            </w:pPr>
            <w:r>
              <w:rPr>
                <w:rFonts w:hint="eastAsia"/>
                <w:color w:val="auto"/>
                <w:kern w:val="0"/>
              </w:rPr>
              <w:t>牢牢把握推动长江经济带发展“共抓大保护</w:t>
            </w:r>
            <w:r>
              <w:rPr>
                <w:rFonts w:hint="eastAsia"/>
                <w:color w:val="auto"/>
                <w:kern w:val="0"/>
                <w:lang w:eastAsia="zh-CN"/>
              </w:rPr>
              <w:t>，</w:t>
            </w:r>
            <w:r>
              <w:rPr>
                <w:rFonts w:hint="eastAsia"/>
                <w:color w:val="auto"/>
                <w:kern w:val="0"/>
              </w:rPr>
              <w:t>不搞大开发”战略导向。对省域范围内需要重点保护的岸线、河段和区域实行严格空间布局管控，管住控好排放量大、耗能高、产能过剩的产业，推动长江经济带高质量发展。大幅压减沿长江干支流两侧</w:t>
            </w:r>
            <w:r>
              <w:rPr>
                <w:color w:val="auto"/>
                <w:kern w:val="0"/>
              </w:rPr>
              <w:t>1</w:t>
            </w:r>
            <w:r>
              <w:rPr>
                <w:rFonts w:hint="eastAsia"/>
                <w:color w:val="auto"/>
                <w:kern w:val="0"/>
              </w:rPr>
              <w:t xml:space="preserve">公里范围内、环境敏感区域、城镇人口密集区、化工园区外和规模以下化工生产企业，着力破解“重化围江”突出问题，高起点同步推进沿江地区战略性转型和沿海地区战略性布局。 </w:t>
            </w:r>
          </w:p>
          <w:p w14:paraId="1160243C">
            <w:pPr>
              <w:adjustRightInd w:val="0"/>
              <w:snapToGrid w:val="0"/>
              <w:spacing w:line="360" w:lineRule="auto"/>
              <w:ind w:firstLine="420" w:firstLineChars="200"/>
              <w:rPr>
                <w:rFonts w:hint="eastAsia"/>
                <w:color w:val="auto"/>
                <w:kern w:val="0"/>
              </w:rPr>
            </w:pPr>
            <w:r>
              <w:rPr>
                <w:rFonts w:hint="eastAsia"/>
                <w:color w:val="auto"/>
                <w:kern w:val="0"/>
              </w:rPr>
              <w:t>相符性分析：对照江苏省环境管控单元，项目距离长江直线距离约</w:t>
            </w:r>
            <w:r>
              <w:rPr>
                <w:rFonts w:hint="eastAsia"/>
                <w:color w:val="auto"/>
                <w:kern w:val="0"/>
                <w:lang w:val="en-US" w:eastAsia="zh-CN"/>
              </w:rPr>
              <w:t>2.4k</w:t>
            </w:r>
            <w:r>
              <w:rPr>
                <w:color w:val="auto"/>
                <w:kern w:val="0"/>
              </w:rPr>
              <w:t>m</w:t>
            </w:r>
            <w:r>
              <w:rPr>
                <w:rFonts w:hint="eastAsia"/>
                <w:color w:val="auto"/>
                <w:kern w:val="0"/>
              </w:rPr>
              <w:t>，</w:t>
            </w:r>
            <w:r>
              <w:rPr>
                <w:rFonts w:hint="eastAsia"/>
                <w:color w:val="auto"/>
                <w:kern w:val="0"/>
                <w:lang w:val="en-US" w:eastAsia="zh-CN"/>
              </w:rPr>
              <w:t>且</w:t>
            </w:r>
            <w:r>
              <w:rPr>
                <w:rFonts w:hint="eastAsia"/>
                <w:color w:val="auto"/>
                <w:kern w:val="0"/>
              </w:rPr>
              <w:t>本项目不属于化工生产项目，符合苏政办发〔</w:t>
            </w:r>
            <w:r>
              <w:rPr>
                <w:color w:val="auto"/>
                <w:kern w:val="0"/>
              </w:rPr>
              <w:t>2021</w:t>
            </w:r>
            <w:r>
              <w:rPr>
                <w:rFonts w:hint="eastAsia"/>
                <w:color w:val="auto"/>
                <w:kern w:val="0"/>
              </w:rPr>
              <w:t>〕</w:t>
            </w:r>
            <w:r>
              <w:rPr>
                <w:color w:val="auto"/>
                <w:kern w:val="0"/>
              </w:rPr>
              <w:t>3</w:t>
            </w:r>
            <w:r>
              <w:rPr>
                <w:rFonts w:hint="eastAsia"/>
                <w:color w:val="auto"/>
                <w:kern w:val="0"/>
              </w:rPr>
              <w:t>号中相关要求。</w:t>
            </w:r>
          </w:p>
          <w:p w14:paraId="07CB3EA9">
            <w:pPr>
              <w:spacing w:line="360" w:lineRule="auto"/>
              <w:ind w:firstLine="420" w:firstLineChars="200"/>
              <w:rPr>
                <w:rFonts w:ascii="Times New Roman" w:hAnsi="Times New Roman"/>
                <w:bCs/>
                <w:color w:val="auto"/>
                <w:szCs w:val="21"/>
              </w:rPr>
            </w:pPr>
            <w:r>
              <w:rPr>
                <w:rFonts w:ascii="Times New Roman" w:hAnsi="Times New Roman"/>
                <w:bCs/>
                <w:color w:val="auto"/>
                <w:szCs w:val="21"/>
              </w:rPr>
              <w:t>（2）环境质量底线相符性</w:t>
            </w:r>
          </w:p>
          <w:p w14:paraId="546863E1">
            <w:pPr>
              <w:adjustRightInd w:val="0"/>
              <w:snapToGrid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cs="Times New Roman"/>
                <w:color w:val="auto"/>
                <w:kern w:val="0"/>
              </w:rPr>
              <w:t>根据《南通市生态环境状况公报》（202</w:t>
            </w:r>
            <w:r>
              <w:rPr>
                <w:rFonts w:hint="default" w:ascii="Times New Roman" w:hAnsi="Times New Roman" w:cs="Times New Roman"/>
                <w:color w:val="auto"/>
                <w:kern w:val="0"/>
                <w:lang w:val="en-US" w:eastAsia="zh-CN"/>
              </w:rPr>
              <w:t>3</w:t>
            </w:r>
            <w:r>
              <w:rPr>
                <w:rFonts w:hint="default" w:ascii="Times New Roman" w:hAnsi="Times New Roman" w:cs="Times New Roman"/>
                <w:color w:val="auto"/>
                <w:kern w:val="0"/>
              </w:rPr>
              <w:t>年），</w:t>
            </w:r>
            <w:r>
              <w:rPr>
                <w:rFonts w:hint="default" w:ascii="Times New Roman" w:hAnsi="Times New Roman" w:cs="Times New Roman"/>
                <w:color w:val="auto"/>
              </w:rPr>
              <w:t>本项目所在区域SO</w:t>
            </w:r>
            <w:r>
              <w:rPr>
                <w:rFonts w:hint="default" w:ascii="Times New Roman" w:hAnsi="Times New Roman" w:cs="Times New Roman"/>
                <w:color w:val="auto"/>
                <w:vertAlign w:val="subscript"/>
              </w:rPr>
              <w:t>2</w:t>
            </w:r>
            <w:r>
              <w:rPr>
                <w:rFonts w:hint="default" w:ascii="Times New Roman" w:hAnsi="Times New Roman" w:cs="Times New Roman"/>
                <w:color w:val="auto"/>
              </w:rPr>
              <w:t>、NO</w:t>
            </w:r>
            <w:r>
              <w:rPr>
                <w:rFonts w:hint="default" w:ascii="Times New Roman" w:hAnsi="Times New Roman" w:cs="Times New Roman"/>
                <w:color w:val="auto"/>
                <w:vertAlign w:val="subscript"/>
              </w:rPr>
              <w:t>2</w:t>
            </w:r>
            <w:r>
              <w:rPr>
                <w:rFonts w:hint="default" w:ascii="Times New Roman" w:hAnsi="Times New Roman" w:cs="Times New Roman"/>
                <w:color w:val="auto"/>
              </w:rPr>
              <w:t>、CO、PM</w:t>
            </w:r>
            <w:r>
              <w:rPr>
                <w:rFonts w:hint="default" w:ascii="Times New Roman" w:hAnsi="Times New Roman" w:cs="Times New Roman"/>
                <w:color w:val="auto"/>
                <w:vertAlign w:val="subscript"/>
              </w:rPr>
              <w:t>2.5</w:t>
            </w:r>
            <w:r>
              <w:rPr>
                <w:rFonts w:hint="default" w:ascii="Times New Roman" w:hAnsi="Times New Roman" w:cs="Times New Roman"/>
                <w:color w:val="auto"/>
              </w:rPr>
              <w:t>及PM</w:t>
            </w:r>
            <w:r>
              <w:rPr>
                <w:rFonts w:hint="default" w:ascii="Times New Roman" w:hAnsi="Times New Roman" w:cs="Times New Roman"/>
                <w:color w:val="auto"/>
                <w:vertAlign w:val="subscript"/>
              </w:rPr>
              <w:t>10</w:t>
            </w:r>
            <w:r>
              <w:rPr>
                <w:rFonts w:hint="default" w:ascii="Times New Roman" w:hAnsi="Times New Roman" w:cs="Times New Roman"/>
                <w:color w:val="auto"/>
              </w:rPr>
              <w:t>相关指标符合《环境空气质量标准》（GB3095-2012）二级标准，O</w:t>
            </w:r>
            <w:r>
              <w:rPr>
                <w:rFonts w:hint="default" w:ascii="Times New Roman" w:hAnsi="Times New Roman" w:cs="Times New Roman"/>
                <w:color w:val="auto"/>
                <w:vertAlign w:val="subscript"/>
              </w:rPr>
              <w:t>3</w:t>
            </w:r>
            <w:r>
              <w:rPr>
                <w:rFonts w:hint="default" w:ascii="Times New Roman" w:hAnsi="Times New Roman" w:cs="Times New Roman"/>
                <w:color w:val="auto"/>
              </w:rPr>
              <w:t>的日最大8小时滑动平均值第90百分位数浓度超过《环境空气质量标准》（GB3095-2012）二级标准浓度限值，因此区域属于大气环境质量不达标区。</w:t>
            </w:r>
            <w:r>
              <w:rPr>
                <w:rFonts w:hint="default" w:ascii="Times New Roman" w:hAnsi="Times New Roman" w:cs="Times New Roman"/>
                <w:color w:val="auto"/>
                <w:kern w:val="0"/>
                <w:lang w:val="zh-CN"/>
              </w:rPr>
              <w:t>坚持生态优先、绿色发展，推进大气环境治理体系和治理能力现代化建设。突出源头治理，坚持精准治污、科学治污、依法治污，强化减污降碳协同、臭氧和PM</w:t>
            </w:r>
            <w:r>
              <w:rPr>
                <w:rFonts w:hint="default" w:ascii="Times New Roman" w:hAnsi="Times New Roman" w:cs="Times New Roman"/>
                <w:color w:val="auto"/>
                <w:kern w:val="0"/>
                <w:vertAlign w:val="subscript"/>
                <w:lang w:val="zh-CN"/>
              </w:rPr>
              <w:t>2.5</w:t>
            </w:r>
            <w:r>
              <w:rPr>
                <w:rFonts w:hint="default" w:ascii="Times New Roman" w:hAnsi="Times New Roman" w:cs="Times New Roman"/>
                <w:color w:val="auto"/>
                <w:kern w:val="0"/>
                <w:lang w:val="zh-CN"/>
              </w:rPr>
              <w:t>防治协同、区域联防联控协同“三大协同”，持续改善环境空气质量</w:t>
            </w:r>
            <w:r>
              <w:rPr>
                <w:rFonts w:hint="default" w:ascii="Times New Roman" w:hAnsi="Times New Roman" w:cs="Times New Roman"/>
                <w:color w:val="auto"/>
              </w:rPr>
              <w:t>。根据</w:t>
            </w:r>
            <w:r>
              <w:rPr>
                <w:rFonts w:hint="default" w:ascii="Times New Roman" w:hAnsi="Times New Roman" w:cs="Times New Roman"/>
                <w:color w:val="auto"/>
                <w:kern w:val="0"/>
              </w:rPr>
              <w:t>《南通市生态环境状况公报》（202</w:t>
            </w:r>
            <w:r>
              <w:rPr>
                <w:rFonts w:hint="default" w:ascii="Times New Roman" w:hAnsi="Times New Roman" w:cs="Times New Roman"/>
                <w:color w:val="auto"/>
                <w:kern w:val="0"/>
                <w:lang w:val="en-US" w:eastAsia="zh-CN"/>
              </w:rPr>
              <w:t>3</w:t>
            </w:r>
            <w:r>
              <w:rPr>
                <w:rFonts w:hint="default" w:ascii="Times New Roman" w:hAnsi="Times New Roman" w:cs="Times New Roman"/>
                <w:color w:val="auto"/>
                <w:kern w:val="0"/>
              </w:rPr>
              <w:t>年），</w:t>
            </w:r>
            <w:r>
              <w:rPr>
                <w:rFonts w:hint="default" w:ascii="Times New Roman" w:hAnsi="Times New Roman" w:cs="Times New Roman"/>
                <w:color w:val="auto"/>
              </w:rPr>
              <w:t>长江（南通段）水质达到Ⅱ类，水质优良。声环境达到《声环境质量标准》（GB3096-2008）3 类标准。项目建成后，废气、废水、噪声及固废均有效处置，对周边环境影响较小，不会降低所在地的环境功能质量，符合环境质量底线要求。</w:t>
            </w:r>
          </w:p>
          <w:p w14:paraId="1BD36857">
            <w:pPr>
              <w:spacing w:line="360" w:lineRule="auto"/>
              <w:ind w:firstLine="420" w:firstLineChars="200"/>
              <w:rPr>
                <w:rFonts w:ascii="Times New Roman" w:hAnsi="Times New Roman"/>
                <w:bCs/>
                <w:color w:val="auto"/>
                <w:szCs w:val="21"/>
              </w:rPr>
            </w:pPr>
            <w:r>
              <w:rPr>
                <w:rFonts w:ascii="Times New Roman" w:hAnsi="Times New Roman"/>
                <w:bCs/>
                <w:color w:val="auto"/>
                <w:szCs w:val="21"/>
              </w:rPr>
              <w:t>（3）资源利用上线相符性</w:t>
            </w:r>
          </w:p>
          <w:p w14:paraId="306B0462">
            <w:pPr>
              <w:spacing w:line="36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用水由市政自来水管网提供，用电由市政电网供给，不会达到资源利用上线；项目用地为工业用地，不占用新的土地资源，本项目不会突破当地资源利用上线，符合当地土地规划要求，亦不会达到资源利用上线。</w:t>
            </w:r>
          </w:p>
          <w:p w14:paraId="0F8EB95B">
            <w:pPr>
              <w:spacing w:line="360" w:lineRule="auto"/>
              <w:ind w:firstLine="420" w:firstLineChars="200"/>
              <w:rPr>
                <w:rFonts w:ascii="Times New Roman" w:hAnsi="Times New Roman"/>
                <w:bCs/>
                <w:color w:val="auto"/>
                <w:szCs w:val="21"/>
              </w:rPr>
            </w:pPr>
            <w:r>
              <w:rPr>
                <w:rFonts w:ascii="Times New Roman" w:hAnsi="Times New Roman"/>
                <w:bCs/>
                <w:color w:val="auto"/>
                <w:szCs w:val="21"/>
              </w:rPr>
              <w:t>（4）准入负面清单相符性</w:t>
            </w:r>
          </w:p>
          <w:p w14:paraId="437CC771">
            <w:pPr>
              <w:adjustRightInd w:val="0"/>
              <w:snapToGrid w:val="0"/>
              <w:spacing w:line="360" w:lineRule="auto"/>
              <w:ind w:firstLine="420" w:firstLineChars="200"/>
              <w:rPr>
                <w:rFonts w:hint="default" w:ascii="Times New Roman" w:hAnsi="Times New Roman" w:cs="Times New Roman"/>
                <w:b/>
                <w:color w:val="auto"/>
                <w:sz w:val="21"/>
                <w:szCs w:val="21"/>
              </w:rPr>
            </w:pPr>
            <w:r>
              <w:rPr>
                <w:rFonts w:hint="eastAsia" w:ascii="Times New Roman" w:hAnsi="Times New Roman"/>
                <w:color w:val="auto"/>
                <w:szCs w:val="21"/>
                <w:lang w:val="en-US" w:eastAsia="zh-CN"/>
              </w:rPr>
              <w:t>本次环评对照《市政府办公室关于印发南通市“三线一单”生态环境分区管控实施方案的通知》（通政办规</w:t>
            </w:r>
            <w:r>
              <w:rPr>
                <w:rFonts w:hint="eastAsia"/>
                <w:color w:val="auto"/>
                <w:kern w:val="0"/>
                <w:szCs w:val="21"/>
              </w:rPr>
              <w:t>〔20</w:t>
            </w:r>
            <w:r>
              <w:rPr>
                <w:rFonts w:hint="eastAsia"/>
                <w:color w:val="auto"/>
                <w:kern w:val="0"/>
                <w:szCs w:val="21"/>
                <w:lang w:val="en-US" w:eastAsia="zh-CN"/>
              </w:rPr>
              <w:t>21</w:t>
            </w:r>
            <w:r>
              <w:rPr>
                <w:rFonts w:hint="eastAsia"/>
                <w:color w:val="auto"/>
                <w:kern w:val="0"/>
                <w:szCs w:val="21"/>
              </w:rPr>
              <w:t>〕</w:t>
            </w:r>
            <w:r>
              <w:rPr>
                <w:rFonts w:hint="eastAsia" w:ascii="Times New Roman" w:hAnsi="Times New Roman"/>
                <w:color w:val="auto"/>
                <w:szCs w:val="21"/>
                <w:lang w:val="en-US" w:eastAsia="zh-CN"/>
              </w:rPr>
              <w:t>4 号）要求，南通市根据生态环境功能、自然资源禀赋和经济社会发展实际，划定环境管控单元，实施差别化环境管控措施，划分成90 个优先保护单元，247个重点管控单元，83个一般管控单元。 本项目</w:t>
            </w:r>
            <w:r>
              <w:rPr>
                <w:rFonts w:hint="eastAsia"/>
                <w:color w:val="auto"/>
                <w:szCs w:val="21"/>
                <w:lang w:val="en-US" w:eastAsia="zh-CN"/>
              </w:rPr>
              <w:t>属于</w:t>
            </w:r>
            <w:r>
              <w:rPr>
                <w:rFonts w:hint="eastAsia" w:ascii="Times New Roman" w:hAnsi="Times New Roman"/>
                <w:color w:val="auto"/>
                <w:szCs w:val="21"/>
                <w:lang w:val="en-US" w:eastAsia="zh-CN"/>
              </w:rPr>
              <w:t>重点管控单元，并且符合准入管控要求， 因此与《江苏省“三线一单”生态环境分区管控方案》（苏政发〔2020〕49号）、 《市政府办公室关于印发南通市“三线一单”生态环境分区管控实施方案的通知》（通政办规〔202</w:t>
            </w:r>
            <w:r>
              <w:rPr>
                <w:rFonts w:hint="eastAsia"/>
                <w:color w:val="auto"/>
                <w:szCs w:val="21"/>
                <w:lang w:val="en-US" w:eastAsia="zh-CN"/>
              </w:rPr>
              <w:t>1</w:t>
            </w:r>
            <w:r>
              <w:rPr>
                <w:rFonts w:hint="eastAsia" w:ascii="Times New Roman" w:hAnsi="Times New Roman"/>
                <w:color w:val="auto"/>
                <w:szCs w:val="21"/>
                <w:lang w:val="en-US" w:eastAsia="zh-CN"/>
              </w:rPr>
              <w:t>〕4号）要求相符。</w:t>
            </w:r>
            <w:r>
              <w:rPr>
                <w:rFonts w:hint="default" w:ascii="Times New Roman" w:hAnsi="Times New Roman" w:cs="Times New Roman"/>
                <w:color w:val="auto"/>
                <w:sz w:val="21"/>
                <w:szCs w:val="21"/>
                <w:lang w:val="en-US" w:eastAsia="zh-CN"/>
              </w:rPr>
              <w:t>与“南通市域生态环境总体准入管控要求”相符性分析见表</w:t>
            </w:r>
            <w:r>
              <w:rPr>
                <w:rFonts w:hint="default" w:ascii="Times New Roman" w:hAnsi="Times New Roman" w:cs="Times New Roman"/>
                <w:color w:val="auto"/>
                <w:sz w:val="21"/>
                <w:szCs w:val="21"/>
              </w:rPr>
              <w:t>1-</w:t>
            </w:r>
            <w:r>
              <w:rPr>
                <w:rFonts w:hint="eastAsia" w:cs="Times New Roman"/>
                <w:color w:val="auto"/>
                <w:sz w:val="21"/>
                <w:szCs w:val="21"/>
                <w:lang w:val="en-US" w:eastAsia="zh-CN"/>
              </w:rPr>
              <w:t>5</w:t>
            </w:r>
            <w:r>
              <w:rPr>
                <w:rFonts w:hint="default" w:ascii="Times New Roman" w:hAnsi="Times New Roman" w:cs="Times New Roman"/>
                <w:color w:val="auto"/>
                <w:sz w:val="21"/>
                <w:szCs w:val="21"/>
              </w:rPr>
              <w:t>。</w:t>
            </w:r>
          </w:p>
          <w:p w14:paraId="005421E6">
            <w:pPr>
              <w:adjustRightInd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表1</w:t>
            </w:r>
            <w:r>
              <w:rPr>
                <w:rFonts w:hint="eastAsia" w:cs="Times New Roman"/>
                <w:b/>
                <w:color w:val="auto"/>
                <w:sz w:val="21"/>
                <w:szCs w:val="21"/>
                <w:lang w:val="en-US" w:eastAsia="zh-CN"/>
              </w:rPr>
              <w:t>-5</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与</w:t>
            </w:r>
            <w:r>
              <w:rPr>
                <w:rFonts w:hint="default" w:ascii="Times New Roman" w:hAnsi="Times New Roman" w:cs="Times New Roman"/>
                <w:b/>
                <w:color w:val="auto"/>
                <w:sz w:val="21"/>
                <w:szCs w:val="21"/>
              </w:rPr>
              <w:t>南通市域生态环境总体准入管控要求相符性分析</w:t>
            </w:r>
          </w:p>
          <w:tbl>
            <w:tblPr>
              <w:tblStyle w:val="4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555"/>
              <w:gridCol w:w="4677"/>
              <w:gridCol w:w="1951"/>
            </w:tblGrid>
            <w:tr w14:paraId="086518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1" w:type="dxa"/>
                  <w:tcBorders>
                    <w:top w:val="single" w:color="auto" w:sz="12" w:space="0"/>
                    <w:bottom w:val="single" w:color="auto" w:sz="4" w:space="0"/>
                    <w:right w:val="single" w:color="auto" w:sz="4" w:space="0"/>
                  </w:tcBorders>
                  <w:noWrap w:val="0"/>
                  <w:vAlign w:val="center"/>
                </w:tcPr>
                <w:p w14:paraId="1FBCF4E1">
                  <w:pPr>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5531" w:type="dxa"/>
                  <w:gridSpan w:val="2"/>
                  <w:tcBorders>
                    <w:top w:val="single" w:color="auto" w:sz="12" w:space="0"/>
                    <w:left w:val="single" w:color="auto" w:sz="4" w:space="0"/>
                    <w:bottom w:val="single" w:color="auto" w:sz="4" w:space="0"/>
                    <w:right w:val="single" w:color="auto" w:sz="4" w:space="0"/>
                  </w:tcBorders>
                  <w:noWrap w:val="0"/>
                  <w:vAlign w:val="center"/>
                </w:tcPr>
                <w:p w14:paraId="19CC62DC">
                  <w:pPr>
                    <w:adjustRightInd w:val="0"/>
                    <w:snapToGrid w:val="0"/>
                    <w:spacing w:line="24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val="en-US" w:eastAsia="zh-CN"/>
                    </w:rPr>
                    <w:t>内容</w:t>
                  </w:r>
                </w:p>
              </w:tc>
              <w:tc>
                <w:tcPr>
                  <w:tcW w:w="2029" w:type="dxa"/>
                  <w:tcBorders>
                    <w:top w:val="single" w:color="auto" w:sz="12" w:space="0"/>
                    <w:left w:val="single" w:color="auto" w:sz="4" w:space="0"/>
                    <w:bottom w:val="single" w:color="auto" w:sz="4" w:space="0"/>
                  </w:tcBorders>
                  <w:noWrap w:val="0"/>
                  <w:vAlign w:val="center"/>
                </w:tcPr>
                <w:p w14:paraId="04F2F1F1">
                  <w:pPr>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相符性分析</w:t>
                  </w:r>
                </w:p>
              </w:tc>
            </w:tr>
            <w:tr w14:paraId="6FBE4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11" w:type="dxa"/>
                  <w:tcBorders>
                    <w:top w:val="single" w:color="auto" w:sz="4" w:space="0"/>
                    <w:bottom w:val="single" w:color="auto" w:sz="4" w:space="0"/>
                    <w:right w:val="single" w:color="auto" w:sz="4" w:space="0"/>
                  </w:tcBorders>
                  <w:noWrap w:val="0"/>
                  <w:vAlign w:val="center"/>
                </w:tcPr>
                <w:p w14:paraId="5847C329">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61959F2B">
                  <w:pPr>
                    <w:pStyle w:val="143"/>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空间布局约束</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3F1FA47C">
                  <w:pPr>
                    <w:pStyle w:val="143"/>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1.严格执行《南通市长江经济带生态环境保护实施规划》（通政办发〔2018〕42号）、《南通市“两减六治三提升” 专项行动实施方案》（通政办发〔2017〕55 号）、《南通市打赢蓝天保卫战三年行动计划实施方案（2018~2020 年）》（通政发〔2018〕63 号）、《南通市土壤污染防治工作方案》（通政发〔2017〕20 号）、《南通市水污染防治工作方案》（通政发〔2016〕35号）等文件要求。 2.严格执行《（长江经济带发展负面清单指南）江苏省实施细则（试行）》；禁止引进列入《南通市工业结构调整指导目录》淘汰类的产业、列入《南通市工业产业技术改造负面清单》严格禁止的技术改造工艺装备及产品。 3.根据《南通市长江经济带生态环境保护实施规划》（通政办发〔2018〕42 号），沿江地区不再新布局石化项目。 禁止在长江干流自然保护区、风景名胜区等重点区域新建工业类和污染类项目</w:t>
                  </w:r>
                  <w:r>
                    <w:rPr>
                      <w:rFonts w:hint="eastAsia" w:ascii="Times New Roman" w:hAnsi="Times New Roman" w:cs="Times New Roman"/>
                      <w:color w:val="auto"/>
                      <w:sz w:val="21"/>
                      <w:szCs w:val="21"/>
                      <w:lang w:eastAsia="zh-CN"/>
                    </w:rPr>
                    <w:t>，对</w:t>
                  </w:r>
                  <w:r>
                    <w:rPr>
                      <w:rFonts w:hint="default" w:ascii="Times New Roman" w:hAnsi="Times New Roman" w:cs="Times New Roman"/>
                      <w:color w:val="auto"/>
                      <w:sz w:val="21"/>
                      <w:szCs w:val="21"/>
                    </w:rPr>
                    <w:t>现有高风险企业实施限期治理。自然保护区核心区及缓冲区内禁止新建码头工程，逐步拆除已有的各类生产设施以及危化品、石油类泊位。禁止向内河和江海直达船舶销售</w:t>
                  </w:r>
                  <w:r>
                    <w:rPr>
                      <w:rFonts w:hint="eastAsia" w:ascii="Times New Roman" w:hAnsi="Times New Roman" w:cs="Times New Roman"/>
                      <w:color w:val="auto"/>
                      <w:sz w:val="21"/>
                      <w:szCs w:val="21"/>
                      <w:lang w:eastAsia="zh-CN"/>
                    </w:rPr>
                    <w:t>柴油</w:t>
                  </w:r>
                  <w:r>
                    <w:rPr>
                      <w:rFonts w:hint="default" w:ascii="Times New Roman" w:hAnsi="Times New Roman" w:cs="Times New Roman"/>
                      <w:color w:val="auto"/>
                      <w:sz w:val="21"/>
                      <w:szCs w:val="21"/>
                    </w:rPr>
                    <w:t>、重油以及不符合标准的普通柴油，禁止海船使用不符合要求的燃油。 4.根据《省政府关于加强全省化工园区化工集中区规范化 管理的通知》（苏政发〔2020〕94 号）、《市政府关于印发南通市化工产业环保准入指导意见的通知》（通政发〔2 014〕10 号），化工园区、化工集中区处于长江干流和主 要支流岸线 1 公里范围（以下简称沿江 1 公里范围）内 的区域不得新建、扩建化工企业和项目（安全、环保、节 能、信息化智能化、提升产品品质技术改造项目除外）。 禁止建设属于国家、省和我市禁止类、淘汰类生产工艺、 产品的项目。从严控制农药、传统医药、染料化工项目审批，原则上不再新上医药中间体、农药中间体、染料中间 体项目（具有自主知识产权的关键中间体及高产出、低污染项目除外，分别由科技部门和环保部门认定）。沿江化工园区不再新增农药、染料化工企业。</w:t>
                  </w:r>
                </w:p>
              </w:tc>
              <w:tc>
                <w:tcPr>
                  <w:tcW w:w="2029" w:type="dxa"/>
                  <w:tcBorders>
                    <w:top w:val="single" w:color="auto" w:sz="4" w:space="0"/>
                    <w:left w:val="single" w:color="auto" w:sz="4" w:space="0"/>
                    <w:bottom w:val="single" w:color="auto" w:sz="4" w:space="0"/>
                  </w:tcBorders>
                  <w:noWrap w:val="0"/>
                  <w:vAlign w:val="center"/>
                </w:tcPr>
                <w:p w14:paraId="7E90D6BF">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项目符合《南通市长江经济带生态环境保护实施规划》（通政办发〔2018〕42 号）等文件要求。 项目不属于《（长江经济带发展负面清单指南）江苏省实施细 则（试行）》 等文件中禁止、淘汰类项目。项目不属于沿江、自然保护区、风景名胜区等重点 区域。 项目不属于化工、农药、 医药项目。</w:t>
                  </w:r>
                  <w:r>
                    <w:rPr>
                      <w:rFonts w:hint="default" w:ascii="Times New Roman" w:hAnsi="Times New Roman" w:cs="Times New Roman"/>
                      <w:color w:val="auto"/>
                      <w:sz w:val="21"/>
                      <w:szCs w:val="21"/>
                      <w:lang w:val="en-US" w:eastAsia="zh-CN"/>
                    </w:rPr>
                    <w:t>符合。</w:t>
                  </w:r>
                </w:p>
              </w:tc>
            </w:tr>
            <w:tr w14:paraId="2D89D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 w:type="dxa"/>
                  <w:tcBorders>
                    <w:top w:val="single" w:color="auto" w:sz="4" w:space="0"/>
                    <w:bottom w:val="single" w:color="auto" w:sz="4" w:space="0"/>
                    <w:right w:val="single" w:color="auto" w:sz="4" w:space="0"/>
                  </w:tcBorders>
                  <w:noWrap w:val="0"/>
                  <w:vAlign w:val="center"/>
                </w:tcPr>
                <w:p w14:paraId="4D17F0B4">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2DD03541">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污染物排放管控</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05BC6071">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总量指标作为建设项目环境影响评价审批的前置条件。排放主要污染物的建设项目，在环境影响评价文件（以下简称环评文件）审批前，须取得主要污染物排放总量指标。 2.用于建设项目的“可替代总量指标”不得低于建设项目所需替代的主要污染物排放总量指标。上一年度环境空气质量年平均浓度不达标的地区、水环境质量未达到要求的地区，相关污染物应按照建设项目所需替代的主要污染物 排放总量指标的 2 倍进行削减替代（燃煤发电机组大气污染物排放浓度基本达到燃气轮机组排放限值的除外）；细颗粒物（PM2.5）年平均浓度不达标的地区，二氧化硫、 氮氧化物、烟粉尘、挥发性有机物四项污染物均需进行2倍削减替代（燃煤发电机组大气污染物排放浓度基本达到燃气轮机组排放限值的除外）。 3.落实《省政府办公厅关于印发江苏省排污权有偿使用和交易管理暂行办法的通知》（苏政办发〔2017〕115 号） 及配套的实施细则中，关于新、改扩建项目获得排污权指标的相关要求。</w:t>
                  </w:r>
                </w:p>
              </w:tc>
              <w:tc>
                <w:tcPr>
                  <w:tcW w:w="2029" w:type="dxa"/>
                  <w:tcBorders>
                    <w:top w:val="single" w:color="auto" w:sz="4" w:space="0"/>
                    <w:left w:val="single" w:color="auto" w:sz="4" w:space="0"/>
                    <w:bottom w:val="single" w:color="auto" w:sz="4" w:space="0"/>
                  </w:tcBorders>
                  <w:noWrap w:val="0"/>
                  <w:vAlign w:val="center"/>
                </w:tcPr>
                <w:p w14:paraId="25E3E9AE">
                  <w:pPr>
                    <w:pStyle w:val="143"/>
                    <w:adjustRightInd w:val="0"/>
                    <w:snapToGrid w:val="0"/>
                    <w:spacing w:line="240" w:lineRule="auto"/>
                    <w:ind w:right="266"/>
                    <w:jc w:val="center"/>
                    <w:rPr>
                      <w:rFonts w:hint="default" w:ascii="Times New Roman" w:hAnsi="Times New Roman" w:eastAsia="宋体" w:cs="Times New Roman"/>
                      <w:color w:val="auto"/>
                      <w:kern w:val="2"/>
                      <w:sz w:val="21"/>
                      <w:szCs w:val="21"/>
                      <w:lang w:val="en-US" w:eastAsia="zh-CN"/>
                    </w:rPr>
                  </w:pPr>
                  <w:r>
                    <w:rPr>
                      <w:rFonts w:ascii="Times New Roman" w:hAnsi="Times New Roman" w:cs="Times New Roman"/>
                      <w:color w:val="auto"/>
                      <w:kern w:val="0"/>
                      <w:lang w:bidi="ar"/>
                    </w:rPr>
                    <w:t>本项目建成后将实施污染物总量控制，新增大气污染物总量能在海门区范围内平衡</w:t>
                  </w:r>
                  <w:r>
                    <w:rPr>
                      <w:rFonts w:hint="eastAsia" w:cs="Times New Roman"/>
                      <w:color w:val="auto"/>
                      <w:kern w:val="0"/>
                      <w:lang w:eastAsia="zh-CN" w:bidi="ar"/>
                    </w:rPr>
                    <w:t>。</w:t>
                  </w:r>
                </w:p>
              </w:tc>
            </w:tr>
            <w:tr w14:paraId="4742D8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11" w:type="dxa"/>
                  <w:tcBorders>
                    <w:top w:val="single" w:color="auto" w:sz="4" w:space="0"/>
                    <w:bottom w:val="single" w:color="auto" w:sz="4" w:space="0"/>
                    <w:right w:val="single" w:color="auto" w:sz="4" w:space="0"/>
                  </w:tcBorders>
                  <w:noWrap w:val="0"/>
                  <w:vAlign w:val="center"/>
                </w:tcPr>
                <w:p w14:paraId="2CB12A56">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4377E567">
                  <w:pPr>
                    <w:pStyle w:val="143"/>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环境风险防控</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259070D6">
                  <w:pPr>
                    <w:pStyle w:val="143"/>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1.落实《南通市突发环境事件应急预案（2020 年修订版）》 （通政办发〔2020〕46 号）。 2.根据《南通市化工产业安全环保整治提升三年行动计划 （2019~202 年）》（通政办发〔2019〕102 号），保留提 升的化工生产企业必须</w:t>
                  </w:r>
                  <w:r>
                    <w:rPr>
                      <w:rFonts w:hint="eastAsia" w:ascii="Times New Roman" w:hAnsi="Times New Roman" w:cs="Times New Roman"/>
                      <w:color w:val="auto"/>
                      <w:sz w:val="21"/>
                      <w:szCs w:val="21"/>
                      <w:lang w:eastAsia="zh-CN"/>
                    </w:rPr>
                    <w:t>制定</w:t>
                  </w:r>
                  <w:r>
                    <w:rPr>
                      <w:rFonts w:hint="default" w:ascii="Times New Roman" w:hAnsi="Times New Roman" w:cs="Times New Roman"/>
                      <w:color w:val="auto"/>
                      <w:sz w:val="21"/>
                      <w:szCs w:val="21"/>
                    </w:rPr>
                    <w:t>整治提升实施方案。严格危险废物处置管理。企业须在环评报告中准确全面评价固体废物的种类、数量、属性及产生、贮存、利用或处置情况。 在安评报告中对固体废物贮存、利用处置环节进行安全性评价，并按标准规范设计、建造或改建贮存、利用处置危 险废物的设施设备。生产企业应按照相关管理要求申报、处置废弃危险化学品。强化对危险废物的收集、贮存和处置的监督管理，实现危险废物监管无盲区、无死角。 3.根据《关于加快全省化工钢铁煤电行业转型升级高质量 发展的实施意见》（苏办发〔2018〕32 号），钢铁行业企业总平面布置必须符合国家规范要求，有较大变更的必须进行安全风险分析和评估论证。企业必须按规定设计、设置和运行自动控制系统，按规定实施全流程自动控制改 造，有条件的鼓励创建智能工厂（装置）。企业涉及重大危险源的设施设备与周边重要公共建筑安全距离须</w:t>
                  </w:r>
                  <w:r>
                    <w:rPr>
                      <w:rFonts w:hint="eastAsia" w:ascii="Times New Roman" w:hAnsi="Times New Roman" w:cs="Times New Roman"/>
                      <w:color w:val="auto"/>
                      <w:sz w:val="21"/>
                      <w:szCs w:val="21"/>
                      <w:lang w:eastAsia="zh-CN"/>
                    </w:rPr>
                    <w:t>符合</w:t>
                  </w:r>
                  <w:r>
                    <w:rPr>
                      <w:rFonts w:hint="default" w:ascii="Times New Roman" w:hAnsi="Times New Roman" w:cs="Times New Roman"/>
                      <w:color w:val="auto"/>
                      <w:sz w:val="21"/>
                      <w:szCs w:val="21"/>
                    </w:rPr>
                    <w:t xml:space="preserve"> 国家相关标准要求。坚决淘汰超期服役的高风险设备和设施。</w:t>
                  </w:r>
                </w:p>
              </w:tc>
              <w:tc>
                <w:tcPr>
                  <w:tcW w:w="2029" w:type="dxa"/>
                  <w:tcBorders>
                    <w:top w:val="single" w:color="auto" w:sz="4" w:space="0"/>
                    <w:left w:val="single" w:color="auto" w:sz="4" w:space="0"/>
                    <w:bottom w:val="single" w:color="auto" w:sz="4" w:space="0"/>
                  </w:tcBorders>
                  <w:noWrap w:val="0"/>
                  <w:vAlign w:val="center"/>
                </w:tcPr>
                <w:p w14:paraId="342DDA6A">
                  <w:pPr>
                    <w:pStyle w:val="143"/>
                    <w:adjustRightInd w:val="0"/>
                    <w:snapToGrid w:val="0"/>
                    <w:spacing w:line="240" w:lineRule="auto"/>
                    <w:ind w:right="266"/>
                    <w:jc w:val="center"/>
                    <w:rPr>
                      <w:rFonts w:hint="default" w:ascii="Times New Roman" w:hAnsi="Times New Roman" w:cs="Times New Roman"/>
                      <w:color w:val="auto"/>
                      <w:kern w:val="2"/>
                      <w:sz w:val="21"/>
                      <w:szCs w:val="21"/>
                      <w:lang w:val="en-US"/>
                    </w:rPr>
                  </w:pPr>
                  <w:r>
                    <w:rPr>
                      <w:rFonts w:hint="default" w:ascii="Times New Roman" w:hAnsi="Times New Roman" w:cs="Times New Roman"/>
                      <w:color w:val="auto"/>
                      <w:kern w:val="2"/>
                      <w:sz w:val="21"/>
                      <w:szCs w:val="21"/>
                      <w:lang w:val="en-US"/>
                    </w:rPr>
                    <w:t>项目不属于化工、钢铁项目。项目设置危废暂存间暂存危险废物，危废经收集后委托有资质的单位处置。</w:t>
                  </w:r>
                </w:p>
              </w:tc>
            </w:tr>
            <w:tr w14:paraId="2153E0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11" w:type="dxa"/>
                  <w:tcBorders>
                    <w:top w:val="single" w:color="auto" w:sz="4" w:space="0"/>
                    <w:bottom w:val="single" w:color="auto" w:sz="4" w:space="0"/>
                    <w:right w:val="single" w:color="auto" w:sz="4" w:space="0"/>
                  </w:tcBorders>
                  <w:noWrap w:val="0"/>
                  <w:vAlign w:val="center"/>
                </w:tcPr>
                <w:p w14:paraId="4DFBFD32">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68806097">
                  <w:pPr>
                    <w:pStyle w:val="143"/>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资源利用效率要求</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6CD516B4">
                  <w:pPr>
                    <w:pStyle w:val="143"/>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1.根据《中华人民共和国大气污染防治法》，禁燃区禁止新建、扩建燃用高污染燃料的项目和设施，已建成的应逐步或依法限期改用天然气、电或者其他清洁能源。 2.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3.严格控制地下水开采。落实《江苏省地下水超采区划分方案》（苏政复〔2013〕59 号），在海门区的海门城区、 三厂、常乐等乡镇共计136.9平方公里，实施地下水禁采； 在如东县的掘港及马塘、岔河、洋口、丰利等乡镇，海门 区除三阳、海永外的大部分地区，启东市的汇龙、吕四、北新等乡镇，通州区的东社镇、二甲镇，通州湾的三余镇等地 2095.8 平方公里，实施地下水限采。</w:t>
                  </w:r>
                </w:p>
              </w:tc>
              <w:tc>
                <w:tcPr>
                  <w:tcW w:w="2029" w:type="dxa"/>
                  <w:tcBorders>
                    <w:top w:val="single" w:color="auto" w:sz="4" w:space="0"/>
                    <w:left w:val="single" w:color="auto" w:sz="4" w:space="0"/>
                    <w:bottom w:val="single" w:color="auto" w:sz="4" w:space="0"/>
                  </w:tcBorders>
                  <w:noWrap w:val="0"/>
                  <w:vAlign w:val="center"/>
                </w:tcPr>
                <w:p w14:paraId="1D1C16C0">
                  <w:pPr>
                    <w:pStyle w:val="143"/>
                    <w:adjustRightInd w:val="0"/>
                    <w:snapToGrid w:val="0"/>
                    <w:spacing w:line="240" w:lineRule="auto"/>
                    <w:ind w:right="178"/>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rPr>
                    <w:t>项目不使用高污染燃料。项目不属于化工、钢铁项目。项目不开采地下水。</w:t>
                  </w:r>
                  <w:r>
                    <w:rPr>
                      <w:rFonts w:hint="default" w:ascii="Times New Roman" w:hAnsi="Times New Roman" w:cs="Times New Roman"/>
                      <w:color w:val="auto"/>
                      <w:kern w:val="2"/>
                      <w:sz w:val="21"/>
                      <w:szCs w:val="21"/>
                      <w:lang w:val="en-US" w:eastAsia="zh-CN"/>
                    </w:rPr>
                    <w:t>符合</w:t>
                  </w:r>
                </w:p>
              </w:tc>
            </w:tr>
          </w:tbl>
          <w:p w14:paraId="501AC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Cs/>
                <w:color w:val="auto"/>
              </w:rPr>
            </w:pPr>
            <w:r>
              <w:rPr>
                <w:bCs/>
                <w:color w:val="auto"/>
              </w:rPr>
              <w:t>对照</w:t>
            </w:r>
            <w:r>
              <w:rPr>
                <w:color w:val="auto"/>
                <w:szCs w:val="21"/>
              </w:rPr>
              <w:t>《南通市“三线一单”生态环境分区管控实施方案》（通政办规</w:t>
            </w:r>
            <w:r>
              <w:rPr>
                <w:rFonts w:hint="eastAsia"/>
                <w:color w:val="auto"/>
                <w:kern w:val="0"/>
                <w:szCs w:val="21"/>
              </w:rPr>
              <w:t>〔20</w:t>
            </w:r>
            <w:r>
              <w:rPr>
                <w:rFonts w:hint="eastAsia"/>
                <w:color w:val="auto"/>
                <w:kern w:val="0"/>
                <w:szCs w:val="21"/>
                <w:lang w:val="en-US" w:eastAsia="zh-CN"/>
              </w:rPr>
              <w:t>21</w:t>
            </w:r>
            <w:r>
              <w:rPr>
                <w:rFonts w:hint="eastAsia"/>
                <w:color w:val="auto"/>
                <w:kern w:val="0"/>
                <w:szCs w:val="21"/>
              </w:rPr>
              <w:t>〕</w:t>
            </w:r>
            <w:r>
              <w:rPr>
                <w:color w:val="auto"/>
                <w:szCs w:val="21"/>
              </w:rPr>
              <w:t>4号）附件4南通市省级以上产业园区生态环境准入清单，本项目与海门经济技术开发区生态环境准入清单对照如下表。</w:t>
            </w:r>
          </w:p>
          <w:p w14:paraId="6BD3E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4"/>
                <w:szCs w:val="24"/>
              </w:rPr>
            </w:pPr>
            <w:r>
              <w:rPr>
                <w:b/>
                <w:bCs/>
                <w:color w:val="auto"/>
              </w:rPr>
              <w:t>表1-</w:t>
            </w:r>
            <w:r>
              <w:rPr>
                <w:rFonts w:hint="eastAsia"/>
                <w:b/>
                <w:bCs/>
                <w:color w:val="auto"/>
                <w:lang w:val="en-US" w:eastAsia="zh-CN"/>
              </w:rPr>
              <w:t>6</w:t>
            </w:r>
            <w:r>
              <w:rPr>
                <w:b/>
                <w:bCs/>
                <w:color w:val="auto"/>
              </w:rPr>
              <w:t xml:space="preserve">  本项目与海门经济技术开发区生态环境准入清单相符性分析</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856"/>
              <w:gridCol w:w="3252"/>
              <w:gridCol w:w="2132"/>
              <w:gridCol w:w="922"/>
            </w:tblGrid>
            <w:tr w14:paraId="14319A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26" w:type="dxa"/>
                  <w:gridSpan w:val="2"/>
                  <w:tcBorders>
                    <w:tl2br w:val="nil"/>
                    <w:tr2bl w:val="nil"/>
                  </w:tcBorders>
                  <w:vAlign w:val="center"/>
                </w:tcPr>
                <w:p w14:paraId="1560D3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清单类别</w:t>
                  </w:r>
                </w:p>
              </w:tc>
              <w:tc>
                <w:tcPr>
                  <w:tcW w:w="3363" w:type="dxa"/>
                  <w:tcBorders>
                    <w:tl2br w:val="nil"/>
                    <w:tr2bl w:val="nil"/>
                  </w:tcBorders>
                  <w:vAlign w:val="center"/>
                </w:tcPr>
                <w:p w14:paraId="2BD3FB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生态环境准入条件</w:t>
                  </w:r>
                </w:p>
              </w:tc>
              <w:tc>
                <w:tcPr>
                  <w:tcW w:w="2229" w:type="dxa"/>
                  <w:tcBorders>
                    <w:tl2br w:val="nil"/>
                    <w:tr2bl w:val="nil"/>
                  </w:tcBorders>
                  <w:vAlign w:val="center"/>
                </w:tcPr>
                <w:p w14:paraId="3EBCCF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相符性分析</w:t>
                  </w:r>
                </w:p>
              </w:tc>
              <w:tc>
                <w:tcPr>
                  <w:tcW w:w="964" w:type="dxa"/>
                  <w:tcBorders>
                    <w:tl2br w:val="nil"/>
                    <w:tr2bl w:val="nil"/>
                  </w:tcBorders>
                  <w:vAlign w:val="center"/>
                </w:tcPr>
                <w:p w14:paraId="0464AE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相符性</w:t>
                  </w:r>
                </w:p>
              </w:tc>
            </w:tr>
            <w:tr w14:paraId="3647B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l2br w:val="nil"/>
                    <w:tr2bl w:val="nil"/>
                  </w:tcBorders>
                  <w:vAlign w:val="center"/>
                </w:tcPr>
                <w:p w14:paraId="71591B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产业准入</w:t>
                  </w:r>
                </w:p>
              </w:tc>
              <w:tc>
                <w:tcPr>
                  <w:tcW w:w="892" w:type="dxa"/>
                  <w:tcBorders>
                    <w:tl2br w:val="nil"/>
                    <w:tr2bl w:val="nil"/>
                  </w:tcBorders>
                  <w:vAlign w:val="center"/>
                </w:tcPr>
                <w:p w14:paraId="752419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主导产业</w:t>
                  </w:r>
                </w:p>
              </w:tc>
              <w:tc>
                <w:tcPr>
                  <w:tcW w:w="3363" w:type="dxa"/>
                  <w:tcBorders>
                    <w:tl2br w:val="nil"/>
                    <w:tr2bl w:val="nil"/>
                  </w:tcBorders>
                  <w:vAlign w:val="top"/>
                </w:tcPr>
                <w:p w14:paraId="16F46C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海工装备、智能制造、新一代信息技术等产业</w:t>
                  </w:r>
                </w:p>
              </w:tc>
              <w:tc>
                <w:tcPr>
                  <w:tcW w:w="2229" w:type="dxa"/>
                  <w:vMerge w:val="restart"/>
                  <w:tcBorders>
                    <w:tl2br w:val="nil"/>
                    <w:tr2bl w:val="nil"/>
                  </w:tcBorders>
                  <w:vAlign w:val="center"/>
                </w:tcPr>
                <w:p w14:paraId="5093B9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本项目为</w:t>
                  </w:r>
                  <w:r>
                    <w:rPr>
                      <w:rFonts w:hint="default" w:ascii="Times New Roman" w:hAnsi="Times New Roman" w:eastAsia="宋体" w:cs="Times New Roman"/>
                      <w:color w:val="auto"/>
                      <w:vertAlign w:val="baseline"/>
                      <w:lang w:val="en-US" w:eastAsia="zh-CN"/>
                    </w:rPr>
                    <w:t>C3393锻件及粉末冶金制品制造</w:t>
                  </w:r>
                  <w:r>
                    <w:rPr>
                      <w:rFonts w:hint="eastAsia" w:cs="Times New Roman"/>
                      <w:b w:val="0"/>
                      <w:bCs w:val="0"/>
                      <w:color w:val="auto"/>
                      <w:spacing w:val="0"/>
                      <w:kern w:val="11"/>
                      <w:sz w:val="21"/>
                      <w:szCs w:val="21"/>
                      <w:highlight w:val="none"/>
                      <w:vertAlign w:val="baseline"/>
                      <w:lang w:val="en-US" w:eastAsia="zh-CN"/>
                    </w:rPr>
                    <w:t>，对照产业准入清单可知，本项目不属于优先引入、禁止引入、限制引入，属于一般发展行业，为允许类，符合总体发展规划。本项目天然气燃烧废气收集后高空排放，因此异味不会对周边环境产生较大影响。符合园区恶臭气体要求。</w:t>
                  </w:r>
                </w:p>
              </w:tc>
              <w:tc>
                <w:tcPr>
                  <w:tcW w:w="964" w:type="dxa"/>
                  <w:vMerge w:val="restart"/>
                  <w:tcBorders>
                    <w:tl2br w:val="nil"/>
                    <w:tr2bl w:val="nil"/>
                  </w:tcBorders>
                  <w:vAlign w:val="center"/>
                </w:tcPr>
                <w:p w14:paraId="35D07E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032F64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l2br w:val="nil"/>
                    <w:tr2bl w:val="nil"/>
                  </w:tcBorders>
                  <w:vAlign w:val="top"/>
                </w:tcPr>
                <w:p w14:paraId="01743E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p>
              </w:tc>
              <w:tc>
                <w:tcPr>
                  <w:tcW w:w="892" w:type="dxa"/>
                  <w:tcBorders>
                    <w:tl2br w:val="nil"/>
                    <w:tr2bl w:val="nil"/>
                  </w:tcBorders>
                  <w:vAlign w:val="center"/>
                </w:tcPr>
                <w:p w14:paraId="62128C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优先引入</w:t>
                  </w:r>
                </w:p>
              </w:tc>
              <w:tc>
                <w:tcPr>
                  <w:tcW w:w="3363" w:type="dxa"/>
                  <w:tcBorders>
                    <w:tl2br w:val="nil"/>
                    <w:tr2bl w:val="nil"/>
                  </w:tcBorders>
                  <w:vAlign w:val="top"/>
                </w:tcPr>
                <w:p w14:paraId="25A92AE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优先引入符合产业定位且属于相关产业政策文件中的鼓励类和重点发展行业中的产品、工艺和技术；（2）优先引入符合产业定位的国家战略需要和尖端科技事业相关的项目，高性能、技术含量高的关键性、基础性、资源优势性的项目；（3）鼓励依托龙头企业发展上下游关联度强、技术水平高、绿色安全环保的企业和项目，进一步补链、延链、强链。</w:t>
                  </w:r>
                </w:p>
              </w:tc>
              <w:tc>
                <w:tcPr>
                  <w:tcW w:w="2229" w:type="dxa"/>
                  <w:vMerge w:val="continue"/>
                  <w:tcBorders>
                    <w:tl2br w:val="nil"/>
                    <w:tr2bl w:val="nil"/>
                  </w:tcBorders>
                  <w:vAlign w:val="center"/>
                </w:tcPr>
                <w:p w14:paraId="06266D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c>
                <w:tcPr>
                  <w:tcW w:w="964" w:type="dxa"/>
                  <w:vMerge w:val="continue"/>
                  <w:tcBorders>
                    <w:tl2br w:val="nil"/>
                    <w:tr2bl w:val="nil"/>
                  </w:tcBorders>
                  <w:vAlign w:val="center"/>
                </w:tcPr>
                <w:p w14:paraId="617B0D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r>
            <w:tr w14:paraId="6B6824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l2br w:val="nil"/>
                    <w:tr2bl w:val="nil"/>
                  </w:tcBorders>
                  <w:vAlign w:val="top"/>
                </w:tcPr>
                <w:p w14:paraId="177032B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p>
              </w:tc>
              <w:tc>
                <w:tcPr>
                  <w:tcW w:w="892" w:type="dxa"/>
                  <w:tcBorders>
                    <w:tl2br w:val="nil"/>
                    <w:tr2bl w:val="nil"/>
                  </w:tcBorders>
                  <w:vAlign w:val="center"/>
                </w:tcPr>
                <w:p w14:paraId="0045DE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禁止引入</w:t>
                  </w:r>
                </w:p>
              </w:tc>
              <w:tc>
                <w:tcPr>
                  <w:tcW w:w="3363" w:type="dxa"/>
                  <w:tcBorders>
                    <w:tl2br w:val="nil"/>
                    <w:tr2bl w:val="nil"/>
                  </w:tcBorders>
                  <w:vAlign w:val="top"/>
                </w:tcPr>
                <w:p w14:paraId="454BB7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禁止引入与国家、地方现行产业政策相冲突的项目；（2）禁止新建纯电镀项目（为本地产业配套的“绿岛”类项目除外）、新引进含印染的项目，禁止现有印染企业新建、扩建印染项目；（3）禁止引入金属或非金属表面处理外加工产业（不包括新一代信息、海工装备、智能制造等产业生产工艺流程中必备的磷化、喷涂、电泳等工序）；（4）禁止引入使用高 VOCs 含量的溶剂型涂料、油墨、胶粘剂等项目；（5）禁止引入生产工艺及设备落后、风险防范措施疏漏、抗风险能力差的项目。</w:t>
                  </w:r>
                </w:p>
              </w:tc>
              <w:tc>
                <w:tcPr>
                  <w:tcW w:w="2229" w:type="dxa"/>
                  <w:vMerge w:val="continue"/>
                  <w:tcBorders>
                    <w:tl2br w:val="nil"/>
                    <w:tr2bl w:val="nil"/>
                  </w:tcBorders>
                  <w:vAlign w:val="center"/>
                </w:tcPr>
                <w:p w14:paraId="49424CD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c>
                <w:tcPr>
                  <w:tcW w:w="964" w:type="dxa"/>
                  <w:vMerge w:val="continue"/>
                  <w:tcBorders>
                    <w:tl2br w:val="nil"/>
                    <w:tr2bl w:val="nil"/>
                  </w:tcBorders>
                  <w:vAlign w:val="center"/>
                </w:tcPr>
                <w:p w14:paraId="782CAC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r>
            <w:tr w14:paraId="15CBC6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l2br w:val="nil"/>
                    <w:tr2bl w:val="nil"/>
                  </w:tcBorders>
                  <w:vAlign w:val="top"/>
                </w:tcPr>
                <w:p w14:paraId="0ACC6E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p>
              </w:tc>
              <w:tc>
                <w:tcPr>
                  <w:tcW w:w="892" w:type="dxa"/>
                  <w:tcBorders>
                    <w:tl2br w:val="nil"/>
                    <w:tr2bl w:val="nil"/>
                  </w:tcBorders>
                  <w:vAlign w:val="center"/>
                </w:tcPr>
                <w:p w14:paraId="226B28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限制引入</w:t>
                  </w:r>
                </w:p>
              </w:tc>
              <w:tc>
                <w:tcPr>
                  <w:tcW w:w="3363" w:type="dxa"/>
                  <w:tcBorders>
                    <w:tl2br w:val="nil"/>
                    <w:tr2bl w:val="nil"/>
                  </w:tcBorders>
                  <w:vAlign w:val="top"/>
                </w:tcPr>
                <w:p w14:paraId="3208B6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国家和地方产业政策限制类的建设项目和工艺。</w:t>
                  </w:r>
                </w:p>
              </w:tc>
              <w:tc>
                <w:tcPr>
                  <w:tcW w:w="2229" w:type="dxa"/>
                  <w:vMerge w:val="continue"/>
                  <w:tcBorders>
                    <w:tl2br w:val="nil"/>
                    <w:tr2bl w:val="nil"/>
                  </w:tcBorders>
                  <w:vAlign w:val="center"/>
                </w:tcPr>
                <w:p w14:paraId="1022CA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c>
                <w:tcPr>
                  <w:tcW w:w="964" w:type="dxa"/>
                  <w:vMerge w:val="continue"/>
                  <w:tcBorders>
                    <w:tl2br w:val="nil"/>
                    <w:tr2bl w:val="nil"/>
                  </w:tcBorders>
                  <w:vAlign w:val="center"/>
                </w:tcPr>
                <w:p w14:paraId="62A99F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r>
            <w:tr w14:paraId="2E2AEF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26" w:type="dxa"/>
                  <w:gridSpan w:val="2"/>
                  <w:tcBorders>
                    <w:tl2br w:val="nil"/>
                    <w:tr2bl w:val="nil"/>
                  </w:tcBorders>
                  <w:vAlign w:val="center"/>
                </w:tcPr>
                <w:p w14:paraId="7BDB62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空间布局约束</w:t>
                  </w:r>
                </w:p>
              </w:tc>
              <w:tc>
                <w:tcPr>
                  <w:tcW w:w="3363" w:type="dxa"/>
                  <w:tcBorders>
                    <w:tl2br w:val="nil"/>
                    <w:tr2bl w:val="nil"/>
                  </w:tcBorders>
                  <w:vAlign w:val="top"/>
                </w:tcPr>
                <w:p w14:paraId="0B404A8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依据《基本农田保护条例》，对基本农田实行严格保护，确保基本农田面积不减、质量提升、布局稳定；（2）区内水域和防护绿地作为生态空间重点保护，原则上不得开发和占用；（3）各类开发建设活动应符合相关规划要求，落实生态红线管控要求；（4）工业用地与人口集中居住区之间，应设置以道路（河道）+防护林为主要形式的空间防护带，防护带的宽度原则上不小于 50 米，非生产型企业空间防护距离可以适当缩小，但不应小于 30 米；居住用地周边 100 米范围内工业用地禁止引入含喷涂、酸洗、危化品仓库的项目，排放 VOCs、氨气等废气污染物的企业远离居住用地布置。</w:t>
                  </w:r>
                </w:p>
              </w:tc>
              <w:tc>
                <w:tcPr>
                  <w:tcW w:w="2229" w:type="dxa"/>
                  <w:tcBorders>
                    <w:tl2br w:val="nil"/>
                    <w:tr2bl w:val="nil"/>
                  </w:tcBorders>
                  <w:vAlign w:val="center"/>
                </w:tcPr>
                <w:p w14:paraId="5F676C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本项目不涉及生态管控区间内，位于工业用地，本项目周边500m范围内无居民等敏感点，大于50m 空间隔离带要求。</w:t>
                  </w:r>
                </w:p>
              </w:tc>
              <w:tc>
                <w:tcPr>
                  <w:tcW w:w="964" w:type="dxa"/>
                  <w:tcBorders>
                    <w:tl2br w:val="nil"/>
                    <w:tr2bl w:val="nil"/>
                  </w:tcBorders>
                  <w:vAlign w:val="center"/>
                </w:tcPr>
                <w:p w14:paraId="2895EB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058A6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l2br w:val="nil"/>
                    <w:tr2bl w:val="nil"/>
                  </w:tcBorders>
                  <w:vAlign w:val="center"/>
                </w:tcPr>
                <w:p w14:paraId="4CD3D9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污染物排放管控</w:t>
                  </w:r>
                </w:p>
              </w:tc>
              <w:tc>
                <w:tcPr>
                  <w:tcW w:w="892" w:type="dxa"/>
                  <w:tcBorders>
                    <w:tl2br w:val="nil"/>
                    <w:tr2bl w:val="nil"/>
                  </w:tcBorders>
                  <w:vAlign w:val="center"/>
                </w:tcPr>
                <w:p w14:paraId="6794CA4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环境质量</w:t>
                  </w:r>
                </w:p>
              </w:tc>
              <w:tc>
                <w:tcPr>
                  <w:tcW w:w="3363" w:type="dxa"/>
                  <w:tcBorders>
                    <w:tl2br w:val="nil"/>
                    <w:tr2bl w:val="nil"/>
                  </w:tcBorders>
                  <w:vAlign w:val="top"/>
                </w:tcPr>
                <w:p w14:paraId="00D8B2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（1）大气环境质量达到《环境空气质量标准》二级标准、《环境影响评价技术导则大气环境》（HJ2.2-2018）附录 D其他污染物空气质量浓度参考限值等；2025 年，环境空气细颗粒物（PM2.5）、臭氧、二氧化氮浓度分别达到 25、160、17 微克/立方米；2035年，环境空气细颗粒物（PM2.5）达到 23 微克/立方米，环境质量持续改善；（2）大港河、新江海河、立新河、浒通河、海门河稳定达到 III 类水质标准；（3）土壤达到《土壤环境质量建设用地土壤污染风险管控标准（试行）》（GB36600-2018）筛选值中的第一类、第二类用地标准；（4）工业区声环境满足《声环境质量标准》（GB3096-2008）中 3 类标准要求；居住区、商业区满足 2 类标准要求；交通干线两侧满足4a 类标准要求。</w:t>
                  </w:r>
                </w:p>
              </w:tc>
              <w:tc>
                <w:tcPr>
                  <w:tcW w:w="2229" w:type="dxa"/>
                  <w:tcBorders>
                    <w:tl2br w:val="nil"/>
                    <w:tr2bl w:val="nil"/>
                  </w:tcBorders>
                  <w:vAlign w:val="center"/>
                </w:tcPr>
                <w:p w14:paraId="3C5E54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本项目建成后，废气、废水、噪声及固废均有效处置，对周边环境影响较小，不会降低所在地的环境功能质量，符合环境质量底线标准</w:t>
                  </w:r>
                </w:p>
              </w:tc>
              <w:tc>
                <w:tcPr>
                  <w:tcW w:w="964" w:type="dxa"/>
                  <w:tcBorders>
                    <w:tl2br w:val="nil"/>
                    <w:tr2bl w:val="nil"/>
                  </w:tcBorders>
                  <w:vAlign w:val="center"/>
                </w:tcPr>
                <w:p w14:paraId="6B9EBE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77138B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tl2br w:val="nil"/>
                    <w:tr2bl w:val="nil"/>
                  </w:tcBorders>
                  <w:vAlign w:val="center"/>
                </w:tcPr>
                <w:p w14:paraId="07F20D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p>
              </w:tc>
              <w:tc>
                <w:tcPr>
                  <w:tcW w:w="892" w:type="dxa"/>
                  <w:tcBorders>
                    <w:tl2br w:val="nil"/>
                    <w:tr2bl w:val="nil"/>
                  </w:tcBorders>
                  <w:vAlign w:val="center"/>
                </w:tcPr>
                <w:p w14:paraId="43949E0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污染物排放总量</w:t>
                  </w:r>
                </w:p>
              </w:tc>
              <w:tc>
                <w:tcPr>
                  <w:tcW w:w="3363" w:type="dxa"/>
                  <w:tcBorders>
                    <w:tl2br w:val="nil"/>
                    <w:tr2bl w:val="nil"/>
                  </w:tcBorders>
                  <w:vAlign w:val="top"/>
                </w:tcPr>
                <w:p w14:paraId="258037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（1）废水污染物（外排量）：2025 年排放量，化学需氧量小于 592.46 吨/年，氨氮小于46.44 吨/年、总磷小于 5.92吨/年、总氮小于 228.98 吨/年；2035 年排放量，化学需氧量小于 859.80 吨/年，氨氮小于 54.07 吨/年、总磷小于8.60 吨/年、总氮小于 356.05吨/年；（2）大气污染物：2025 年排放量，二氧化硫小于 524.14 吨/年，氮氧化物小于 446.93 吨/年，颗粒物小于 724.79 吨/年，VOCs 小于 113.61 吨/年；2035 年排放量，二氧化硫小于 535.07 吨/年，氮氧化物小于 454.81 吨/年，颗粒物小于750.19 吨/年，VOCs 小于128.33 吨/年；（3）2025 年一般工业固废 8.16万吨/年，危险废物 0.65 万吨/年；2035 年一般工业固废9.11 万吨/年，危险废物 1.20万吨/年，全部综合利用或者委外合法安全处置。</w:t>
                  </w:r>
                </w:p>
              </w:tc>
              <w:tc>
                <w:tcPr>
                  <w:tcW w:w="2229" w:type="dxa"/>
                  <w:tcBorders>
                    <w:tl2br w:val="nil"/>
                    <w:tr2bl w:val="nil"/>
                  </w:tcBorders>
                  <w:vAlign w:val="center"/>
                </w:tcPr>
                <w:p w14:paraId="65A1E6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本项目采取有效污染防治措施，废水、废气及噪声均可达标排放，排放总量在海门区内平衡</w:t>
                  </w:r>
                </w:p>
              </w:tc>
              <w:tc>
                <w:tcPr>
                  <w:tcW w:w="964" w:type="dxa"/>
                  <w:tcBorders>
                    <w:tl2br w:val="nil"/>
                    <w:tr2bl w:val="nil"/>
                  </w:tcBorders>
                  <w:vAlign w:val="center"/>
                </w:tcPr>
                <w:p w14:paraId="1F3F72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0B9B2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26" w:type="dxa"/>
                  <w:gridSpan w:val="2"/>
                  <w:tcBorders>
                    <w:tl2br w:val="nil"/>
                    <w:tr2bl w:val="nil"/>
                  </w:tcBorders>
                  <w:vAlign w:val="center"/>
                </w:tcPr>
                <w:p w14:paraId="3A7619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环境风险管控</w:t>
                  </w:r>
                </w:p>
              </w:tc>
              <w:tc>
                <w:tcPr>
                  <w:tcW w:w="3363" w:type="dxa"/>
                  <w:tcBorders>
                    <w:tl2br w:val="nil"/>
                    <w:tr2bl w:val="nil"/>
                  </w:tcBorders>
                  <w:vAlign w:val="top"/>
                </w:tcPr>
                <w:p w14:paraId="777EF0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1）建立区内环境风险物质和环境风险防控措施两个清单；及时完成环境应急预案更新、备案；定期开展环境应急演练，完善环境应急响应联动机制，提升应急实战水平；建立突发环境事件隐患排查长效机制，定期排查整治突发环境事件隐患，督促区内企业开展突发环境事件应急预案“一图两单两卡”管理，指导区内较大及以上重点环境风险企业按要求实施“三落实三必须”；应急物资库配备必要的污染物吸附、拦截、消减及现场快速检测设备等应急物资，提高环境应急救援能力；（2）根据新一代信息技术产业片区引进产业，建立突发水污染事件等环境应急防范体系，完善“企业－公共管网－ 区内水体”水污染三级防控基础设施建设；建立有毒有害气体监控预警体系，完善重点监控区域预警和应急机制，涉及有毒有害气体的企业全部安装毒害气体监控预警装置并与当地生态环境主管部门或开发区管理平台联网，加强监控；（3）按照相关管理要求申报、处置废弃危险化学品。强化对危险废物的收集、贮存和处置的监督管理，实现危险废物监管无盲区、无死角。</w:t>
                  </w:r>
                </w:p>
              </w:tc>
              <w:tc>
                <w:tcPr>
                  <w:tcW w:w="2229" w:type="dxa"/>
                  <w:tcBorders>
                    <w:tl2br w:val="nil"/>
                    <w:tr2bl w:val="nil"/>
                  </w:tcBorders>
                  <w:vAlign w:val="center"/>
                </w:tcPr>
                <w:p w14:paraId="5E1EA5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本项目建设后按要求进行应急预案编制，并按照相关要求例行监测。本项目无危废产生，全厂危废委托有资质单位处置，严格对危险废物的收集、贮存和处置的监督管理，实现危险废物监管无盲区、无死角。</w:t>
                  </w:r>
                </w:p>
              </w:tc>
              <w:tc>
                <w:tcPr>
                  <w:tcW w:w="964" w:type="dxa"/>
                  <w:tcBorders>
                    <w:tl2br w:val="nil"/>
                    <w:tr2bl w:val="nil"/>
                  </w:tcBorders>
                  <w:vAlign w:val="center"/>
                </w:tcPr>
                <w:p w14:paraId="1504B43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560356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26" w:type="dxa"/>
                  <w:gridSpan w:val="2"/>
                  <w:tcBorders>
                    <w:tl2br w:val="nil"/>
                    <w:tr2bl w:val="nil"/>
                  </w:tcBorders>
                  <w:vAlign w:val="center"/>
                </w:tcPr>
                <w:p w14:paraId="1837A03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资源开发利用要求</w:t>
                  </w:r>
                </w:p>
              </w:tc>
              <w:tc>
                <w:tcPr>
                  <w:tcW w:w="3363" w:type="dxa"/>
                  <w:tcBorders>
                    <w:tl2br w:val="nil"/>
                    <w:tr2bl w:val="nil"/>
                  </w:tcBorders>
                  <w:vAlign w:val="top"/>
                </w:tcPr>
                <w:p w14:paraId="4533A7E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单位工业增加值新鲜水耗不高于 6.5 吨/万元；</w:t>
                  </w:r>
                </w:p>
                <w:p w14:paraId="38AEB35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建设用地总量上限不高于50.99 平方公里，工业用地及仓储用地总量不高于 18.83平方公里；</w:t>
                  </w:r>
                </w:p>
                <w:p w14:paraId="34A8A89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单位工业增加值综合能耗不高于 0.41 吨标煤/万元；</w:t>
                  </w:r>
                </w:p>
                <w:p w14:paraId="0420F4B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引进项目的生产工艺、设备，以及单位产品水耗、能耗、污染物排放和资源利用效率等应达到同行业国际先进水平；</w:t>
                  </w:r>
                </w:p>
                <w:p w14:paraId="102EBE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（5）企业应加强水的循环利用，提高水的重复利用率，推进节水型企业、节水型园区建设，提高区域中水回用率，2035 年开发区工业污水处理厂中水回用率不低于30%。</w:t>
                  </w:r>
                </w:p>
              </w:tc>
              <w:tc>
                <w:tcPr>
                  <w:tcW w:w="2229" w:type="dxa"/>
                  <w:tcBorders>
                    <w:tl2br w:val="nil"/>
                    <w:tr2bl w:val="nil"/>
                  </w:tcBorders>
                  <w:vAlign w:val="center"/>
                </w:tcPr>
                <w:p w14:paraId="419FF6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本项目预计年销售额25000万元，单位工业增加值新鲜水耗0.36吨/万元，符合不高于6.5 吨/万元要求；本项目年用电量420万 kWh/a，年水用量9000 吨，年天然气用量140万m</w:t>
                  </w:r>
                  <w:r>
                    <w:rPr>
                      <w:rFonts w:hint="eastAsia" w:cs="Times New Roman"/>
                      <w:b w:val="0"/>
                      <w:bCs w:val="0"/>
                      <w:color w:val="auto"/>
                      <w:spacing w:val="0"/>
                      <w:kern w:val="11"/>
                      <w:sz w:val="21"/>
                      <w:szCs w:val="21"/>
                      <w:highlight w:val="none"/>
                      <w:vertAlign w:val="superscript"/>
                      <w:lang w:val="en-US" w:eastAsia="zh-CN"/>
                    </w:rPr>
                    <w:t>3</w:t>
                  </w:r>
                  <w:r>
                    <w:rPr>
                      <w:rFonts w:hint="eastAsia" w:cs="Times New Roman"/>
                      <w:b w:val="0"/>
                      <w:bCs w:val="0"/>
                      <w:color w:val="auto"/>
                      <w:spacing w:val="0"/>
                      <w:kern w:val="11"/>
                      <w:sz w:val="21"/>
                      <w:szCs w:val="21"/>
                      <w:highlight w:val="none"/>
                      <w:vertAlign w:val="baseline"/>
                      <w:lang w:val="en-US" w:eastAsia="zh-CN"/>
                    </w:rPr>
                    <w:t>，折标准煤量约2946.5吨标准煤，本项目预计年销售额25000 万元，单位工业增加值综合能耗约0.118 吨标煤/万元，低于 0.41 吨标煤/万元，符合要求；通过对比同行业设备、工艺及能耗等，本项目的生产工艺、设备，以及单位产品水耗、能耗、污染物排放和资源利用效率等应达到同行业国际先进水平，因此符合园区规划要求。</w:t>
                  </w:r>
                </w:p>
              </w:tc>
              <w:tc>
                <w:tcPr>
                  <w:tcW w:w="964" w:type="dxa"/>
                  <w:tcBorders>
                    <w:tl2br w:val="nil"/>
                    <w:tr2bl w:val="nil"/>
                  </w:tcBorders>
                  <w:vAlign w:val="center"/>
                </w:tcPr>
                <w:p w14:paraId="5B5577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bl>
          <w:p w14:paraId="5E0B8D00">
            <w:pPr>
              <w:pStyle w:val="11"/>
              <w:spacing w:line="360" w:lineRule="auto"/>
              <w:ind w:left="0" w:leftChars="0"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因此，项目建设符合《市政府办公室关于印发〈南通市“三线一单” 生态环境分区管控实施方案〉的通知》（通政办规〔2021〕4 号）的相关要求。</w:t>
            </w:r>
          </w:p>
          <w:p w14:paraId="15A7D922">
            <w:pPr>
              <w:pStyle w:val="11"/>
              <w:spacing w:line="360" w:lineRule="auto"/>
              <w:ind w:firstLine="480"/>
              <w:rPr>
                <w:rFonts w:hint="eastAsia" w:ascii="Times New Roman" w:hAnsi="Times New Roman" w:eastAsia="宋体" w:cs="Times New Roman"/>
                <w:bCs/>
                <w:color w:val="auto"/>
                <w:sz w:val="21"/>
                <w:szCs w:val="21"/>
                <w:lang w:val="en-US" w:eastAsia="zh-CN"/>
              </w:rPr>
            </w:pPr>
            <w:r>
              <w:rPr>
                <w:rFonts w:hint="default" w:ascii="Times New Roman" w:hAnsi="Times New Roman" w:cs="Times New Roman"/>
                <w:color w:val="auto"/>
                <w:sz w:val="21"/>
                <w:szCs w:val="21"/>
                <w:lang w:val="en-US" w:eastAsia="zh-CN"/>
              </w:rPr>
              <w:t>综上所述，本项目符合“三线一单”要求</w:t>
            </w:r>
            <w:r>
              <w:rPr>
                <w:rFonts w:hint="default" w:ascii="Times New Roman" w:hAnsi="Times New Roman" w:cs="Times New Roman"/>
                <w:color w:val="auto"/>
                <w:sz w:val="24"/>
                <w:lang w:val="en-US" w:eastAsia="zh-CN"/>
              </w:rPr>
              <w:t>。</w:t>
            </w:r>
          </w:p>
          <w:p w14:paraId="63BC8C12">
            <w:pPr>
              <w:numPr>
                <w:ilvl w:val="0"/>
                <w:numId w:val="0"/>
              </w:numPr>
              <w:snapToGrid w:val="0"/>
              <w:spacing w:line="360" w:lineRule="auto"/>
              <w:rPr>
                <w:rFonts w:hint="eastAsia"/>
                <w:b/>
                <w:color w:val="auto"/>
                <w:sz w:val="21"/>
                <w:szCs w:val="21"/>
                <w:lang w:val="en-US" w:eastAsia="zh-CN"/>
              </w:rPr>
            </w:pPr>
            <w:r>
              <w:rPr>
                <w:rFonts w:hint="eastAsia" w:ascii="Times New Roman" w:hAnsi="Times New Roman" w:eastAsia="宋体" w:cs="Times New Roman"/>
                <w:b/>
                <w:color w:val="auto"/>
                <w:kern w:val="2"/>
                <w:sz w:val="21"/>
                <w:szCs w:val="21"/>
                <w:lang w:val="en-US" w:eastAsia="zh-CN" w:bidi="ar-SA"/>
              </w:rPr>
              <w:t>3、</w:t>
            </w:r>
            <w:r>
              <w:rPr>
                <w:rFonts w:hint="eastAsia"/>
                <w:b/>
                <w:color w:val="auto"/>
                <w:sz w:val="21"/>
                <w:szCs w:val="21"/>
                <w:lang w:val="en-US" w:eastAsia="zh-CN"/>
              </w:rPr>
              <w:t>与《江苏省2023年度生态环境分区管控动态更新成果》（2023年版）</w:t>
            </w:r>
            <w:r>
              <w:rPr>
                <w:rFonts w:hint="eastAsia"/>
                <w:b/>
                <w:bCs w:val="0"/>
                <w:color w:val="auto"/>
                <w:sz w:val="21"/>
                <w:szCs w:val="21"/>
                <w:lang w:val="en-US" w:eastAsia="zh-CN"/>
              </w:rPr>
              <w:t>、</w:t>
            </w:r>
            <w:r>
              <w:rPr>
                <w:rFonts w:hint="default" w:eastAsiaTheme="minorEastAsia"/>
                <w:b/>
                <w:bCs w:val="0"/>
                <w:color w:val="auto"/>
                <w:vertAlign w:val="baseline"/>
                <w:lang w:val="en-US" w:eastAsia="zh-CN"/>
              </w:rPr>
              <w:t>《2023年生态环境分区管控成果动态更新工作方案》（环办环评函</w:t>
            </w:r>
            <w:r>
              <w:rPr>
                <w:rFonts w:hint="eastAsia"/>
                <w:b/>
                <w:bCs/>
                <w:color w:val="auto"/>
                <w:kern w:val="0"/>
                <w:szCs w:val="21"/>
              </w:rPr>
              <w:t>〔20</w:t>
            </w:r>
            <w:r>
              <w:rPr>
                <w:rFonts w:hint="eastAsia"/>
                <w:b/>
                <w:bCs/>
                <w:color w:val="auto"/>
                <w:kern w:val="0"/>
                <w:szCs w:val="21"/>
                <w:lang w:val="en-US" w:eastAsia="zh-CN"/>
              </w:rPr>
              <w:t>23</w:t>
            </w:r>
            <w:r>
              <w:rPr>
                <w:rFonts w:hint="eastAsia"/>
                <w:b/>
                <w:bCs/>
                <w:color w:val="auto"/>
                <w:kern w:val="0"/>
                <w:szCs w:val="21"/>
              </w:rPr>
              <w:t>〕</w:t>
            </w:r>
            <w:r>
              <w:rPr>
                <w:rFonts w:hint="default" w:eastAsiaTheme="minorEastAsia"/>
                <w:b/>
                <w:bCs w:val="0"/>
                <w:color w:val="auto"/>
                <w:vertAlign w:val="baseline"/>
                <w:lang w:val="en-US" w:eastAsia="zh-CN"/>
              </w:rPr>
              <w:t>81号）</w:t>
            </w:r>
            <w:r>
              <w:rPr>
                <w:rFonts w:hint="eastAsia"/>
                <w:b/>
                <w:color w:val="auto"/>
                <w:sz w:val="21"/>
                <w:szCs w:val="21"/>
                <w:lang w:val="en-US" w:eastAsia="zh-CN"/>
              </w:rPr>
              <w:t xml:space="preserve">相符性分析 </w:t>
            </w:r>
          </w:p>
          <w:p w14:paraId="4A8B9D5C">
            <w:pPr>
              <w:numPr>
                <w:ilvl w:val="0"/>
                <w:numId w:val="0"/>
              </w:numPr>
              <w:snapToGrid w:val="0"/>
              <w:spacing w:line="360" w:lineRule="auto"/>
              <w:ind w:firstLine="420" w:firstLineChars="200"/>
              <w:rPr>
                <w:rFonts w:hint="eastAsia"/>
                <w:b w:val="0"/>
                <w:bCs/>
                <w:color w:val="auto"/>
                <w:sz w:val="21"/>
                <w:szCs w:val="21"/>
                <w:lang w:val="en-US" w:eastAsia="zh-CN"/>
              </w:rPr>
            </w:pPr>
            <w:r>
              <w:rPr>
                <w:rFonts w:hint="eastAsia"/>
                <w:b w:val="0"/>
                <w:bCs/>
                <w:color w:val="auto"/>
                <w:sz w:val="21"/>
                <w:szCs w:val="21"/>
                <w:lang w:val="en-US" w:eastAsia="zh-CN"/>
              </w:rPr>
              <w:t xml:space="preserve">经查询江苏省生态环境分区管控综合服务系统，本项目位于江苏省南通市海门经济技术开发区福州路123号，项目所在地属于重点管控单元，相符性分析见表1-7。 </w:t>
            </w:r>
          </w:p>
          <w:p w14:paraId="534EC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Times New Roman" w:hAnsi="Times New Roman" w:eastAsia="宋体" w:cs="Times New Roman"/>
                <w:b/>
                <w:bCs w:val="0"/>
                <w:color w:val="auto"/>
                <w:sz w:val="21"/>
                <w:szCs w:val="21"/>
                <w:lang w:val="en-US" w:eastAsia="zh-CN"/>
              </w:rPr>
            </w:pPr>
            <w:r>
              <w:rPr>
                <w:rFonts w:hint="eastAsia"/>
                <w:b/>
                <w:bCs w:val="0"/>
                <w:color w:val="auto"/>
                <w:sz w:val="21"/>
                <w:szCs w:val="21"/>
                <w:lang w:val="en-US" w:eastAsia="zh-CN"/>
              </w:rPr>
              <w:t>表1-7与《江苏省2023年度生态环境分区管控动态更新成果》（2023年版）、</w:t>
            </w:r>
            <w:r>
              <w:rPr>
                <w:rFonts w:hint="default" w:eastAsiaTheme="minorEastAsia"/>
                <w:b/>
                <w:bCs w:val="0"/>
                <w:color w:val="auto"/>
                <w:vertAlign w:val="baseline"/>
                <w:lang w:val="en-US" w:eastAsia="zh-CN"/>
              </w:rPr>
              <w:t>《2023年生态环境分区管控成果动态更新工作方案》（环办环评函</w:t>
            </w:r>
            <w:r>
              <w:rPr>
                <w:rFonts w:hint="eastAsia"/>
                <w:b/>
                <w:bCs/>
                <w:color w:val="auto"/>
                <w:kern w:val="0"/>
                <w:szCs w:val="21"/>
              </w:rPr>
              <w:t>〔20</w:t>
            </w:r>
            <w:r>
              <w:rPr>
                <w:rFonts w:hint="eastAsia"/>
                <w:b/>
                <w:bCs/>
                <w:color w:val="auto"/>
                <w:kern w:val="0"/>
                <w:szCs w:val="21"/>
                <w:lang w:val="en-US" w:eastAsia="zh-CN"/>
              </w:rPr>
              <w:t>23</w:t>
            </w:r>
            <w:r>
              <w:rPr>
                <w:rFonts w:hint="eastAsia"/>
                <w:b/>
                <w:bCs/>
                <w:color w:val="auto"/>
                <w:kern w:val="0"/>
                <w:szCs w:val="21"/>
              </w:rPr>
              <w:t>〕</w:t>
            </w:r>
            <w:r>
              <w:rPr>
                <w:rFonts w:hint="default" w:eastAsiaTheme="minorEastAsia"/>
                <w:b/>
                <w:bCs w:val="0"/>
                <w:color w:val="auto"/>
                <w:vertAlign w:val="baseline"/>
                <w:lang w:val="en-US" w:eastAsia="zh-CN"/>
              </w:rPr>
              <w:t>81号）</w:t>
            </w:r>
            <w:r>
              <w:rPr>
                <w:rFonts w:hint="eastAsia"/>
                <w:b/>
                <w:bCs w:val="0"/>
                <w:color w:val="auto"/>
                <w:sz w:val="21"/>
                <w:szCs w:val="21"/>
                <w:lang w:val="en-US" w:eastAsia="zh-CN"/>
              </w:rPr>
              <w:t>相符性分析</w:t>
            </w:r>
            <w:r>
              <w:rPr>
                <w:rFonts w:hint="eastAsia" w:ascii="Times New Roman" w:hAnsi="Times New Roman" w:eastAsia="宋体" w:cs="Times New Roman"/>
                <w:b/>
                <w:bCs w:val="0"/>
                <w:color w:val="auto"/>
                <w:sz w:val="21"/>
                <w:szCs w:val="21"/>
                <w:lang w:val="en-US" w:eastAsia="zh-CN"/>
              </w:rPr>
              <w:t>表</w:t>
            </w:r>
          </w:p>
          <w:tbl>
            <w:tblPr>
              <w:tblStyle w:val="4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
              <w:gridCol w:w="2472"/>
              <w:gridCol w:w="2359"/>
              <w:gridCol w:w="938"/>
            </w:tblGrid>
            <w:tr w14:paraId="7232D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tcBorders>
                    <w:tl2br w:val="nil"/>
                    <w:tr2bl w:val="nil"/>
                  </w:tcBorders>
                  <w:vAlign w:val="center"/>
                </w:tcPr>
                <w:p w14:paraId="6AA714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类型</w:t>
                  </w:r>
                </w:p>
              </w:tc>
              <w:tc>
                <w:tcPr>
                  <w:tcW w:w="3318" w:type="dxa"/>
                  <w:gridSpan w:val="2"/>
                  <w:tcBorders>
                    <w:tl2br w:val="nil"/>
                    <w:tr2bl w:val="nil"/>
                  </w:tcBorders>
                  <w:vAlign w:val="center"/>
                </w:tcPr>
                <w:p w14:paraId="4A938D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一般管控要求</w:t>
                  </w:r>
                </w:p>
              </w:tc>
              <w:tc>
                <w:tcPr>
                  <w:tcW w:w="2359" w:type="dxa"/>
                  <w:tcBorders>
                    <w:tl2br w:val="nil"/>
                    <w:tr2bl w:val="nil"/>
                  </w:tcBorders>
                  <w:vAlign w:val="center"/>
                </w:tcPr>
                <w:p w14:paraId="5105A2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建设项目情况</w:t>
                  </w:r>
                </w:p>
              </w:tc>
              <w:tc>
                <w:tcPr>
                  <w:tcW w:w="938" w:type="dxa"/>
                  <w:tcBorders>
                    <w:tl2br w:val="nil"/>
                    <w:tr2bl w:val="nil"/>
                  </w:tcBorders>
                  <w:vAlign w:val="center"/>
                </w:tcPr>
                <w:p w14:paraId="05B090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相符性分析</w:t>
                  </w:r>
                </w:p>
              </w:tc>
            </w:tr>
            <w:tr w14:paraId="7C9FAD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tcBorders>
                    <w:tl2br w:val="nil"/>
                    <w:tr2bl w:val="nil"/>
                  </w:tcBorders>
                  <w:vAlign w:val="center"/>
                </w:tcPr>
                <w:p w14:paraId="0F0B4D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基本</w:t>
                  </w:r>
                </w:p>
                <w:p w14:paraId="1CD0CE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原则</w:t>
                  </w:r>
                </w:p>
              </w:tc>
              <w:tc>
                <w:tcPr>
                  <w:tcW w:w="3318" w:type="dxa"/>
                  <w:gridSpan w:val="2"/>
                  <w:tcBorders>
                    <w:tl2br w:val="nil"/>
                    <w:tr2bl w:val="nil"/>
                  </w:tcBorders>
                  <w:vAlign w:val="center"/>
                </w:tcPr>
                <w:p w14:paraId="168A29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1、依法依规，严守底线。</w:t>
                  </w:r>
                </w:p>
                <w:p w14:paraId="488A6E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2、立足实际，因地制宜。</w:t>
                  </w:r>
                </w:p>
                <w:p w14:paraId="703B0B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3、严格准入，提升效能。</w:t>
                  </w:r>
                </w:p>
              </w:tc>
              <w:tc>
                <w:tcPr>
                  <w:tcW w:w="2359" w:type="dxa"/>
                  <w:tcBorders>
                    <w:tl2br w:val="nil"/>
                    <w:tr2bl w:val="nil"/>
                  </w:tcBorders>
                  <w:vAlign w:val="center"/>
                </w:tcPr>
                <w:p w14:paraId="04404AB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本项目位于</w:t>
                  </w:r>
                  <w:r>
                    <w:rPr>
                      <w:rFonts w:hint="eastAsia"/>
                      <w:b w:val="0"/>
                      <w:bCs/>
                      <w:color w:val="auto"/>
                      <w:sz w:val="21"/>
                      <w:szCs w:val="21"/>
                      <w:lang w:val="en-US" w:eastAsia="zh-CN"/>
                    </w:rPr>
                    <w:t>南通市海门经济技术开发区福州路123号</w:t>
                  </w:r>
                  <w:r>
                    <w:rPr>
                      <w:rFonts w:hint="eastAsia" w:ascii="Times New Roman" w:hAnsi="Times New Roman" w:eastAsia="宋体" w:cs="Times New Roman"/>
                      <w:b w:val="0"/>
                      <w:bCs/>
                      <w:color w:val="auto"/>
                      <w:sz w:val="21"/>
                      <w:szCs w:val="21"/>
                      <w:lang w:val="en-US" w:eastAsia="zh-CN"/>
                    </w:rPr>
                    <w:t>，用地性质为工业用地，不占用基本农田。</w:t>
                  </w:r>
                </w:p>
              </w:tc>
              <w:tc>
                <w:tcPr>
                  <w:tcW w:w="938" w:type="dxa"/>
                  <w:tcBorders>
                    <w:tl2br w:val="nil"/>
                    <w:tr2bl w:val="nil"/>
                  </w:tcBorders>
                  <w:vAlign w:val="center"/>
                </w:tcPr>
                <w:p w14:paraId="685433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0BE10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l2br w:val="nil"/>
                    <w:tr2bl w:val="nil"/>
                  </w:tcBorders>
                  <w:vAlign w:val="center"/>
                </w:tcPr>
                <w:p w14:paraId="5C8300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总体</w:t>
                  </w:r>
                </w:p>
                <w:p w14:paraId="74207D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目标</w:t>
                  </w:r>
                </w:p>
              </w:tc>
              <w:tc>
                <w:tcPr>
                  <w:tcW w:w="846" w:type="dxa"/>
                  <w:tcBorders>
                    <w:tl2br w:val="nil"/>
                    <w:tr2bl w:val="nil"/>
                  </w:tcBorders>
                  <w:vAlign w:val="center"/>
                </w:tcPr>
                <w:p w14:paraId="5435CC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生态保护红线</w:t>
                  </w:r>
                </w:p>
              </w:tc>
              <w:tc>
                <w:tcPr>
                  <w:tcW w:w="2472" w:type="dxa"/>
                  <w:tcBorders>
                    <w:tl2br w:val="nil"/>
                    <w:tr2bl w:val="nil"/>
                  </w:tcBorders>
                  <w:vAlign w:val="center"/>
                </w:tcPr>
                <w:p w14:paraId="459FE5D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落实国土空间总体规划，严守生态保护红线，陆域生态保护红线53.4917平方公里，海洋生态保护红线2480.777平方公里。南通市生态空间管控区域面积1532.87平方公里。</w:t>
                  </w:r>
                </w:p>
              </w:tc>
              <w:tc>
                <w:tcPr>
                  <w:tcW w:w="2359" w:type="dxa"/>
                  <w:tcBorders>
                    <w:tl2br w:val="nil"/>
                    <w:tr2bl w:val="nil"/>
                  </w:tcBorders>
                  <w:vAlign w:val="center"/>
                </w:tcPr>
                <w:p w14:paraId="10379C7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本项目位于江苏省南通市海门经济技术开发区福州路123号，距离海门区沿江堤防生态公益林约2.9km，不在其管控范围内。</w:t>
                  </w:r>
                </w:p>
              </w:tc>
              <w:tc>
                <w:tcPr>
                  <w:tcW w:w="938" w:type="dxa"/>
                  <w:tcBorders>
                    <w:tl2br w:val="nil"/>
                    <w:tr2bl w:val="nil"/>
                  </w:tcBorders>
                  <w:vAlign w:val="center"/>
                </w:tcPr>
                <w:p w14:paraId="0A4A22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0F113E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7FE2E2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230F6B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环境质量底线</w:t>
                  </w:r>
                </w:p>
              </w:tc>
              <w:tc>
                <w:tcPr>
                  <w:tcW w:w="2472" w:type="dxa"/>
                  <w:tcBorders>
                    <w:tl2br w:val="nil"/>
                    <w:tr2bl w:val="nil"/>
                  </w:tcBorders>
                  <w:vAlign w:val="center"/>
                </w:tcPr>
                <w:p w14:paraId="5DF695B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全市PM2.5浓度达27微克/立方米左右，优良天数比例达到88%以上；地表水国考断面水质优比例达93.8%</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省考以上断面水质优Ⅲ比例达到96.4%</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生态质量指数达到50以上，近岸海域水质优良</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一、二类</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比例达到66%,受污染耕地安全利用率达到93%以上。</w:t>
                  </w:r>
                </w:p>
              </w:tc>
              <w:tc>
                <w:tcPr>
                  <w:tcW w:w="2359" w:type="dxa"/>
                  <w:tcBorders>
                    <w:tl2br w:val="nil"/>
                    <w:tr2bl w:val="nil"/>
                  </w:tcBorders>
                  <w:vAlign w:val="center"/>
                </w:tcPr>
                <w:p w14:paraId="53B95E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根据《南通市生态环境状况公报(2023年)》</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南通市海门区</w:t>
                  </w:r>
                  <w:r>
                    <w:rPr>
                      <w:rFonts w:hint="eastAsia" w:ascii="Times New Roman" w:hAnsi="Times New Roman" w:eastAsia="宋体" w:cs="Times New Roman"/>
                      <w:b w:val="0"/>
                      <w:bCs/>
                      <w:color w:val="auto"/>
                      <w:sz w:val="21"/>
                      <w:szCs w:val="21"/>
                      <w:lang w:val="en-US" w:eastAsia="zh-CN"/>
                    </w:rPr>
                    <w:t>O</w:t>
                  </w:r>
                  <w:r>
                    <w:rPr>
                      <w:rFonts w:hint="eastAsia" w:ascii="Times New Roman" w:hAnsi="Times New Roman" w:eastAsia="宋体" w:cs="Times New Roman"/>
                      <w:b w:val="0"/>
                      <w:bCs/>
                      <w:color w:val="auto"/>
                      <w:sz w:val="21"/>
                      <w:szCs w:val="21"/>
                      <w:vertAlign w:val="subscript"/>
                      <w:lang w:val="en-US" w:eastAsia="zh-CN"/>
                    </w:rPr>
                    <w:t>3</w:t>
                  </w:r>
                  <w:r>
                    <w:rPr>
                      <w:rFonts w:hint="default" w:ascii="Times New Roman" w:hAnsi="Times New Roman" w:eastAsia="宋体" w:cs="Times New Roman"/>
                      <w:b w:val="0"/>
                      <w:bCs/>
                      <w:color w:val="auto"/>
                      <w:sz w:val="21"/>
                      <w:szCs w:val="21"/>
                      <w:lang w:val="en-US" w:eastAsia="zh-CN"/>
                    </w:rPr>
                    <w:t>超标，项目所在区域环境空气为不达标区。随着《南通市2024年大气污染防治工作计划》的落实，南通市海门区的环境空气质量将会得到进 一步改善。入海河流断面 水质均达到《地表水</w:t>
                  </w:r>
                  <w:r>
                    <w:rPr>
                      <w:rFonts w:hint="eastAsia" w:cs="Times New Roman"/>
                      <w:b w:val="0"/>
                      <w:bCs/>
                      <w:color w:val="auto"/>
                      <w:sz w:val="21"/>
                      <w:szCs w:val="21"/>
                      <w:lang w:val="en-US" w:eastAsia="zh-CN"/>
                    </w:rPr>
                    <w:t>环境质量</w:t>
                  </w:r>
                  <w:r>
                    <w:rPr>
                      <w:rFonts w:hint="default" w:ascii="Times New Roman" w:hAnsi="Times New Roman" w:eastAsia="宋体" w:cs="Times New Roman"/>
                      <w:b w:val="0"/>
                      <w:bCs/>
                      <w:color w:val="auto"/>
                      <w:sz w:val="21"/>
                      <w:szCs w:val="21"/>
                      <w:lang w:val="en-US" w:eastAsia="zh-CN"/>
                    </w:rPr>
                    <w:t>标准》</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GB3838</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-2002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Ⅲ类标准，水质优良。建设项目所在区域噪声</w:t>
                  </w:r>
                  <w:r>
                    <w:rPr>
                      <w:rFonts w:hint="eastAsia" w:cs="Times New Roman"/>
                      <w:b w:val="0"/>
                      <w:bCs/>
                      <w:color w:val="auto"/>
                      <w:sz w:val="21"/>
                      <w:szCs w:val="21"/>
                      <w:lang w:val="en-US" w:eastAsia="zh-CN"/>
                    </w:rPr>
                    <w:t>环境质量</w:t>
                  </w:r>
                  <w:bookmarkStart w:id="12" w:name="_GoBack"/>
                  <w:bookmarkEnd w:id="12"/>
                  <w:r>
                    <w:rPr>
                      <w:rFonts w:hint="default" w:ascii="Times New Roman" w:hAnsi="Times New Roman" w:eastAsia="宋体" w:cs="Times New Roman"/>
                      <w:b w:val="0"/>
                      <w:bCs/>
                      <w:color w:val="auto"/>
                      <w:sz w:val="21"/>
                      <w:szCs w:val="21"/>
                      <w:lang w:val="en-US" w:eastAsia="zh-CN"/>
                    </w:rPr>
                    <w:t>达标。</w:t>
                  </w:r>
                </w:p>
              </w:tc>
              <w:tc>
                <w:tcPr>
                  <w:tcW w:w="938" w:type="dxa"/>
                  <w:tcBorders>
                    <w:tl2br w:val="nil"/>
                    <w:tr2bl w:val="nil"/>
                  </w:tcBorders>
                  <w:vAlign w:val="center"/>
                </w:tcPr>
                <w:p w14:paraId="092FDE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0304BB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7A0D42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617E3E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资源利用上线</w:t>
                  </w:r>
                </w:p>
              </w:tc>
              <w:tc>
                <w:tcPr>
                  <w:tcW w:w="2472" w:type="dxa"/>
                  <w:tcBorders>
                    <w:tl2br w:val="nil"/>
                    <w:tr2bl w:val="nil"/>
                  </w:tcBorders>
                  <w:vAlign w:val="center"/>
                </w:tcPr>
                <w:p w14:paraId="504DA6A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全市总用水量为50.78亿立方米；耕地保有里不低于577.1700万亩，其中永久基本农田保护面积不低于525.0370万亩；生态保护红线面积不低于2534.2677平方千米，其中，海洋生态保护红线面积不低于2480.7760平方千米；城镇开发边界扩展倍数控制在基于2020年城镇建设用地规模1.3573倍。</w:t>
                  </w:r>
                </w:p>
              </w:tc>
              <w:tc>
                <w:tcPr>
                  <w:tcW w:w="2359" w:type="dxa"/>
                  <w:tcBorders>
                    <w:tl2br w:val="nil"/>
                    <w:tr2bl w:val="nil"/>
                  </w:tcBorders>
                  <w:vAlign w:val="center"/>
                </w:tcPr>
                <w:p w14:paraId="632954E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本项目位于江苏省南通市海门经济技术开发区福州路123号，用地性质为工业用地，不占用基本农田，不使用煤炭资源。</w:t>
                  </w:r>
                </w:p>
              </w:tc>
              <w:tc>
                <w:tcPr>
                  <w:tcW w:w="938" w:type="dxa"/>
                  <w:tcBorders>
                    <w:tl2br w:val="nil"/>
                    <w:tr2bl w:val="nil"/>
                  </w:tcBorders>
                  <w:vAlign w:val="center"/>
                </w:tcPr>
                <w:p w14:paraId="191601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151748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tcBorders>
                    <w:tl2br w:val="nil"/>
                    <w:tr2bl w:val="nil"/>
                  </w:tcBorders>
                  <w:vAlign w:val="center"/>
                </w:tcPr>
                <w:p w14:paraId="23AFB0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环境管控单元</w:t>
                  </w:r>
                </w:p>
              </w:tc>
              <w:tc>
                <w:tcPr>
                  <w:tcW w:w="3318" w:type="dxa"/>
                  <w:gridSpan w:val="2"/>
                  <w:tcBorders>
                    <w:tl2br w:val="nil"/>
                    <w:tr2bl w:val="nil"/>
                  </w:tcBorders>
                  <w:vAlign w:val="center"/>
                </w:tcPr>
                <w:p w14:paraId="140FD4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海门区全区共划定环境管控单元54个，分为优先保护单元、重点管控单元和一般管控单元三类，实施分类管控。</w:t>
                  </w:r>
                </w:p>
              </w:tc>
              <w:tc>
                <w:tcPr>
                  <w:tcW w:w="2359" w:type="dxa"/>
                  <w:tcBorders>
                    <w:tl2br w:val="nil"/>
                    <w:tr2bl w:val="nil"/>
                  </w:tcBorders>
                  <w:vAlign w:val="center"/>
                </w:tcPr>
                <w:p w14:paraId="0D90C95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本项目位于江苏省南通市海门经济技术开发区福州路123号</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属于重点管控单元</w:t>
                  </w:r>
                </w:p>
              </w:tc>
              <w:tc>
                <w:tcPr>
                  <w:tcW w:w="938" w:type="dxa"/>
                  <w:tcBorders>
                    <w:tl2br w:val="nil"/>
                    <w:tr2bl w:val="nil"/>
                  </w:tcBorders>
                  <w:vAlign w:val="center"/>
                </w:tcPr>
                <w:p w14:paraId="2E4026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02251F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l2br w:val="nil"/>
                    <w:tr2bl w:val="nil"/>
                  </w:tcBorders>
                  <w:vAlign w:val="center"/>
                </w:tcPr>
                <w:p w14:paraId="30D953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更新</w:t>
                  </w:r>
                </w:p>
                <w:p w14:paraId="4EAD02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内容</w:t>
                  </w:r>
                </w:p>
              </w:tc>
              <w:tc>
                <w:tcPr>
                  <w:tcW w:w="846" w:type="dxa"/>
                  <w:tcBorders>
                    <w:tl2br w:val="nil"/>
                    <w:tr2bl w:val="nil"/>
                  </w:tcBorders>
                  <w:vAlign w:val="center"/>
                </w:tcPr>
                <w:p w14:paraId="3B5934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南通市生态环境管控总体要求</w:t>
                  </w:r>
                </w:p>
              </w:tc>
              <w:tc>
                <w:tcPr>
                  <w:tcW w:w="2472" w:type="dxa"/>
                  <w:tcBorders>
                    <w:tl2br w:val="nil"/>
                    <w:tr2bl w:val="nil"/>
                  </w:tcBorders>
                  <w:vAlign w:val="center"/>
                </w:tcPr>
                <w:p w14:paraId="59B20E7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新增中共江苏省委江苏省人民政府关于《深入打好污染防治攻坚战的实施意见</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2022年1月24日</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等最新文件及相关要求。</w:t>
                  </w:r>
                </w:p>
              </w:tc>
              <w:tc>
                <w:tcPr>
                  <w:tcW w:w="2359" w:type="dxa"/>
                  <w:tcBorders>
                    <w:tl2br w:val="nil"/>
                    <w:tr2bl w:val="nil"/>
                  </w:tcBorders>
                  <w:vAlign w:val="center"/>
                </w:tcPr>
                <w:p w14:paraId="22789C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对照</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关于深入打好污染防治攻坚战的实施意见》</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2022年1月24号</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本项目不属于高耗水、高耗能项目；符合</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三线一单</w:t>
                  </w:r>
                  <w:r>
                    <w:rPr>
                      <w:rFonts w:hint="eastAsia" w:ascii="Times New Roman" w:hAnsi="Times New Roman" w:eastAsia="宋体" w:cs="Times New Roman"/>
                      <w:b w:val="0"/>
                      <w:bCs/>
                      <w:color w:val="auto"/>
                      <w:sz w:val="21"/>
                      <w:szCs w:val="21"/>
                      <w:lang w:val="en-US" w:eastAsia="zh-CN"/>
                    </w:rPr>
                    <w:t>”要求。</w:t>
                  </w:r>
                </w:p>
              </w:tc>
              <w:tc>
                <w:tcPr>
                  <w:tcW w:w="938" w:type="dxa"/>
                  <w:tcBorders>
                    <w:tl2br w:val="nil"/>
                    <w:tr2bl w:val="nil"/>
                  </w:tcBorders>
                  <w:vAlign w:val="center"/>
                </w:tcPr>
                <w:p w14:paraId="06603C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4A23A3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1886A7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2802AA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空间布局约束</w:t>
                  </w:r>
                </w:p>
              </w:tc>
              <w:tc>
                <w:tcPr>
                  <w:tcW w:w="2472" w:type="dxa"/>
                  <w:tcBorders>
                    <w:tl2br w:val="nil"/>
                    <w:tr2bl w:val="nil"/>
                  </w:tcBorders>
                  <w:vAlign w:val="center"/>
                </w:tcPr>
                <w:p w14:paraId="207AD4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（1）各类开发建设活动应符合国土空间规划、城镇总体规划、 土地利用规划、详细规划等相关要求。</w:t>
                  </w:r>
                </w:p>
                <w:p w14:paraId="11C5848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（2）禁止引进与国家、 地方现行产业政策相冲突的项目。</w:t>
                  </w:r>
                </w:p>
                <w:p w14:paraId="4D04CF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基本农田严格按照《基 本农田保护条例》落实基本农田保护要求，项目建设不占用永久基本农田，对于占用的基本农田在土地性质调整前不得开发建设。</w:t>
                  </w:r>
                </w:p>
              </w:tc>
              <w:tc>
                <w:tcPr>
                  <w:tcW w:w="2359" w:type="dxa"/>
                  <w:tcBorders>
                    <w:tl2br w:val="nil"/>
                    <w:tr2bl w:val="nil"/>
                  </w:tcBorders>
                  <w:vAlign w:val="center"/>
                </w:tcPr>
                <w:p w14:paraId="566C1FF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本项目位于江苏省南通市海门经济技术开发区福州路123号</w:t>
                  </w:r>
                  <w:r>
                    <w:rPr>
                      <w:rFonts w:hint="default" w:ascii="Times New Roman" w:hAnsi="Times New Roman" w:eastAsia="宋体" w:cs="Times New Roman"/>
                      <w:b w:val="0"/>
                      <w:bCs/>
                      <w:color w:val="auto"/>
                      <w:sz w:val="21"/>
                      <w:szCs w:val="21"/>
                      <w:lang w:val="en-US" w:eastAsia="zh-CN"/>
                    </w:rPr>
                    <w:t>，用地性质为工业用地，不占用基本农田</w:t>
                  </w:r>
                  <w:r>
                    <w:rPr>
                      <w:rFonts w:hint="eastAsia" w:ascii="Times New Roman" w:hAnsi="Times New Roman" w:eastAsia="宋体" w:cs="Times New Roman"/>
                      <w:b w:val="0"/>
                      <w:bCs/>
                      <w:color w:val="auto"/>
                      <w:sz w:val="21"/>
                      <w:szCs w:val="21"/>
                      <w:lang w:val="en-US" w:eastAsia="zh-CN"/>
                    </w:rPr>
                    <w:t>。</w:t>
                  </w:r>
                </w:p>
              </w:tc>
              <w:tc>
                <w:tcPr>
                  <w:tcW w:w="938" w:type="dxa"/>
                  <w:tcBorders>
                    <w:tl2br w:val="nil"/>
                    <w:tr2bl w:val="nil"/>
                  </w:tcBorders>
                  <w:vAlign w:val="center"/>
                </w:tcPr>
                <w:p w14:paraId="5E3AAC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3D7A0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61220F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39C254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污染物排放管控</w:t>
                  </w:r>
                </w:p>
              </w:tc>
              <w:tc>
                <w:tcPr>
                  <w:tcW w:w="2472" w:type="dxa"/>
                  <w:tcBorders>
                    <w:tl2br w:val="nil"/>
                    <w:tr2bl w:val="nil"/>
                  </w:tcBorders>
                  <w:vAlign w:val="center"/>
                </w:tcPr>
                <w:p w14:paraId="102E5B4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落实污染物总量控制制度，根据区域环境质量改善目标，削减污染物排放总量。</w:t>
                  </w:r>
                </w:p>
                <w:p w14:paraId="3D12B0D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）落实《南通市海门区“十四五”农村生活污水治理专项规划》</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加强农村污治理，2025年农村生活污水农户覆盖率至70.2%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设施正常运行率达到95%。</w:t>
                  </w:r>
                </w:p>
                <w:p w14:paraId="6B73238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加强农业面源污染治理，严格控制化肥农药施加量，合理水产养殖布局，控制水产养殖污染，逐步削减农业面源污染物排放量。</w:t>
                  </w:r>
                </w:p>
              </w:tc>
              <w:tc>
                <w:tcPr>
                  <w:tcW w:w="2359" w:type="dxa"/>
                  <w:tcBorders>
                    <w:tl2br w:val="nil"/>
                    <w:tr2bl w:val="nil"/>
                  </w:tcBorders>
                  <w:vAlign w:val="center"/>
                </w:tcPr>
                <w:p w14:paraId="401453E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本项目为</w:t>
                  </w:r>
                  <w:r>
                    <w:rPr>
                      <w:rFonts w:hint="eastAsia" w:cs="Times New Roman"/>
                      <w:b w:val="0"/>
                      <w:bCs/>
                      <w:color w:val="auto"/>
                      <w:sz w:val="21"/>
                      <w:szCs w:val="21"/>
                      <w:lang w:val="en-US" w:eastAsia="zh-CN"/>
                    </w:rPr>
                    <w:t>登记</w:t>
                  </w:r>
                  <w:r>
                    <w:rPr>
                      <w:rFonts w:hint="eastAsia" w:ascii="Times New Roman" w:hAnsi="Times New Roman" w:eastAsia="宋体" w:cs="Times New Roman"/>
                      <w:b w:val="0"/>
                      <w:bCs/>
                      <w:color w:val="auto"/>
                      <w:sz w:val="21"/>
                      <w:szCs w:val="21"/>
                      <w:lang w:val="en-US" w:eastAsia="zh-CN"/>
                    </w:rPr>
                    <w:t>管理，</w:t>
                  </w:r>
                  <w:r>
                    <w:rPr>
                      <w:rFonts w:hint="eastAsia" w:cs="Times New Roman"/>
                      <w:b w:val="0"/>
                      <w:bCs/>
                      <w:color w:val="auto"/>
                      <w:sz w:val="21"/>
                      <w:szCs w:val="21"/>
                      <w:lang w:val="en-US" w:eastAsia="zh-CN"/>
                    </w:rPr>
                    <w:t>无</w:t>
                  </w:r>
                  <w:r>
                    <w:rPr>
                      <w:rFonts w:hint="eastAsia" w:ascii="Times New Roman" w:hAnsi="Times New Roman" w:eastAsia="宋体" w:cs="Times New Roman"/>
                      <w:b w:val="0"/>
                      <w:bCs/>
                      <w:color w:val="auto"/>
                      <w:sz w:val="21"/>
                      <w:szCs w:val="21"/>
                      <w:lang w:val="en-US" w:eastAsia="zh-CN"/>
                    </w:rPr>
                    <w:t>需进行总量指标审核。</w:t>
                  </w:r>
                </w:p>
              </w:tc>
              <w:tc>
                <w:tcPr>
                  <w:tcW w:w="938" w:type="dxa"/>
                  <w:tcBorders>
                    <w:tl2br w:val="nil"/>
                    <w:tr2bl w:val="nil"/>
                  </w:tcBorders>
                  <w:vAlign w:val="center"/>
                </w:tcPr>
                <w:p w14:paraId="5809A6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3C0325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1521CD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41F48F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环境风险管控</w:t>
                  </w:r>
                </w:p>
              </w:tc>
              <w:tc>
                <w:tcPr>
                  <w:tcW w:w="2472" w:type="dxa"/>
                  <w:tcBorders>
                    <w:tl2br w:val="nil"/>
                    <w:tr2bl w:val="nil"/>
                  </w:tcBorders>
                  <w:vAlign w:val="center"/>
                </w:tcPr>
                <w:p w14:paraId="6C69CD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加强环境风险防范应急体系建设，加强环境应急预案管理，定期开展应急演练，持续开展环境安全隐患排查整治，提升应急监测能力，加强应急物资管理。</w:t>
                  </w:r>
                </w:p>
                <w:p w14:paraId="67644B5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合理布局商业、居住、 科教等功能区块，严格控制噪声、恶臭、油烟等污染排放较大的建设项目布局。</w:t>
                  </w:r>
                </w:p>
              </w:tc>
              <w:tc>
                <w:tcPr>
                  <w:tcW w:w="2359" w:type="dxa"/>
                  <w:vMerge w:val="restart"/>
                  <w:tcBorders>
                    <w:tl2br w:val="nil"/>
                    <w:tr2bl w:val="nil"/>
                  </w:tcBorders>
                  <w:vAlign w:val="center"/>
                </w:tcPr>
                <w:p w14:paraId="3E8A324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企业需根据规定编制环境应急预案并备案，定时安排预案演练，熟练应急物资的使用。对照南通市深入打好净土保卫战实施方案》</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通政办发</w:t>
                  </w:r>
                  <w:r>
                    <w:rPr>
                      <w:rFonts w:hint="eastAsia" w:ascii="Times New Roman" w:hAnsi="Times New Roman" w:eastAsia="宋体" w:cs="Times New Roman"/>
                      <w:b w:val="0"/>
                      <w:bCs/>
                      <w:color w:val="auto"/>
                      <w:sz w:val="21"/>
                      <w:szCs w:val="21"/>
                      <w:lang w:val="en-US" w:eastAsia="zh-CN"/>
                    </w:rPr>
                    <w:t>（2023）</w:t>
                  </w:r>
                  <w:r>
                    <w:rPr>
                      <w:rFonts w:hint="default" w:ascii="Times New Roman" w:hAnsi="Times New Roman" w:eastAsia="宋体" w:cs="Times New Roman"/>
                      <w:b w:val="0"/>
                      <w:bCs/>
                      <w:color w:val="auto"/>
                      <w:sz w:val="21"/>
                      <w:szCs w:val="21"/>
                      <w:lang w:val="en-US" w:eastAsia="zh-CN"/>
                    </w:rPr>
                    <w:t>29号</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项目所在地不在永久基本农田、生态保护红线范围内， 项目未使用国家明令淘汰或者禁止使用的回收利用技术、工艺，符合相关产业政策。本项目无生产废水产生及排放。</w:t>
                  </w:r>
                </w:p>
              </w:tc>
              <w:tc>
                <w:tcPr>
                  <w:tcW w:w="938" w:type="dxa"/>
                  <w:tcBorders>
                    <w:tl2br w:val="nil"/>
                    <w:tr2bl w:val="nil"/>
                  </w:tcBorders>
                  <w:vAlign w:val="center"/>
                </w:tcPr>
                <w:p w14:paraId="7D6E85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r w14:paraId="0218C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l2br w:val="nil"/>
                    <w:tr2bl w:val="nil"/>
                  </w:tcBorders>
                  <w:vAlign w:val="center"/>
                </w:tcPr>
                <w:p w14:paraId="360B4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center"/>
                    <w:textAlignment w:val="auto"/>
                    <w:rPr>
                      <w:rFonts w:hint="default" w:ascii="Times New Roman" w:hAnsi="Times New Roman" w:eastAsia="宋体" w:cs="Times New Roman"/>
                      <w:b w:val="0"/>
                      <w:bCs/>
                      <w:color w:val="auto"/>
                      <w:sz w:val="21"/>
                      <w:szCs w:val="21"/>
                      <w:lang w:val="en-US" w:eastAsia="zh-CN"/>
                    </w:rPr>
                  </w:pPr>
                </w:p>
              </w:tc>
              <w:tc>
                <w:tcPr>
                  <w:tcW w:w="846" w:type="dxa"/>
                  <w:tcBorders>
                    <w:tl2br w:val="nil"/>
                    <w:tr2bl w:val="nil"/>
                  </w:tcBorders>
                  <w:vAlign w:val="center"/>
                </w:tcPr>
                <w:p w14:paraId="7E61E5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资源利用效率要求</w:t>
                  </w:r>
                </w:p>
              </w:tc>
              <w:tc>
                <w:tcPr>
                  <w:tcW w:w="2472" w:type="dxa"/>
                  <w:tcBorders>
                    <w:tl2br w:val="nil"/>
                    <w:tr2bl w:val="nil"/>
                  </w:tcBorders>
                  <w:vAlign w:val="center"/>
                </w:tcPr>
                <w:p w14:paraId="680956A4">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优化能源结构，加强能源清洁利用。</w:t>
                  </w:r>
                </w:p>
                <w:p w14:paraId="50E0983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（2）提高土地利用效率，节约集约利用土地资源。</w:t>
                  </w:r>
                </w:p>
              </w:tc>
              <w:tc>
                <w:tcPr>
                  <w:tcW w:w="2359" w:type="dxa"/>
                  <w:vMerge w:val="continue"/>
                  <w:tcBorders>
                    <w:tl2br w:val="nil"/>
                    <w:tr2bl w:val="nil"/>
                  </w:tcBorders>
                  <w:vAlign w:val="center"/>
                </w:tcPr>
                <w:p w14:paraId="54D69F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b w:val="0"/>
                      <w:bCs/>
                      <w:color w:val="auto"/>
                      <w:sz w:val="21"/>
                      <w:szCs w:val="21"/>
                      <w:lang w:val="en-US" w:eastAsia="zh-CN"/>
                    </w:rPr>
                  </w:pPr>
                </w:p>
              </w:tc>
              <w:tc>
                <w:tcPr>
                  <w:tcW w:w="938" w:type="dxa"/>
                  <w:tcBorders>
                    <w:tl2br w:val="nil"/>
                    <w:tr2bl w:val="nil"/>
                  </w:tcBorders>
                  <w:vAlign w:val="center"/>
                </w:tcPr>
                <w:p w14:paraId="6C3445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相符</w:t>
                  </w:r>
                </w:p>
              </w:tc>
            </w:tr>
          </w:tbl>
          <w:p w14:paraId="15644263">
            <w:pPr>
              <w:adjustRightInd w:val="0"/>
              <w:snapToGrid w:val="0"/>
              <w:spacing w:line="360" w:lineRule="auto"/>
              <w:rPr>
                <w:rFonts w:hint="default" w:ascii="Times New Roman" w:hAnsi="Times New Roman" w:cs="Times New Roman"/>
                <w:color w:val="auto"/>
                <w:kern w:val="0"/>
              </w:rPr>
            </w:pPr>
            <w:r>
              <w:rPr>
                <w:rFonts w:ascii="宋体"/>
                <w:b/>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2948940</wp:posOffset>
                      </wp:positionH>
                      <wp:positionV relativeFrom="paragraph">
                        <wp:posOffset>2076450</wp:posOffset>
                      </wp:positionV>
                      <wp:extent cx="810260" cy="270510"/>
                      <wp:effectExtent l="299720" t="4445" r="13970" b="277495"/>
                      <wp:wrapNone/>
                      <wp:docPr id="31" name="自选图形 3"/>
                      <wp:cNvGraphicFramePr/>
                      <a:graphic xmlns:a="http://schemas.openxmlformats.org/drawingml/2006/main">
                        <a:graphicData uri="http://schemas.microsoft.com/office/word/2010/wordprocessingShape">
                          <wps:wsp>
                            <wps:cNvSpPr/>
                            <wps:spPr>
                              <a:xfrm>
                                <a:off x="0" y="0"/>
                                <a:ext cx="810260" cy="270510"/>
                              </a:xfrm>
                              <a:prstGeom prst="wedgeRectCallout">
                                <a:avLst>
                                  <a:gd name="adj1" fmla="val -82681"/>
                                  <a:gd name="adj2" fmla="val 139204"/>
                                </a:avLst>
                              </a:prstGeom>
                              <a:noFill/>
                              <a:ln w="9525" cap="flat" cmpd="sng">
                                <a:solidFill>
                                  <a:srgbClr val="FF0000"/>
                                </a:solidFill>
                                <a:prstDash val="solid"/>
                                <a:miter/>
                                <a:headEnd type="none" w="med" len="med"/>
                                <a:tailEnd type="none" w="med" len="med"/>
                              </a:ln>
                            </wps:spPr>
                            <wps:txbx>
                              <w:txbxContent>
                                <w:p w14:paraId="1AFA5F92">
                                  <w:pPr>
                                    <w:rPr>
                                      <w:color w:val="FF0000"/>
                                      <w:sz w:val="18"/>
                                      <w:szCs w:val="18"/>
                                    </w:rPr>
                                  </w:pPr>
                                  <w:r>
                                    <w:rPr>
                                      <w:rFonts w:hint="eastAsia"/>
                                      <w:color w:val="FF0000"/>
                                      <w:sz w:val="18"/>
                                      <w:szCs w:val="18"/>
                                    </w:rPr>
                                    <w:t>项目拟建地</w:t>
                                  </w:r>
                                </w:p>
                              </w:txbxContent>
                            </wps:txbx>
                            <wps:bodyPr upright="1"/>
                          </wps:wsp>
                        </a:graphicData>
                      </a:graphic>
                    </wp:anchor>
                  </w:drawing>
                </mc:Choice>
                <mc:Fallback>
                  <w:pict>
                    <v:shape id="自选图形 3" o:spid="_x0000_s1026" o:spt="61" type="#_x0000_t61" style="position:absolute;left:0pt;margin-left:232.2pt;margin-top:163.5pt;height:21.3pt;width:63.8pt;z-index:251668480;mso-width-relative:page;mso-height-relative:page;" filled="f" stroked="t" coordsize="21600,21600" o:gfxdata="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cu4hdsAAAALAQAADwAAAAAAAAABACAAAAAiAAAAZHJzL2Rv&#10;d25yZXYueG1sUEsBAhQAFAAAAAgAh07iQG03jtg3AgAAZQQAAA4AAAAAAAAAAQAgAAAAKgEAAGRy&#10;cy9lMm9Eb2MueG1sUEsFBgAAAAAGAAYAWQEAANMFAAAAAA==&#10;" adj="-7059,40868">
                      <v:fill on="f" focussize="0,0"/>
                      <v:stroke color="#FF0000" joinstyle="miter"/>
                      <v:imagedata o:title=""/>
                      <o:lock v:ext="edit" aspectratio="f"/>
                      <v:textbox>
                        <w:txbxContent>
                          <w:p w14:paraId="1AFA5F92">
                            <w:pPr>
                              <w:rPr>
                                <w:color w:val="FF0000"/>
                                <w:sz w:val="18"/>
                                <w:szCs w:val="18"/>
                              </w:rPr>
                            </w:pPr>
                            <w:r>
                              <w:rPr>
                                <w:rFonts w:hint="eastAsia"/>
                                <w:color w:val="FF0000"/>
                                <w:sz w:val="18"/>
                                <w:szCs w:val="18"/>
                              </w:rPr>
                              <w:t>项目拟建地</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2624455</wp:posOffset>
                      </wp:positionH>
                      <wp:positionV relativeFrom="paragraph">
                        <wp:posOffset>2570480</wp:posOffset>
                      </wp:positionV>
                      <wp:extent cx="76200" cy="76200"/>
                      <wp:effectExtent l="12700" t="12700" r="25400" b="25400"/>
                      <wp:wrapNone/>
                      <wp:docPr id="30" name="椭圆 30"/>
                      <wp:cNvGraphicFramePr/>
                      <a:graphic xmlns:a="http://schemas.openxmlformats.org/drawingml/2006/main">
                        <a:graphicData uri="http://schemas.microsoft.com/office/word/2010/wordprocessingShape">
                          <wps:wsp>
                            <wps:cNvSpPr/>
                            <wps:spPr>
                              <a:xfrm>
                                <a:off x="3404235" y="3796665"/>
                                <a:ext cx="76200" cy="76200"/>
                              </a:xfrm>
                              <a:prstGeom prst="ellipse">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6.65pt;margin-top:202.4pt;height:6pt;width:6pt;z-index:251667456;v-text-anchor:middle;mso-width-relative:page;mso-height-relative:page;" fillcolor="#FF0000" filled="t" stroked="t" coordsize="21600,21600" o:gfxdata="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M4ewHWAAAACwEAAA8AAAAAAAAAAQAgAAAAIgAAAGRycy9kb3ducmV2LnhtbFBL&#10;AQIUABQAAAAIAIdO4kAssavHagIAAOsEAAAOAAAAAAAAAAEAIAAAACUBAABkcnMvZTJvRG9jLnht&#10;bFBLBQYAAAAABgAGAFkBAAABBgAAAAA=&#10;">
                      <v:fill on="t" focussize="0,0"/>
                      <v:stroke weight="2pt" color="#FF0000 [2404]" joinstyle="round"/>
                      <v:imagedata o:title=""/>
                      <o:lock v:ext="edit" aspectratio="f"/>
                    </v:shape>
                  </w:pict>
                </mc:Fallback>
              </mc:AlternateContent>
            </w:r>
            <w:r>
              <w:rPr>
                <w:rFonts w:hint="default" w:ascii="Times New Roman" w:hAnsi="Times New Roman" w:cs="Times New Roman"/>
                <w:color w:val="auto"/>
                <w:kern w:val="0"/>
              </w:rPr>
              <w:drawing>
                <wp:inline distT="0" distB="0" distL="114300" distR="114300">
                  <wp:extent cx="4733290" cy="3509010"/>
                  <wp:effectExtent l="0" t="0" r="10160" b="15240"/>
                  <wp:docPr id="28" name="图片 28" descr="6f9d2702ac55ce9342787b14febe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f9d2702ac55ce9342787b14febe46b"/>
                          <pic:cNvPicPr>
                            <a:picLocks noChangeAspect="1"/>
                          </pic:cNvPicPr>
                        </pic:nvPicPr>
                        <pic:blipFill>
                          <a:blip r:embed="rId8"/>
                          <a:stretch>
                            <a:fillRect/>
                          </a:stretch>
                        </pic:blipFill>
                        <pic:spPr>
                          <a:xfrm>
                            <a:off x="0" y="0"/>
                            <a:ext cx="4733290" cy="3509010"/>
                          </a:xfrm>
                          <a:prstGeom prst="rect">
                            <a:avLst/>
                          </a:prstGeom>
                        </pic:spPr>
                      </pic:pic>
                    </a:graphicData>
                  </a:graphic>
                </wp:inline>
              </w:drawing>
            </w:r>
          </w:p>
          <w:p w14:paraId="4BD8A0ED">
            <w:pPr>
              <w:adjustRightInd w:val="0"/>
              <w:snapToGrid w:val="0"/>
              <w:spacing w:line="360" w:lineRule="auto"/>
              <w:jc w:val="center"/>
              <w:rPr>
                <w:rFonts w:hint="default" w:ascii="Times New Roman" w:hAnsi="Times New Roman" w:eastAsia="宋体" w:cs="Times New Roman"/>
                <w:b/>
                <w:bCs/>
                <w:color w:val="auto"/>
                <w:kern w:val="0"/>
                <w:lang w:val="en-US" w:eastAsia="zh-CN"/>
              </w:rPr>
            </w:pPr>
            <w:r>
              <w:rPr>
                <w:rFonts w:hint="eastAsia" w:cs="Times New Roman"/>
                <w:b/>
                <w:bCs/>
                <w:color w:val="auto"/>
                <w:kern w:val="0"/>
                <w:lang w:val="en-US" w:eastAsia="zh-CN"/>
              </w:rPr>
              <w:t>图1-1 本项目所在地</w:t>
            </w:r>
          </w:p>
          <w:p w14:paraId="3E06FE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rPr>
            </w:pPr>
            <w:r>
              <w:rPr>
                <w:rFonts w:hint="default" w:ascii="Times New Roman" w:hAnsi="Times New Roman" w:cs="Times New Roman"/>
                <w:color w:val="auto"/>
                <w:kern w:val="0"/>
              </w:rPr>
              <w:t>本项目的建设符合</w:t>
            </w:r>
            <w:r>
              <w:rPr>
                <w:rFonts w:hint="default" w:ascii="Times New Roman" w:hAnsi="Times New Roman" w:cs="Times New Roman"/>
                <w:color w:val="auto"/>
                <w:lang w:val="en-US" w:eastAsia="zh-CN"/>
              </w:rPr>
              <w:t>《2023年生态环境分区管控成果动态更新工作方案》（环办环评函</w:t>
            </w:r>
            <w:r>
              <w:rPr>
                <w:rFonts w:hint="eastAsia"/>
                <w:b w:val="0"/>
                <w:bCs w:val="0"/>
                <w:color w:val="auto"/>
                <w:kern w:val="0"/>
                <w:szCs w:val="21"/>
              </w:rPr>
              <w:t>〔</w:t>
            </w:r>
            <w:r>
              <w:rPr>
                <w:rFonts w:hint="default" w:ascii="Times New Roman" w:hAnsi="Times New Roman" w:cs="Times New Roman"/>
                <w:color w:val="auto"/>
                <w:lang w:val="en-US" w:eastAsia="zh-CN"/>
              </w:rPr>
              <w:t>2023</w:t>
            </w:r>
            <w:r>
              <w:rPr>
                <w:rFonts w:hint="eastAsia"/>
                <w:b w:val="0"/>
                <w:bCs/>
                <w:color w:val="auto"/>
                <w:sz w:val="21"/>
                <w:szCs w:val="21"/>
                <w:lang w:val="en-US" w:eastAsia="zh-CN"/>
              </w:rPr>
              <w:t>〕</w:t>
            </w:r>
            <w:r>
              <w:rPr>
                <w:rFonts w:hint="default" w:ascii="Times New Roman" w:hAnsi="Times New Roman" w:cs="Times New Roman"/>
                <w:color w:val="auto"/>
                <w:lang w:val="en-US" w:eastAsia="zh-CN"/>
              </w:rPr>
              <w:t>81号）、《江苏省2023年度生态环境分区管控动态更新成果公告》</w:t>
            </w:r>
            <w:r>
              <w:rPr>
                <w:rFonts w:hint="default" w:ascii="Times New Roman" w:hAnsi="Times New Roman" w:cs="Times New Roman"/>
                <w:color w:val="auto"/>
                <w:kern w:val="0"/>
              </w:rPr>
              <w:t xml:space="preserve">的相关要求。 </w:t>
            </w:r>
          </w:p>
          <w:p w14:paraId="1819E479">
            <w:pPr>
              <w:numPr>
                <w:ilvl w:val="0"/>
                <w:numId w:val="0"/>
              </w:numPr>
              <w:snapToGrid w:val="0"/>
              <w:spacing w:line="360" w:lineRule="auto"/>
              <w:rPr>
                <w:b/>
                <w:color w:val="auto"/>
                <w:sz w:val="21"/>
                <w:szCs w:val="21"/>
              </w:rPr>
            </w:pPr>
            <w:r>
              <w:rPr>
                <w:rFonts w:hint="eastAsia"/>
                <w:b/>
                <w:color w:val="auto"/>
                <w:sz w:val="21"/>
                <w:szCs w:val="21"/>
                <w:lang w:val="en-US" w:eastAsia="zh-CN"/>
              </w:rPr>
              <w:t>4、</w:t>
            </w:r>
            <w:r>
              <w:rPr>
                <w:b/>
                <w:color w:val="auto"/>
                <w:sz w:val="21"/>
                <w:szCs w:val="21"/>
              </w:rPr>
              <w:t>与《</w:t>
            </w:r>
            <w:r>
              <w:rPr>
                <w:rFonts w:hint="eastAsia"/>
                <w:b/>
                <w:color w:val="auto"/>
                <w:sz w:val="21"/>
                <w:szCs w:val="21"/>
                <w:lang w:eastAsia="zh-CN"/>
              </w:rPr>
              <w:t>〈</w:t>
            </w:r>
            <w:r>
              <w:rPr>
                <w:rFonts w:hint="eastAsia"/>
                <w:b/>
                <w:color w:val="auto"/>
                <w:sz w:val="21"/>
                <w:szCs w:val="21"/>
              </w:rPr>
              <w:t>长江经济带发展负面清单指南（试行，2022 年版）</w:t>
            </w:r>
            <w:r>
              <w:rPr>
                <w:rFonts w:hint="eastAsia"/>
                <w:b/>
                <w:color w:val="auto"/>
                <w:sz w:val="21"/>
                <w:szCs w:val="21"/>
                <w:lang w:eastAsia="zh-CN"/>
              </w:rPr>
              <w:t>〉</w:t>
            </w:r>
            <w:r>
              <w:rPr>
                <w:rFonts w:hint="eastAsia"/>
                <w:b/>
                <w:color w:val="auto"/>
                <w:sz w:val="21"/>
                <w:szCs w:val="21"/>
              </w:rPr>
              <w:t>江苏省实施细则</w:t>
            </w:r>
            <w:r>
              <w:rPr>
                <w:b/>
                <w:color w:val="auto"/>
                <w:sz w:val="21"/>
                <w:szCs w:val="21"/>
              </w:rPr>
              <w:t>》（苏长江办</w:t>
            </w:r>
            <w:r>
              <w:rPr>
                <w:rFonts w:hint="eastAsia"/>
                <w:b/>
                <w:color w:val="auto"/>
                <w:sz w:val="21"/>
                <w:szCs w:val="21"/>
                <w:lang w:eastAsia="zh-CN"/>
              </w:rPr>
              <w:t>〔</w:t>
            </w:r>
            <w:r>
              <w:rPr>
                <w:b/>
                <w:color w:val="auto"/>
                <w:sz w:val="21"/>
                <w:szCs w:val="21"/>
              </w:rPr>
              <w:t>20</w:t>
            </w:r>
            <w:r>
              <w:rPr>
                <w:rFonts w:hint="eastAsia"/>
                <w:b/>
                <w:color w:val="auto"/>
                <w:sz w:val="21"/>
                <w:szCs w:val="21"/>
                <w:lang w:val="en-US" w:eastAsia="zh-CN"/>
              </w:rPr>
              <w:t>22〕55</w:t>
            </w:r>
            <w:r>
              <w:rPr>
                <w:b/>
                <w:color w:val="auto"/>
                <w:sz w:val="21"/>
                <w:szCs w:val="21"/>
              </w:rPr>
              <w:t>号）的相符性分析</w:t>
            </w:r>
          </w:p>
          <w:p w14:paraId="1892CA7A">
            <w:pPr>
              <w:pStyle w:val="11"/>
              <w:spacing w:line="360" w:lineRule="auto"/>
              <w:ind w:firstLine="480"/>
              <w:rPr>
                <w:bCs/>
                <w:color w:val="auto"/>
                <w:sz w:val="21"/>
                <w:szCs w:val="21"/>
                <w:lang w:val="en-US" w:eastAsia="zh-CN"/>
              </w:rPr>
            </w:pPr>
            <w:r>
              <w:rPr>
                <w:rFonts w:hint="eastAsia"/>
                <w:bCs/>
                <w:color w:val="auto"/>
                <w:sz w:val="21"/>
                <w:szCs w:val="21"/>
                <w:lang w:val="en-US" w:eastAsia="zh-CN"/>
              </w:rPr>
              <w:t>本项目与《长江经济带发展负面清单指南（试行，2022年版）的通知》相符性分析见表</w:t>
            </w:r>
            <w:r>
              <w:rPr>
                <w:bCs/>
                <w:color w:val="auto"/>
                <w:sz w:val="21"/>
                <w:szCs w:val="21"/>
                <w:lang w:val="en-US" w:eastAsia="zh-CN"/>
              </w:rPr>
              <w:t>1-</w:t>
            </w:r>
            <w:r>
              <w:rPr>
                <w:rFonts w:hint="eastAsia"/>
                <w:bCs/>
                <w:color w:val="auto"/>
                <w:sz w:val="21"/>
                <w:szCs w:val="21"/>
                <w:lang w:val="en-US" w:eastAsia="zh-CN"/>
              </w:rPr>
              <w:t>8。</w:t>
            </w:r>
          </w:p>
          <w:p w14:paraId="2AE668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z w:val="21"/>
                <w:szCs w:val="21"/>
              </w:rPr>
            </w:pPr>
            <w:r>
              <w:rPr>
                <w:rFonts w:hint="eastAsia"/>
                <w:b/>
                <w:color w:val="auto"/>
                <w:sz w:val="21"/>
                <w:szCs w:val="21"/>
              </w:rPr>
              <w:t>表</w:t>
            </w:r>
            <w:r>
              <w:rPr>
                <w:b/>
                <w:color w:val="auto"/>
                <w:sz w:val="21"/>
                <w:szCs w:val="21"/>
              </w:rPr>
              <w:t>1-</w:t>
            </w:r>
            <w:r>
              <w:rPr>
                <w:rFonts w:hint="eastAsia"/>
                <w:b/>
                <w:color w:val="auto"/>
                <w:sz w:val="21"/>
                <w:szCs w:val="21"/>
                <w:lang w:val="en-US" w:eastAsia="zh-CN"/>
              </w:rPr>
              <w:t>8</w:t>
            </w:r>
            <w:r>
              <w:rPr>
                <w:b/>
                <w:color w:val="auto"/>
                <w:sz w:val="21"/>
                <w:szCs w:val="21"/>
              </w:rPr>
              <w:t xml:space="preserve">  </w:t>
            </w:r>
            <w:r>
              <w:rPr>
                <w:rFonts w:hint="eastAsia"/>
                <w:b/>
                <w:color w:val="auto"/>
                <w:sz w:val="21"/>
                <w:szCs w:val="21"/>
              </w:rPr>
              <w:t>项目与《长江经济带发展负面清单（</w:t>
            </w:r>
            <w:r>
              <w:rPr>
                <w:rFonts w:hint="eastAsia"/>
                <w:b/>
                <w:color w:val="auto"/>
                <w:sz w:val="21"/>
                <w:szCs w:val="21"/>
                <w:lang w:eastAsia="zh-CN"/>
              </w:rPr>
              <w:t>试</w:t>
            </w:r>
            <w:r>
              <w:rPr>
                <w:rFonts w:hint="eastAsia"/>
                <w:b/>
                <w:color w:val="auto"/>
                <w:sz w:val="21"/>
                <w:szCs w:val="21"/>
              </w:rPr>
              <w:t>行）》相符性分析</w:t>
            </w:r>
          </w:p>
          <w:tbl>
            <w:tblPr>
              <w:tblStyle w:val="4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4580"/>
              <w:gridCol w:w="2642"/>
            </w:tblGrid>
            <w:tr w14:paraId="3605B5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12" w:space="0"/>
                    <w:bottom w:val="single" w:color="auto" w:sz="4" w:space="0"/>
                    <w:right w:val="single" w:color="auto" w:sz="4" w:space="0"/>
                  </w:tcBorders>
                  <w:noWrap w:val="0"/>
                  <w:vAlign w:val="center"/>
                </w:tcPr>
                <w:p w14:paraId="237C8E08">
                  <w:pPr>
                    <w:keepNext w:val="0"/>
                    <w:keepLines w:val="0"/>
                    <w:pageBreakBefore w:val="0"/>
                    <w:widowControl w:val="0"/>
                    <w:kinsoku/>
                    <w:wordWrap/>
                    <w:overflowPunct/>
                    <w:topLinePunct w:val="0"/>
                    <w:bidi w:val="0"/>
                    <w:snapToGrid/>
                    <w:spacing w:line="240" w:lineRule="auto"/>
                    <w:jc w:val="center"/>
                    <w:textAlignment w:val="auto"/>
                    <w:rPr>
                      <w:b/>
                      <w:bCs/>
                      <w:color w:val="auto"/>
                      <w:sz w:val="21"/>
                      <w:szCs w:val="21"/>
                    </w:rPr>
                  </w:pPr>
                  <w:r>
                    <w:rPr>
                      <w:rFonts w:hint="eastAsia"/>
                      <w:b/>
                      <w:bCs/>
                      <w:color w:val="auto"/>
                      <w:sz w:val="21"/>
                      <w:szCs w:val="21"/>
                    </w:rPr>
                    <w:t>序号</w:t>
                  </w:r>
                </w:p>
              </w:tc>
              <w:tc>
                <w:tcPr>
                  <w:tcW w:w="2978" w:type="pct"/>
                  <w:tcBorders>
                    <w:top w:val="single" w:color="auto" w:sz="12" w:space="0"/>
                    <w:left w:val="single" w:color="auto" w:sz="4" w:space="0"/>
                    <w:bottom w:val="single" w:color="auto" w:sz="4" w:space="0"/>
                    <w:right w:val="single" w:color="auto" w:sz="4" w:space="0"/>
                  </w:tcBorders>
                  <w:noWrap w:val="0"/>
                  <w:vAlign w:val="center"/>
                </w:tcPr>
                <w:p w14:paraId="7C2AAB10">
                  <w:pPr>
                    <w:keepNext w:val="0"/>
                    <w:keepLines w:val="0"/>
                    <w:pageBreakBefore w:val="0"/>
                    <w:widowControl w:val="0"/>
                    <w:kinsoku/>
                    <w:wordWrap/>
                    <w:overflowPunct/>
                    <w:topLinePunct w:val="0"/>
                    <w:bidi w:val="0"/>
                    <w:snapToGrid/>
                    <w:spacing w:line="240" w:lineRule="auto"/>
                    <w:jc w:val="center"/>
                    <w:textAlignment w:val="auto"/>
                    <w:rPr>
                      <w:b/>
                      <w:bCs/>
                      <w:color w:val="auto"/>
                      <w:sz w:val="21"/>
                      <w:szCs w:val="21"/>
                    </w:rPr>
                  </w:pPr>
                  <w:r>
                    <w:rPr>
                      <w:rFonts w:hint="eastAsia"/>
                      <w:b/>
                      <w:bCs/>
                      <w:color w:val="auto"/>
                      <w:sz w:val="21"/>
                      <w:szCs w:val="21"/>
                    </w:rPr>
                    <w:t>相关要求</w:t>
                  </w:r>
                </w:p>
              </w:tc>
              <w:tc>
                <w:tcPr>
                  <w:tcW w:w="1718" w:type="pct"/>
                  <w:tcBorders>
                    <w:top w:val="single" w:color="auto" w:sz="12" w:space="0"/>
                    <w:left w:val="single" w:color="auto" w:sz="4" w:space="0"/>
                    <w:bottom w:val="single" w:color="auto" w:sz="4" w:space="0"/>
                    <w:right w:val="single" w:color="auto" w:sz="4" w:space="0"/>
                  </w:tcBorders>
                  <w:noWrap w:val="0"/>
                  <w:vAlign w:val="center"/>
                </w:tcPr>
                <w:p w14:paraId="12962C58">
                  <w:pPr>
                    <w:keepNext w:val="0"/>
                    <w:keepLines w:val="0"/>
                    <w:pageBreakBefore w:val="0"/>
                    <w:widowControl w:val="0"/>
                    <w:kinsoku/>
                    <w:wordWrap/>
                    <w:overflowPunct/>
                    <w:topLinePunct w:val="0"/>
                    <w:bidi w:val="0"/>
                    <w:snapToGrid/>
                    <w:spacing w:line="240" w:lineRule="auto"/>
                    <w:jc w:val="center"/>
                    <w:textAlignment w:val="auto"/>
                    <w:rPr>
                      <w:b/>
                      <w:bCs/>
                      <w:color w:val="auto"/>
                      <w:sz w:val="21"/>
                      <w:szCs w:val="21"/>
                    </w:rPr>
                  </w:pPr>
                  <w:r>
                    <w:rPr>
                      <w:rFonts w:hint="eastAsia"/>
                      <w:b/>
                      <w:bCs/>
                      <w:color w:val="auto"/>
                      <w:sz w:val="21"/>
                      <w:szCs w:val="21"/>
                    </w:rPr>
                    <w:t>相符性分析</w:t>
                  </w:r>
                </w:p>
              </w:tc>
            </w:tr>
            <w:tr w14:paraId="0394E5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55D8BD6A">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1</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40F54B9C">
                  <w:pPr>
                    <w:jc w:val="center"/>
                    <w:outlineLvl w:val="2"/>
                    <w:rPr>
                      <w:rFonts w:ascii="Times New Roman" w:hAnsi="Times New Roman" w:cs="Times New Roman"/>
                      <w:color w:val="auto"/>
                    </w:rPr>
                  </w:pPr>
                  <w:r>
                    <w:rPr>
                      <w:rFonts w:ascii="Times New Roman" w:hAnsi="Times New Roman" w:cs="Times New Roman"/>
                      <w:color w:val="auto"/>
                    </w:rPr>
                    <w:t>禁止建设不符合国家港口布局规划和《江苏省</w:t>
                  </w:r>
                </w:p>
                <w:p w14:paraId="0EECAAF5">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沿江沿海港口布局规划（2015-2030 年）》《江苏省内河港口布局规划（2017-2035 年）》以及我省有关港口总体规划的码头项目，禁止建设未纳入《长江干线过江通道布局规划》的过长江通道项目。</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491F8C6C">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本项目不属于码头及过江通道项目，符合。</w:t>
                  </w:r>
                </w:p>
              </w:tc>
            </w:tr>
            <w:tr w14:paraId="639A11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58040A68">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2</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2077F428">
                  <w:pPr>
                    <w:jc w:val="center"/>
                    <w:outlineLvl w:val="2"/>
                    <w:rPr>
                      <w:rFonts w:ascii="Times New Roman" w:hAnsi="Times New Roman" w:cs="Times New Roman"/>
                      <w:color w:val="auto"/>
                    </w:rPr>
                  </w:pPr>
                  <w:r>
                    <w:rPr>
                      <w:rFonts w:ascii="Times New Roman" w:hAnsi="Times New Roman" w:cs="Times New Roman"/>
                      <w:color w:val="auto"/>
                    </w:rPr>
                    <w:t>严格执行《中华人民共和国自然保护区条例》，</w:t>
                  </w:r>
                </w:p>
                <w:p w14:paraId="3976BA5E">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459234C2">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本项目不在自然保护区核心、缓冲区的岸线和河段范围内，不在风景名胜区核心景区的岸线和河段范围内</w:t>
                  </w:r>
                  <w:r>
                    <w:rPr>
                      <w:rFonts w:hint="eastAsia" w:cs="Times New Roman"/>
                      <w:color w:val="auto"/>
                    </w:rPr>
                    <w:t>，符合。</w:t>
                  </w:r>
                </w:p>
              </w:tc>
            </w:tr>
            <w:tr w14:paraId="5AE6E9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45E749C9">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3</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1D279842">
                  <w:pPr>
                    <w:jc w:val="center"/>
                    <w:outlineLvl w:val="2"/>
                    <w:rPr>
                      <w:rFonts w:ascii="Times New Roman" w:hAnsi="Times New Roman" w:cs="Times New Roman"/>
                      <w:color w:val="auto"/>
                    </w:rPr>
                  </w:pPr>
                  <w:r>
                    <w:rPr>
                      <w:rFonts w:ascii="Times New Roman" w:hAnsi="Times New Roman" w:cs="Times New Roman"/>
                      <w:color w:val="auto"/>
                    </w:rPr>
                    <w:t>严格执行《中华人民共和国水污染防治法》《江苏 省人民代表大会常务委员会关于加强饮用水源地保护的决定》《江苏省水污染防治条例》，禁止在饮用水水源一级保护区的岸线和河段范围内新建、改建、扩建与供水设施和保护水源无关的项目，以及网箱养殖、畜禽 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w:t>
                  </w:r>
                  <w:r>
                    <w:rPr>
                      <w:rFonts w:hint="eastAsia" w:cs="Times New Roman"/>
                      <w:color w:val="auto"/>
                      <w:lang w:val="en-US" w:eastAsia="zh-CN"/>
                    </w:rPr>
                    <w:t>一</w:t>
                  </w:r>
                  <w:r>
                    <w:rPr>
                      <w:rFonts w:ascii="Times New Roman" w:hAnsi="Times New Roman" w:cs="Times New Roman"/>
                      <w:color w:val="auto"/>
                    </w:rPr>
                    <w:t>级保护区、二级保护区、准保护区由省生态环境厅会同水利等有关方面界定并落实管控责</w:t>
                  </w:r>
                </w:p>
                <w:p w14:paraId="0273234F">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任。</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42A3CDAA">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本项目不在饮用水水源一级保护区的岸线和河段范围内，不在饮用水水源二级保护区的岸线和河段范围内，不在饮用水水源准保护区的岸线和河段范围</w:t>
                  </w:r>
                  <w:r>
                    <w:rPr>
                      <w:rFonts w:hint="eastAsia" w:cs="Times New Roman"/>
                      <w:color w:val="auto"/>
                    </w:rPr>
                    <w:t>内，符合。</w:t>
                  </w:r>
                </w:p>
              </w:tc>
            </w:tr>
            <w:tr w14:paraId="022884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6C3E58EC">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4</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2ADFC444">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严格执行《水产种质资源保护区管理暂行办法》， 禁止在国家级和省级水产种质资源保护区的岸线和河 段范围内新建围湖造田、围海造地或围填海等投资建设 项目。严格执行《中华人民共和国湿地保护法》《江苏 省湿地保护条例》，禁止在国家湿地公园的岸线和河段 范围内挖沙、采矿，以及任何不符合主体功能定位的投 资建设项目。水产种质资源保护区、国家湿地公园分别 由省农业农村厅、省林业局会同有关方面界定并落实管控责任。</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05ADB88F">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本项目不在国家级和省级水产种质资源保护区的岸线和河段范围内，不在国家湿地公园的岸线和河段范围内</w:t>
                  </w:r>
                  <w:r>
                    <w:rPr>
                      <w:rFonts w:hint="eastAsia" w:cs="Times New Roman"/>
                      <w:color w:val="auto"/>
                    </w:rPr>
                    <w:t>，符合。</w:t>
                  </w:r>
                </w:p>
              </w:tc>
            </w:tr>
            <w:tr w14:paraId="021141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1B7A2DCB">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5</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29B7AF86">
                  <w:pPr>
                    <w:jc w:val="center"/>
                    <w:outlineLvl w:val="2"/>
                    <w:rPr>
                      <w:rFonts w:ascii="Times New Roman" w:hAnsi="Times New Roman" w:cs="Times New Roman"/>
                      <w:color w:val="auto"/>
                    </w:rPr>
                  </w:pPr>
                  <w:r>
                    <w:rPr>
                      <w:rFonts w:ascii="Times New Roman" w:hAnsi="Times New Roman" w:cs="Times New Roman"/>
                      <w:color w:val="auto"/>
                    </w:rPr>
                    <w:t>禁止违法利用、占用长江流域河湖岸线。禁止</w:t>
                  </w:r>
                </w:p>
                <w:p w14:paraId="55F257BE">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在《长江岸线保护和开发利用总体规划》划定的岸线保护区和保留区内投资建设除事关公共安全及公众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4C69567B">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本项目不在长江流域河湖岸线、岸线保护区和保留区内，不属于长江干支流基础设施项目，不在河段及湖泊保护区、保留区内</w:t>
                  </w:r>
                  <w:r>
                    <w:rPr>
                      <w:rFonts w:hint="eastAsia" w:ascii="Times New Roman" w:hAnsi="Times New Roman" w:cs="Times New Roman"/>
                      <w:color w:val="auto"/>
                    </w:rPr>
                    <w:t>，符合。</w:t>
                  </w:r>
                </w:p>
              </w:tc>
            </w:tr>
            <w:tr w14:paraId="5EB92B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44AFB43D">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6</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0AF6FB52">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禁止未经许可在长江干支流及湖泊新设、改设或扩大排污口。</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190FA2E1">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w:t>
                  </w:r>
                  <w:r>
                    <w:rPr>
                      <w:rFonts w:hint="eastAsia" w:ascii="Times New Roman" w:hAnsi="Times New Roman" w:cs="Times New Roman"/>
                      <w:color w:val="auto"/>
                      <w:lang w:val="en-US" w:eastAsia="zh-CN"/>
                    </w:rPr>
                    <w:t>项目不在长江干支流及湖泊新设、改设或扩 大排污口</w:t>
                  </w:r>
                  <w:r>
                    <w:rPr>
                      <w:rFonts w:ascii="Times New Roman" w:hAnsi="Times New Roman" w:cs="Times New Roman"/>
                      <w:color w:val="auto"/>
                    </w:rPr>
                    <w:t>，符合。</w:t>
                  </w:r>
                </w:p>
              </w:tc>
            </w:tr>
            <w:tr w14:paraId="4642F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0A41C068">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7</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6B3A765F">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禁止长江</w:t>
                  </w:r>
                  <w:r>
                    <w:rPr>
                      <w:rFonts w:hint="eastAsia" w:cs="Times New Roman"/>
                      <w:color w:val="auto"/>
                      <w:lang w:eastAsia="zh-CN"/>
                    </w:rPr>
                    <w:t>干流</w:t>
                  </w:r>
                  <w:r>
                    <w:rPr>
                      <w:rFonts w:ascii="Times New Roman" w:hAnsi="Times New Roman" w:cs="Times New Roman"/>
                      <w:color w:val="auto"/>
                    </w:rPr>
                    <w:t>、长江口、34 个列入《率先全面禁捕的长江流域水生生物保护区名录》的水生生物保护区以及省规定</w:t>
                  </w:r>
                  <w:r>
                    <w:rPr>
                      <w:rFonts w:hint="eastAsia" w:cs="Times New Roman"/>
                      <w:color w:val="auto"/>
                      <w:lang w:eastAsia="zh-CN"/>
                    </w:rPr>
                    <w:t>的其他</w:t>
                  </w:r>
                  <w:r>
                    <w:rPr>
                      <w:rFonts w:ascii="Times New Roman" w:hAnsi="Times New Roman" w:cs="Times New Roman"/>
                      <w:color w:val="auto"/>
                    </w:rPr>
                    <w:t>禁渔水域开展生产性捕捞。</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6741BC1C">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本项目不开展生产性捕捞</w:t>
                  </w:r>
                  <w:r>
                    <w:rPr>
                      <w:rFonts w:hint="eastAsia" w:cs="Times New Roman"/>
                      <w:color w:val="auto"/>
                    </w:rPr>
                    <w:t>，符合。</w:t>
                  </w:r>
                </w:p>
              </w:tc>
            </w:tr>
            <w:tr w14:paraId="4E5CD3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4486C51E">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8</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67BFEA53">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 xml:space="preserve">禁止在距离长江干支流岸线一公里范围内新建、扩 建化工园区和化工项目。长江干支流一公里按照长江干支流岸线边界 </w:t>
                  </w:r>
                  <w:r>
                    <w:rPr>
                      <w:rFonts w:hint="eastAsia" w:cs="Times New Roman"/>
                      <w:color w:val="auto"/>
                      <w:lang w:eastAsia="zh-CN"/>
                    </w:rPr>
                    <w:t>（</w:t>
                  </w:r>
                  <w:r>
                    <w:rPr>
                      <w:rFonts w:ascii="Times New Roman" w:hAnsi="Times New Roman" w:cs="Times New Roman"/>
                      <w:color w:val="auto"/>
                    </w:rPr>
                    <w:t>即水利部门河道管理范围边界</w:t>
                  </w:r>
                  <w:r>
                    <w:rPr>
                      <w:rFonts w:hint="eastAsia" w:cs="Times New Roman"/>
                      <w:color w:val="auto"/>
                      <w:lang w:eastAsia="zh-CN"/>
                    </w:rPr>
                    <w:t>）</w:t>
                  </w:r>
                  <w:r>
                    <w:rPr>
                      <w:rFonts w:ascii="Times New Roman" w:hAnsi="Times New Roman" w:cs="Times New Roman"/>
                      <w:color w:val="auto"/>
                    </w:rPr>
                    <w:t xml:space="preserve"> 向陆域纵深一公里执行。</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7F893B5C">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本项目不在距离长江干支流岸线一公里范围内</w:t>
                  </w:r>
                  <w:r>
                    <w:rPr>
                      <w:rFonts w:hint="eastAsia" w:cs="Times New Roman"/>
                      <w:color w:val="auto"/>
                    </w:rPr>
                    <w:t>，符合。</w:t>
                  </w:r>
                </w:p>
              </w:tc>
            </w:tr>
            <w:tr w14:paraId="33F813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3ABB5027">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9</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0D0C4619">
                  <w:pPr>
                    <w:jc w:val="center"/>
                    <w:outlineLvl w:val="2"/>
                    <w:rPr>
                      <w:rFonts w:ascii="Times New Roman" w:hAnsi="Times New Roman" w:cs="Times New Roman"/>
                      <w:color w:val="auto"/>
                    </w:rPr>
                  </w:pPr>
                  <w:r>
                    <w:rPr>
                      <w:rFonts w:ascii="Times New Roman" w:hAnsi="Times New Roman" w:cs="Times New Roman"/>
                      <w:color w:val="auto"/>
                    </w:rPr>
                    <w:t>禁止在长江干流岸线三公里范围内新建、改建、</w:t>
                  </w:r>
                </w:p>
                <w:p w14:paraId="3C77C69F">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扩建尾矿库、冶炼渣库和磷石膏库，以提升安全、生态环境保护水平为目的的改建除外。</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3EA74192">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本项目不在长江干流岸线三公里范围内</w:t>
                  </w:r>
                  <w:r>
                    <w:rPr>
                      <w:rFonts w:hint="eastAsia" w:cs="Times New Roman"/>
                      <w:color w:val="auto"/>
                    </w:rPr>
                    <w:t>，符合。</w:t>
                  </w:r>
                </w:p>
              </w:tc>
            </w:tr>
            <w:tr w14:paraId="15151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4356E3B9">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10</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0BF431C3">
                  <w:pPr>
                    <w:jc w:val="center"/>
                    <w:outlineLvl w:val="2"/>
                    <w:rPr>
                      <w:rFonts w:ascii="Times New Roman" w:hAnsi="Times New Roman" w:cs="Times New Roman"/>
                      <w:color w:val="auto"/>
                    </w:rPr>
                  </w:pPr>
                  <w:r>
                    <w:rPr>
                      <w:rFonts w:ascii="Times New Roman" w:hAnsi="Times New Roman" w:cs="Times New Roman"/>
                      <w:color w:val="auto"/>
                    </w:rPr>
                    <w:t>禁止在太湖流域一、二、三级保护区内开展《江苏 省太湖水污染防治条例》禁止的投资建设活</w:t>
                  </w:r>
                </w:p>
                <w:p w14:paraId="3AF88C58">
                  <w:pPr>
                    <w:jc w:val="both"/>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动。</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7759E7C4">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本项目不属于禁止投资建设活动</w:t>
                  </w:r>
                  <w:r>
                    <w:rPr>
                      <w:rFonts w:hint="eastAsia" w:cs="Times New Roman"/>
                      <w:color w:val="auto"/>
                    </w:rPr>
                    <w:t>，符合。</w:t>
                  </w:r>
                </w:p>
              </w:tc>
            </w:tr>
            <w:tr w14:paraId="000F00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auto" w:sz="4" w:space="0"/>
                  </w:tcBorders>
                  <w:noWrap w:val="0"/>
                  <w:vAlign w:val="center"/>
                </w:tcPr>
                <w:p w14:paraId="66497590">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11</w:t>
                  </w:r>
                </w:p>
              </w:tc>
              <w:tc>
                <w:tcPr>
                  <w:tcW w:w="2978" w:type="pct"/>
                  <w:tcBorders>
                    <w:top w:val="single" w:color="auto" w:sz="4" w:space="0"/>
                    <w:left w:val="single" w:color="auto" w:sz="4" w:space="0"/>
                    <w:bottom w:val="single" w:color="auto" w:sz="4" w:space="0"/>
                    <w:right w:val="single" w:color="auto" w:sz="4" w:space="0"/>
                  </w:tcBorders>
                  <w:noWrap w:val="0"/>
                  <w:vAlign w:val="center"/>
                </w:tcPr>
                <w:p w14:paraId="6CBEC873">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禁止在沿江地区新建、扩建未纳入国家和省布局规 划的燃煤发电项目。</w:t>
                  </w:r>
                </w:p>
              </w:tc>
              <w:tc>
                <w:tcPr>
                  <w:tcW w:w="1718" w:type="pct"/>
                  <w:tcBorders>
                    <w:top w:val="single" w:color="auto" w:sz="4" w:space="0"/>
                    <w:left w:val="single" w:color="auto" w:sz="4" w:space="0"/>
                    <w:bottom w:val="single" w:color="auto" w:sz="4" w:space="0"/>
                    <w:right w:val="single" w:color="auto" w:sz="4" w:space="0"/>
                  </w:tcBorders>
                  <w:noWrap w:val="0"/>
                  <w:vAlign w:val="center"/>
                </w:tcPr>
                <w:p w14:paraId="473F2FC5">
                  <w:pPr>
                    <w:jc w:val="center"/>
                    <w:outlineLvl w:val="2"/>
                    <w:rPr>
                      <w:rFonts w:ascii="Times New Roman" w:hAnsi="Times New Roman" w:cs="Times New Roman"/>
                      <w:color w:val="auto"/>
                    </w:rPr>
                  </w:pPr>
                  <w:r>
                    <w:rPr>
                      <w:rFonts w:ascii="Times New Roman" w:hAnsi="Times New Roman" w:cs="Times New Roman"/>
                      <w:color w:val="auto"/>
                    </w:rPr>
                    <w:t>本项目不属于燃煤发电项目</w:t>
                  </w:r>
                  <w:r>
                    <w:rPr>
                      <w:rFonts w:hint="eastAsia" w:cs="Times New Roman"/>
                      <w:color w:val="auto"/>
                    </w:rPr>
                    <w:t>，符合。</w:t>
                  </w:r>
                </w:p>
                <w:p w14:paraId="476ABFBD">
                  <w:pPr>
                    <w:jc w:val="center"/>
                    <w:outlineLvl w:val="2"/>
                    <w:rPr>
                      <w:rFonts w:hint="eastAsia" w:ascii="Times New Roman" w:hAnsi="Times New Roman" w:eastAsia="宋体" w:cs="Times New Roman"/>
                      <w:color w:val="auto"/>
                      <w:kern w:val="2"/>
                      <w:sz w:val="21"/>
                      <w:szCs w:val="21"/>
                      <w:lang w:val="en-US" w:eastAsia="zh-CN" w:bidi="ar-SA"/>
                    </w:rPr>
                  </w:pPr>
                </w:p>
              </w:tc>
            </w:tr>
            <w:tr w14:paraId="4CD68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3" w:type="pct"/>
                  <w:tcBorders>
                    <w:top w:val="single" w:color="auto" w:sz="4" w:space="0"/>
                    <w:bottom w:val="single" w:color="auto" w:sz="12" w:space="0"/>
                    <w:right w:val="single" w:color="auto" w:sz="4" w:space="0"/>
                  </w:tcBorders>
                  <w:noWrap w:val="0"/>
                  <w:vAlign w:val="center"/>
                </w:tcPr>
                <w:p w14:paraId="280308E8">
                  <w:pPr>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rPr>
                    <w:t>12</w:t>
                  </w:r>
                </w:p>
              </w:tc>
              <w:tc>
                <w:tcPr>
                  <w:tcW w:w="2978" w:type="pct"/>
                  <w:tcBorders>
                    <w:top w:val="single" w:color="auto" w:sz="4" w:space="0"/>
                    <w:left w:val="single" w:color="auto" w:sz="4" w:space="0"/>
                    <w:bottom w:val="single" w:color="auto" w:sz="12" w:space="0"/>
                    <w:right w:val="single" w:color="auto" w:sz="4" w:space="0"/>
                  </w:tcBorders>
                  <w:noWrap w:val="0"/>
                  <w:vAlign w:val="center"/>
                </w:tcPr>
                <w:p w14:paraId="42101F72">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禁止在合规园区外新建、扩建钢铁、石化、化工、 焦化、建材、有色、制浆造纸等高污染项目。合规园区 名录按照《</w:t>
                  </w:r>
                  <w:r>
                    <w:rPr>
                      <w:rFonts w:hint="eastAsia" w:cs="Times New Roman"/>
                      <w:color w:val="auto"/>
                      <w:lang w:eastAsia="zh-CN"/>
                    </w:rPr>
                    <w:t>〈</w:t>
                  </w:r>
                  <w:r>
                    <w:rPr>
                      <w:rFonts w:ascii="Times New Roman" w:hAnsi="Times New Roman" w:cs="Times New Roman"/>
                      <w:color w:val="auto"/>
                    </w:rPr>
                    <w:t xml:space="preserve">长江经济带发展负面清单指南 </w:t>
                  </w:r>
                  <w:r>
                    <w:rPr>
                      <w:rFonts w:hint="eastAsia" w:cs="Times New Roman"/>
                      <w:color w:val="auto"/>
                      <w:lang w:eastAsia="zh-CN"/>
                    </w:rPr>
                    <w:t>（</w:t>
                  </w:r>
                  <w:r>
                    <w:rPr>
                      <w:rFonts w:ascii="Times New Roman" w:hAnsi="Times New Roman" w:cs="Times New Roman"/>
                      <w:color w:val="auto"/>
                    </w:rPr>
                    <w:t>试行，2022年版</w:t>
                  </w:r>
                  <w:r>
                    <w:rPr>
                      <w:rFonts w:hint="eastAsia" w:cs="Times New Roman"/>
                      <w:color w:val="auto"/>
                      <w:lang w:eastAsia="zh-CN"/>
                    </w:rPr>
                    <w:t>）</w:t>
                  </w:r>
                  <w:r>
                    <w:rPr>
                      <w:rFonts w:ascii="Times New Roman" w:hAnsi="Times New Roman" w:cs="Times New Roman"/>
                      <w:color w:val="auto"/>
                    </w:rPr>
                    <w:t xml:space="preserve"> </w:t>
                  </w:r>
                  <w:r>
                    <w:rPr>
                      <w:rFonts w:hint="eastAsia" w:cs="Times New Roman"/>
                      <w:color w:val="auto"/>
                      <w:lang w:eastAsia="zh-CN"/>
                    </w:rPr>
                    <w:t>〉</w:t>
                  </w:r>
                  <w:r>
                    <w:rPr>
                      <w:rFonts w:ascii="Times New Roman" w:hAnsi="Times New Roman" w:cs="Times New Roman"/>
                      <w:color w:val="auto"/>
                    </w:rPr>
                    <w:t>江苏省实施细则合规园区名录》执行。</w:t>
                  </w:r>
                </w:p>
              </w:tc>
              <w:tc>
                <w:tcPr>
                  <w:tcW w:w="1718" w:type="pct"/>
                  <w:tcBorders>
                    <w:top w:val="single" w:color="auto" w:sz="4" w:space="0"/>
                    <w:left w:val="single" w:color="auto" w:sz="4" w:space="0"/>
                    <w:bottom w:val="single" w:color="auto" w:sz="12" w:space="0"/>
                    <w:right w:val="single" w:color="auto" w:sz="4" w:space="0"/>
                  </w:tcBorders>
                  <w:noWrap w:val="0"/>
                  <w:vAlign w:val="center"/>
                </w:tcPr>
                <w:p w14:paraId="0664E165">
                  <w:pPr>
                    <w:jc w:val="center"/>
                    <w:outlineLvl w:val="2"/>
                    <w:rPr>
                      <w:rFonts w:ascii="Times New Roman" w:hAnsi="Times New Roman" w:cs="Times New Roman"/>
                      <w:color w:val="auto"/>
                    </w:rPr>
                  </w:pPr>
                  <w:r>
                    <w:rPr>
                      <w:rFonts w:ascii="Times New Roman" w:hAnsi="Times New Roman" w:cs="Times New Roman"/>
                      <w:color w:val="auto"/>
                    </w:rPr>
                    <w:t>本项目不属于钢铁、石化、化工、焦化、建材、有色、制浆造纸等高污染项目</w:t>
                  </w:r>
                  <w:r>
                    <w:rPr>
                      <w:rFonts w:hint="eastAsia" w:cs="Times New Roman"/>
                      <w:color w:val="auto"/>
                    </w:rPr>
                    <w:t>，符合。</w:t>
                  </w:r>
                </w:p>
                <w:p w14:paraId="004BA725">
                  <w:pPr>
                    <w:jc w:val="center"/>
                    <w:outlineLvl w:val="2"/>
                    <w:rPr>
                      <w:rFonts w:hint="eastAsia" w:ascii="Times New Roman" w:hAnsi="Times New Roman" w:eastAsia="宋体" w:cs="Times New Roman"/>
                      <w:color w:val="auto"/>
                      <w:kern w:val="2"/>
                      <w:sz w:val="21"/>
                      <w:szCs w:val="21"/>
                      <w:lang w:val="en-US" w:eastAsia="zh-CN" w:bidi="ar-SA"/>
                    </w:rPr>
                  </w:pPr>
                </w:p>
              </w:tc>
            </w:tr>
            <w:tr w14:paraId="7A47CC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0C532C">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13</w:t>
                  </w:r>
                </w:p>
              </w:tc>
              <w:tc>
                <w:tcPr>
                  <w:tcW w:w="0" w:type="auto"/>
                  <w:vAlign w:val="center"/>
                </w:tcPr>
                <w:p w14:paraId="70C35C3C">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 xml:space="preserve">禁止在取消化工定位的园区 </w:t>
                  </w:r>
                  <w:r>
                    <w:rPr>
                      <w:rFonts w:hint="eastAsia" w:cs="Times New Roman"/>
                      <w:color w:val="auto"/>
                      <w:lang w:eastAsia="zh-CN"/>
                    </w:rPr>
                    <w:t>（</w:t>
                  </w:r>
                  <w:r>
                    <w:rPr>
                      <w:rFonts w:ascii="Times New Roman" w:hAnsi="Times New Roman" w:cs="Times New Roman"/>
                      <w:color w:val="auto"/>
                    </w:rPr>
                    <w:t>集中区</w:t>
                  </w:r>
                  <w:r>
                    <w:rPr>
                      <w:rFonts w:hint="eastAsia" w:cs="Times New Roman"/>
                      <w:color w:val="auto"/>
                      <w:lang w:eastAsia="zh-CN"/>
                    </w:rPr>
                    <w:t>）</w:t>
                  </w:r>
                  <w:r>
                    <w:rPr>
                      <w:rFonts w:ascii="Times New Roman" w:hAnsi="Times New Roman" w:cs="Times New Roman"/>
                      <w:color w:val="auto"/>
                    </w:rPr>
                    <w:t xml:space="preserve"> 内新建化工项目。</w:t>
                  </w:r>
                </w:p>
              </w:tc>
              <w:tc>
                <w:tcPr>
                  <w:tcW w:w="0" w:type="auto"/>
                  <w:vAlign w:val="center"/>
                </w:tcPr>
                <w:p w14:paraId="0A8D5355">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本项目不属于化工项目</w:t>
                  </w:r>
                  <w:r>
                    <w:rPr>
                      <w:rFonts w:hint="eastAsia" w:cs="Times New Roman"/>
                      <w:color w:val="auto"/>
                    </w:rPr>
                    <w:t>，符合。</w:t>
                  </w:r>
                </w:p>
              </w:tc>
            </w:tr>
            <w:tr w14:paraId="207209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A89BE6">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14</w:t>
                  </w:r>
                </w:p>
              </w:tc>
              <w:tc>
                <w:tcPr>
                  <w:tcW w:w="0" w:type="auto"/>
                  <w:vAlign w:val="center"/>
                </w:tcPr>
                <w:p w14:paraId="122B421F">
                  <w:pPr>
                    <w:jc w:val="center"/>
                    <w:outlineLvl w:val="2"/>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rPr>
                    <w:t>禁止在化工企业周边建设不符合安全距离规定的劳 动密集型的非化工项目和其他人员密集的公共设施</w:t>
                  </w:r>
                  <w:r>
                    <w:rPr>
                      <w:rFonts w:hint="eastAsia" w:cs="Times New Roman"/>
                      <w:color w:val="auto"/>
                    </w:rPr>
                    <w:t>项目。</w:t>
                  </w:r>
                </w:p>
              </w:tc>
              <w:tc>
                <w:tcPr>
                  <w:tcW w:w="0" w:type="auto"/>
                  <w:vAlign w:val="center"/>
                </w:tcPr>
                <w:p w14:paraId="77627D9A">
                  <w:pPr>
                    <w:jc w:val="center"/>
                    <w:outlineLvl w:val="2"/>
                    <w:rPr>
                      <w:rFonts w:ascii="Times New Roman" w:hAnsi="Times New Roman" w:cs="Times New Roman"/>
                      <w:color w:val="auto"/>
                    </w:rPr>
                  </w:pPr>
                  <w:r>
                    <w:rPr>
                      <w:rFonts w:ascii="Times New Roman" w:hAnsi="Times New Roman" w:cs="Times New Roman"/>
                      <w:color w:val="auto"/>
                    </w:rPr>
                    <w:t>本项目不在化工企业周边</w:t>
                  </w:r>
                  <w:r>
                    <w:rPr>
                      <w:rFonts w:hint="eastAsia" w:cs="Times New Roman"/>
                      <w:color w:val="auto"/>
                    </w:rPr>
                    <w:t>，符合。</w:t>
                  </w:r>
                </w:p>
                <w:p w14:paraId="635FC9CF">
                  <w:pPr>
                    <w:jc w:val="center"/>
                    <w:outlineLvl w:val="2"/>
                    <w:rPr>
                      <w:rFonts w:hint="eastAsia" w:ascii="Times New Roman" w:hAnsi="Times New Roman" w:eastAsia="宋体" w:cs="Times New Roman"/>
                      <w:color w:val="auto"/>
                      <w:kern w:val="2"/>
                      <w:sz w:val="21"/>
                      <w:szCs w:val="21"/>
                      <w:lang w:val="en-US" w:eastAsia="zh-CN" w:bidi="ar-SA"/>
                    </w:rPr>
                  </w:pPr>
                </w:p>
              </w:tc>
            </w:tr>
            <w:tr w14:paraId="3FF40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AA8018">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15</w:t>
                  </w:r>
                </w:p>
              </w:tc>
              <w:tc>
                <w:tcPr>
                  <w:tcW w:w="0" w:type="auto"/>
                  <w:vAlign w:val="center"/>
                </w:tcPr>
                <w:p w14:paraId="413AF386">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禁止新建、扩建不符合国家和省产业政策的尿素、 磷铵、电石、烧碱、聚氯乙烯、纯碱等行业新增产能项目。</w:t>
                  </w:r>
                </w:p>
              </w:tc>
              <w:tc>
                <w:tcPr>
                  <w:tcW w:w="0" w:type="auto"/>
                  <w:vAlign w:val="center"/>
                </w:tcPr>
                <w:p w14:paraId="76788993">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本项目不属于尿素、磷铵、电石、烧碱、聚氯乙烯、纯碱等行业</w:t>
                  </w:r>
                  <w:r>
                    <w:rPr>
                      <w:rFonts w:hint="eastAsia" w:cs="Times New Roman"/>
                      <w:color w:val="auto"/>
                    </w:rPr>
                    <w:t>，符合。</w:t>
                  </w:r>
                </w:p>
              </w:tc>
            </w:tr>
            <w:tr w14:paraId="10421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A687A1">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16</w:t>
                  </w:r>
                </w:p>
              </w:tc>
              <w:tc>
                <w:tcPr>
                  <w:tcW w:w="0" w:type="auto"/>
                  <w:vAlign w:val="center"/>
                </w:tcPr>
                <w:p w14:paraId="749F2792">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禁止新建、改建、扩建高毒、高残留以及对环境影 响大的农药原药（化学合成类）项目，禁止新建、扩建不符合国家和省产业政策的农药、医药和染料中间体化工项目。</w:t>
                  </w:r>
                </w:p>
              </w:tc>
              <w:tc>
                <w:tcPr>
                  <w:tcW w:w="0" w:type="auto"/>
                  <w:vAlign w:val="center"/>
                </w:tcPr>
                <w:p w14:paraId="5CD1A38C">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本项目不属于农药原药（化学合成类）项目、农药、医药和染料中间体化工项目</w:t>
                  </w:r>
                  <w:r>
                    <w:rPr>
                      <w:rFonts w:hint="eastAsia" w:cs="Times New Roman"/>
                      <w:color w:val="auto"/>
                    </w:rPr>
                    <w:t>，符合。</w:t>
                  </w:r>
                </w:p>
              </w:tc>
            </w:tr>
            <w:tr w14:paraId="4D7E7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5CD5F6">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17</w:t>
                  </w:r>
                </w:p>
              </w:tc>
              <w:tc>
                <w:tcPr>
                  <w:tcW w:w="0" w:type="auto"/>
                  <w:vAlign w:val="center"/>
                </w:tcPr>
                <w:p w14:paraId="53EEB34F">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禁止新建、扩建不符合国家石化、现代煤化工等产 业布局规划的项目，禁止新建独立焦化项目。</w:t>
                  </w:r>
                </w:p>
              </w:tc>
              <w:tc>
                <w:tcPr>
                  <w:tcW w:w="0" w:type="auto"/>
                  <w:vAlign w:val="center"/>
                </w:tcPr>
                <w:p w14:paraId="1C87B6B1">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本项目不属于石化、现代煤化工、独立焦化等行业</w:t>
                  </w:r>
                  <w:r>
                    <w:rPr>
                      <w:rFonts w:hint="eastAsia" w:cs="Times New Roman"/>
                      <w:color w:val="auto"/>
                    </w:rPr>
                    <w:t>，符合。</w:t>
                  </w:r>
                </w:p>
              </w:tc>
            </w:tr>
            <w:tr w14:paraId="313BF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A9D107">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18</w:t>
                  </w:r>
                </w:p>
              </w:tc>
              <w:tc>
                <w:tcPr>
                  <w:tcW w:w="0" w:type="auto"/>
                  <w:vAlign w:val="center"/>
                </w:tcPr>
                <w:p w14:paraId="513974F1">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禁止新建、扩建国家《产业结构调整指导目录》《江 苏省产业结构调整限制、淘汰和禁止目录》明确的限制类、淘汰类、禁止类项目，法律法规和相关政策明令禁 止的落后产能项目，以及明令淘汰的安全生产落后工艺及装备项目。</w:t>
                  </w:r>
                </w:p>
              </w:tc>
              <w:tc>
                <w:tcPr>
                  <w:tcW w:w="0" w:type="auto"/>
                  <w:vAlign w:val="center"/>
                </w:tcPr>
                <w:p w14:paraId="1A8BC18F">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本项目不属于限制类、淘汰类、禁止类项目、落后产能以及明令淘汰项目</w:t>
                  </w:r>
                  <w:r>
                    <w:rPr>
                      <w:rFonts w:hint="eastAsia" w:cs="Times New Roman"/>
                      <w:color w:val="auto"/>
                    </w:rPr>
                    <w:t>，符合。</w:t>
                  </w:r>
                </w:p>
              </w:tc>
            </w:tr>
            <w:tr w14:paraId="5583FC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67B1F1">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19</w:t>
                  </w:r>
                </w:p>
              </w:tc>
              <w:tc>
                <w:tcPr>
                  <w:tcW w:w="0" w:type="auto"/>
                  <w:vAlign w:val="center"/>
                </w:tcPr>
                <w:p w14:paraId="65EF8BE6">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禁止新建、扩建不符合国家产能置换要求的严重过 剩产能行业的项目。禁止新建、扩建不符合要求的高耗能高排放项目。</w:t>
                  </w:r>
                </w:p>
              </w:tc>
              <w:tc>
                <w:tcPr>
                  <w:tcW w:w="0" w:type="auto"/>
                  <w:vAlign w:val="center"/>
                </w:tcPr>
                <w:p w14:paraId="5E3DF429">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本项目不属于国家产能置换要求的</w:t>
                  </w:r>
                  <w:r>
                    <w:rPr>
                      <w:rFonts w:hint="eastAsia" w:cs="Times New Roman"/>
                      <w:color w:val="auto"/>
                    </w:rPr>
                    <w:t>严重</w:t>
                  </w:r>
                  <w:r>
                    <w:rPr>
                      <w:rFonts w:ascii="Times New Roman" w:hAnsi="Times New Roman" w:cs="Times New Roman"/>
                      <w:color w:val="auto"/>
                    </w:rPr>
                    <w:t>过剩产能行业的项目，不属于高耗能高排放项目</w:t>
                  </w:r>
                  <w:r>
                    <w:rPr>
                      <w:rFonts w:hint="eastAsia" w:cs="Times New Roman"/>
                      <w:color w:val="auto"/>
                    </w:rPr>
                    <w:t>，符合。</w:t>
                  </w:r>
                </w:p>
              </w:tc>
            </w:tr>
            <w:tr w14:paraId="258D71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AE5478">
                  <w:pPr>
                    <w:jc w:val="center"/>
                    <w:outlineLvl w:val="2"/>
                    <w:rPr>
                      <w:rFonts w:hint="default" w:ascii="Calibri" w:hAnsi="Calibri" w:eastAsia="宋体" w:cs="Times New Roman"/>
                      <w:color w:val="auto"/>
                      <w:kern w:val="2"/>
                      <w:sz w:val="21"/>
                      <w:szCs w:val="21"/>
                      <w:lang w:val="en-US" w:eastAsia="zh-CN" w:bidi="ar-SA"/>
                    </w:rPr>
                  </w:pPr>
                  <w:r>
                    <w:rPr>
                      <w:rFonts w:hint="eastAsia" w:cs="Times New Roman"/>
                      <w:color w:val="auto"/>
                    </w:rPr>
                    <w:t>20</w:t>
                  </w:r>
                </w:p>
              </w:tc>
              <w:tc>
                <w:tcPr>
                  <w:tcW w:w="0" w:type="auto"/>
                  <w:vAlign w:val="center"/>
                </w:tcPr>
                <w:p w14:paraId="0269FEAC">
                  <w:pPr>
                    <w:jc w:val="center"/>
                    <w:outlineLvl w:val="2"/>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法律法规及相关政策文件有更加严格规定的从其规定</w:t>
                  </w:r>
                  <w:r>
                    <w:rPr>
                      <w:rFonts w:hint="eastAsia" w:cs="Times New Roman"/>
                      <w:color w:val="auto"/>
                    </w:rPr>
                    <w:t>。</w:t>
                  </w:r>
                </w:p>
              </w:tc>
              <w:tc>
                <w:tcPr>
                  <w:tcW w:w="0" w:type="auto"/>
                  <w:vAlign w:val="center"/>
                </w:tcPr>
                <w:p w14:paraId="540C6DC4">
                  <w:pPr>
                    <w:jc w:val="center"/>
                    <w:outlineLvl w:val="2"/>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rPr>
                    <w:t>本项目不属于法律禁止的行业， 符合。</w:t>
                  </w:r>
                </w:p>
              </w:tc>
            </w:tr>
          </w:tbl>
          <w:p w14:paraId="36ABCDCD">
            <w:pPr>
              <w:numPr>
                <w:ilvl w:val="0"/>
                <w:numId w:val="0"/>
              </w:numPr>
              <w:spacing w:line="360" w:lineRule="auto"/>
              <w:ind w:leftChars="0" w:firstLine="420" w:firstLineChars="200"/>
              <w:rPr>
                <w:rFonts w:hint="default" w:ascii="Times New Roman" w:hAnsi="Times New Roman" w:cs="Times New Roman"/>
                <w:color w:val="auto"/>
              </w:rPr>
            </w:pPr>
            <w:r>
              <w:rPr>
                <w:rFonts w:hint="default" w:ascii="Times New Roman" w:hAnsi="Times New Roman" w:cs="Times New Roman"/>
                <w:color w:val="auto"/>
              </w:rPr>
              <w:t>从上表可知，本项目符合《</w:t>
            </w:r>
            <w:r>
              <w:rPr>
                <w:rFonts w:hint="eastAsia" w:cs="Times New Roman"/>
                <w:color w:val="auto"/>
                <w:lang w:eastAsia="zh-CN"/>
              </w:rPr>
              <w:t>〈</w:t>
            </w:r>
            <w:r>
              <w:rPr>
                <w:rFonts w:hint="default" w:ascii="Times New Roman" w:hAnsi="Times New Roman" w:cs="Times New Roman"/>
                <w:color w:val="auto"/>
              </w:rPr>
              <w:t>长江经济带发展负面清单指南（试行，2022 年版）</w:t>
            </w:r>
            <w:r>
              <w:rPr>
                <w:rFonts w:hint="eastAsia" w:cs="Times New Roman"/>
                <w:color w:val="auto"/>
                <w:lang w:eastAsia="zh-CN"/>
              </w:rPr>
              <w:t>〉</w:t>
            </w:r>
            <w:r>
              <w:rPr>
                <w:rFonts w:hint="default" w:ascii="Times New Roman" w:hAnsi="Times New Roman" w:cs="Times New Roman"/>
                <w:color w:val="auto"/>
              </w:rPr>
              <w:t>江苏省实施细则》（苏长江办〔2022〕55 号）的相关规定。</w:t>
            </w:r>
          </w:p>
          <w:p w14:paraId="2E21B66B">
            <w:pPr>
              <w:numPr>
                <w:ilvl w:val="0"/>
                <w:numId w:val="0"/>
              </w:numPr>
              <w:spacing w:line="360" w:lineRule="auto"/>
              <w:rPr>
                <w:rFonts w:hint="eastAsia" w:ascii="Times New Roman" w:hAnsi="Times New Roman" w:cs="Times New Roman"/>
                <w:b/>
                <w:bCs w:val="0"/>
                <w:color w:val="auto"/>
                <w:sz w:val="21"/>
                <w:szCs w:val="21"/>
                <w:lang w:val="en-US" w:eastAsia="zh-CN"/>
              </w:rPr>
            </w:pPr>
            <w:r>
              <w:rPr>
                <w:rFonts w:hint="eastAsia" w:cs="Times New Roman"/>
                <w:b/>
                <w:bCs w:val="0"/>
                <w:color w:val="auto"/>
                <w:sz w:val="21"/>
                <w:szCs w:val="21"/>
                <w:lang w:val="en-US" w:eastAsia="zh-CN"/>
              </w:rPr>
              <w:t>5、</w:t>
            </w:r>
            <w:r>
              <w:rPr>
                <w:rFonts w:hint="eastAsia" w:ascii="Times New Roman" w:hAnsi="Times New Roman" w:cs="Times New Roman"/>
                <w:b/>
                <w:bCs w:val="0"/>
                <w:color w:val="auto"/>
                <w:sz w:val="21"/>
                <w:szCs w:val="21"/>
                <w:lang w:val="en-US" w:eastAsia="zh-CN"/>
              </w:rPr>
              <w:t>与《南通市关于加强减污降碳协同推进重点行业绿色发展的指导意见》的通知（通办〔2024〕6号）相符性分析</w:t>
            </w:r>
            <w:r>
              <w:rPr>
                <w:rFonts w:hint="eastAsia" w:cs="Times New Roman"/>
                <w:b/>
                <w:bCs w:val="0"/>
                <w:color w:val="auto"/>
                <w:sz w:val="21"/>
                <w:szCs w:val="21"/>
                <w:lang w:val="en-US" w:eastAsia="zh-CN"/>
              </w:rPr>
              <w:t xml:space="preserve"> </w:t>
            </w:r>
          </w:p>
          <w:p w14:paraId="24EDA82F">
            <w:pPr>
              <w:numPr>
                <w:ilvl w:val="0"/>
                <w:numId w:val="0"/>
              </w:numPr>
              <w:spacing w:line="360" w:lineRule="auto"/>
              <w:ind w:firstLine="1687" w:firstLineChars="800"/>
              <w:rPr>
                <w:rFonts w:hint="eastAsia" w:ascii="Times New Roman" w:hAnsi="Times New Roman" w:cs="Times New Roman"/>
                <w:b/>
                <w:bCs w:val="0"/>
                <w:color w:val="auto"/>
                <w:sz w:val="21"/>
                <w:szCs w:val="21"/>
                <w:vertAlign w:val="baseline"/>
                <w:lang w:val="en-US" w:eastAsia="zh-CN"/>
              </w:rPr>
            </w:pPr>
            <w:r>
              <w:rPr>
                <w:rFonts w:hint="eastAsia" w:cs="Times New Roman"/>
                <w:b/>
                <w:bCs w:val="0"/>
                <w:color w:val="auto"/>
                <w:sz w:val="21"/>
                <w:szCs w:val="21"/>
                <w:lang w:val="en-US" w:eastAsia="zh-CN"/>
              </w:rPr>
              <w:t>表 1-9 与通办〔2024〕6 号的相符性分析</w:t>
            </w:r>
          </w:p>
          <w:tbl>
            <w:tblPr>
              <w:tblStyle w:val="4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83"/>
              <w:gridCol w:w="2401"/>
              <w:gridCol w:w="1098"/>
            </w:tblGrid>
            <w:tr w14:paraId="142AF6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3" w:type="dxa"/>
                  <w:tcBorders>
                    <w:tl2br w:val="nil"/>
                    <w:tr2bl w:val="nil"/>
                  </w:tcBorders>
                  <w:vAlign w:val="center"/>
                </w:tcPr>
                <w:p w14:paraId="297294DD">
                  <w:pPr>
                    <w:numPr>
                      <w:ilvl w:val="0"/>
                      <w:numId w:val="0"/>
                    </w:numPr>
                    <w:spacing w:line="240" w:lineRule="auto"/>
                    <w:jc w:val="center"/>
                    <w:rPr>
                      <w:rFonts w:hint="default" w:ascii="Times New Roman" w:hAnsi="Times New Roman"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文件要求</w:t>
                  </w:r>
                </w:p>
              </w:tc>
              <w:tc>
                <w:tcPr>
                  <w:tcW w:w="2490" w:type="dxa"/>
                  <w:tcBorders>
                    <w:tl2br w:val="nil"/>
                    <w:tr2bl w:val="nil"/>
                  </w:tcBorders>
                  <w:vAlign w:val="center"/>
                </w:tcPr>
                <w:p w14:paraId="45E3CEB4">
                  <w:pPr>
                    <w:numPr>
                      <w:ilvl w:val="0"/>
                      <w:numId w:val="0"/>
                    </w:numPr>
                    <w:spacing w:line="240" w:lineRule="auto"/>
                    <w:jc w:val="center"/>
                    <w:rPr>
                      <w:rFonts w:hint="default" w:ascii="Times New Roman" w:hAnsi="Times New Roman"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本项目情况</w:t>
                  </w:r>
                </w:p>
              </w:tc>
              <w:tc>
                <w:tcPr>
                  <w:tcW w:w="1132" w:type="dxa"/>
                  <w:tcBorders>
                    <w:tl2br w:val="nil"/>
                    <w:tr2bl w:val="nil"/>
                  </w:tcBorders>
                  <w:vAlign w:val="center"/>
                </w:tcPr>
                <w:p w14:paraId="246B751A">
                  <w:pPr>
                    <w:numPr>
                      <w:ilvl w:val="0"/>
                      <w:numId w:val="0"/>
                    </w:numPr>
                    <w:spacing w:line="240" w:lineRule="auto"/>
                    <w:jc w:val="center"/>
                    <w:rPr>
                      <w:rFonts w:hint="default" w:ascii="Times New Roman" w:hAnsi="Times New Roman"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是否相符</w:t>
                  </w:r>
                </w:p>
              </w:tc>
            </w:tr>
            <w:tr w14:paraId="3BC57A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3" w:type="dxa"/>
                  <w:tcBorders>
                    <w:tl2br w:val="nil"/>
                    <w:tr2bl w:val="nil"/>
                  </w:tcBorders>
                  <w:vAlign w:val="center"/>
                </w:tcPr>
                <w:p w14:paraId="506F7D46">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传统行业绿色发展水平明显提升。进一步提升传统行业规范化水平，改进工艺技术，更新设备装置，提升污染防治能力，加大节能降碳力度，提高绿色电力（绿证）消费，腾退低效土地资源，树立一批行业转型标杆企业</w:t>
                  </w:r>
                </w:p>
              </w:tc>
              <w:tc>
                <w:tcPr>
                  <w:tcW w:w="2490" w:type="dxa"/>
                  <w:tcBorders>
                    <w:tl2br w:val="nil"/>
                    <w:tr2bl w:val="nil"/>
                  </w:tcBorders>
                  <w:vAlign w:val="center"/>
                </w:tcPr>
                <w:p w14:paraId="7FF16FC3">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本项目采取有效污染防治措施，废水、废气及噪声均可达标排放，排放总量在南通市海门区范围内平衡；本项目选址符合海门经济技术开发区的产业定位和规划选址要求</w:t>
                  </w:r>
                </w:p>
              </w:tc>
              <w:tc>
                <w:tcPr>
                  <w:tcW w:w="1132" w:type="dxa"/>
                  <w:tcBorders>
                    <w:tl2br w:val="nil"/>
                    <w:tr2bl w:val="nil"/>
                  </w:tcBorders>
                  <w:vAlign w:val="center"/>
                </w:tcPr>
                <w:p w14:paraId="42FD0956">
                  <w:pPr>
                    <w:numPr>
                      <w:ilvl w:val="0"/>
                      <w:numId w:val="0"/>
                    </w:numPr>
                    <w:spacing w:line="240" w:lineRule="auto"/>
                    <w:jc w:val="center"/>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相符</w:t>
                  </w:r>
                </w:p>
              </w:tc>
            </w:tr>
            <w:tr w14:paraId="7D718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3" w:type="dxa"/>
                  <w:tcBorders>
                    <w:tl2br w:val="nil"/>
                    <w:tr2bl w:val="nil"/>
                  </w:tcBorders>
                  <w:vAlign w:val="center"/>
                </w:tcPr>
                <w:p w14:paraId="0CD15603">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新兴产业空间布局规划更加合理。引进一批清洁生产水平高、产业链耦合共生紧密的项目，形成产业绿色发展集群，实现沿江向沿海转移、主城区向郊区转移、由分散到集中的空间布局。</w:t>
                  </w:r>
                </w:p>
              </w:tc>
              <w:tc>
                <w:tcPr>
                  <w:tcW w:w="2490" w:type="dxa"/>
                  <w:tcBorders>
                    <w:tl2br w:val="nil"/>
                    <w:tr2bl w:val="nil"/>
                  </w:tcBorders>
                  <w:vAlign w:val="center"/>
                </w:tcPr>
                <w:p w14:paraId="4F1233FA">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本项目位于江苏省南通市</w:t>
                  </w:r>
                  <w:r>
                    <w:rPr>
                      <w:rFonts w:hint="eastAsia" w:cs="Times New Roman"/>
                      <w:b w:val="0"/>
                      <w:bCs/>
                      <w:color w:val="auto"/>
                      <w:sz w:val="21"/>
                      <w:szCs w:val="21"/>
                      <w:vertAlign w:val="baseline"/>
                      <w:lang w:val="en-US" w:eastAsia="zh-CN"/>
                    </w:rPr>
                    <w:t>海门经济技术开发区福州路123</w:t>
                  </w:r>
                  <w:r>
                    <w:rPr>
                      <w:rFonts w:hint="eastAsia" w:ascii="Times New Roman" w:hAnsi="Times New Roman" w:cs="Times New Roman"/>
                      <w:b w:val="0"/>
                      <w:bCs/>
                      <w:color w:val="auto"/>
                      <w:sz w:val="21"/>
                      <w:szCs w:val="21"/>
                      <w:vertAlign w:val="baseline"/>
                      <w:lang w:val="en-US" w:eastAsia="zh-CN"/>
                    </w:rPr>
                    <w:t>号，用地性质为工业用地，不涉及煤等高污染燃料使用；废气、废水经处理后能满足排放标准</w:t>
                  </w:r>
                </w:p>
              </w:tc>
              <w:tc>
                <w:tcPr>
                  <w:tcW w:w="1132" w:type="dxa"/>
                  <w:tcBorders>
                    <w:tl2br w:val="nil"/>
                    <w:tr2bl w:val="nil"/>
                  </w:tcBorders>
                  <w:vAlign w:val="center"/>
                </w:tcPr>
                <w:p w14:paraId="02CCF7B7">
                  <w:pPr>
                    <w:numPr>
                      <w:ilvl w:val="0"/>
                      <w:numId w:val="0"/>
                    </w:numPr>
                    <w:spacing w:line="240" w:lineRule="auto"/>
                    <w:jc w:val="center"/>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相符</w:t>
                  </w:r>
                </w:p>
              </w:tc>
            </w:tr>
            <w:tr w14:paraId="4B2B2A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3" w:type="dxa"/>
                  <w:tcBorders>
                    <w:tl2br w:val="nil"/>
                    <w:tr2bl w:val="nil"/>
                  </w:tcBorders>
                  <w:vAlign w:val="center"/>
                </w:tcPr>
                <w:p w14:paraId="61A9E72B">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资源能源利用更加集约高效。重点行业单位产品能耗、水耗、物耗及污染物排放持续下降，单位产品二氧化碳排放强度合理优化。重点行业单位增加值能耗水平持续下降，主要高耗能行业单位产品能耗达到国内先进水平</w:t>
                  </w:r>
                </w:p>
              </w:tc>
              <w:tc>
                <w:tcPr>
                  <w:tcW w:w="2490" w:type="dxa"/>
                  <w:tcBorders>
                    <w:tl2br w:val="nil"/>
                    <w:tr2bl w:val="nil"/>
                  </w:tcBorders>
                  <w:vAlign w:val="center"/>
                </w:tcPr>
                <w:p w14:paraId="17A5C0EA">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本项目使用清洁能源天然气，不使用高污染燃料煤等，能源主要为电能、天然气，通过采取污染防治措施后，污染物均能达标排放</w:t>
                  </w:r>
                </w:p>
              </w:tc>
              <w:tc>
                <w:tcPr>
                  <w:tcW w:w="1132" w:type="dxa"/>
                  <w:tcBorders>
                    <w:tl2br w:val="nil"/>
                    <w:tr2bl w:val="nil"/>
                  </w:tcBorders>
                  <w:vAlign w:val="center"/>
                </w:tcPr>
                <w:p w14:paraId="0DE70875">
                  <w:pPr>
                    <w:numPr>
                      <w:ilvl w:val="0"/>
                      <w:numId w:val="0"/>
                    </w:numPr>
                    <w:spacing w:line="240" w:lineRule="auto"/>
                    <w:jc w:val="center"/>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相符</w:t>
                  </w:r>
                </w:p>
              </w:tc>
            </w:tr>
            <w:tr w14:paraId="24AE57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3" w:type="dxa"/>
                  <w:tcBorders>
                    <w:tl2br w:val="nil"/>
                    <w:tr2bl w:val="nil"/>
                  </w:tcBorders>
                  <w:vAlign w:val="center"/>
                </w:tcPr>
                <w:p w14:paraId="329A890D">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绿色产业发展机制体制日益健全。排污权、用水权、碳排放权等市场化交易制度更加完善，生态环境治理体系和治理能力现代化迈上新台阶</w:t>
                  </w:r>
                </w:p>
              </w:tc>
              <w:tc>
                <w:tcPr>
                  <w:tcW w:w="2490" w:type="dxa"/>
                  <w:tcBorders>
                    <w:tl2br w:val="nil"/>
                    <w:tr2bl w:val="nil"/>
                  </w:tcBorders>
                  <w:vAlign w:val="center"/>
                </w:tcPr>
                <w:p w14:paraId="5B96D90A">
                  <w:pPr>
                    <w:numPr>
                      <w:ilvl w:val="0"/>
                      <w:numId w:val="0"/>
                    </w:numPr>
                    <w:spacing w:line="240" w:lineRule="auto"/>
                    <w:jc w:val="both"/>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本项目废气、废水排放将在南通市海门区范围内平衡</w:t>
                  </w:r>
                </w:p>
              </w:tc>
              <w:tc>
                <w:tcPr>
                  <w:tcW w:w="1132" w:type="dxa"/>
                  <w:tcBorders>
                    <w:tl2br w:val="nil"/>
                    <w:tr2bl w:val="nil"/>
                  </w:tcBorders>
                  <w:vAlign w:val="center"/>
                </w:tcPr>
                <w:p w14:paraId="2E048F91">
                  <w:pPr>
                    <w:numPr>
                      <w:ilvl w:val="0"/>
                      <w:numId w:val="0"/>
                    </w:numPr>
                    <w:spacing w:line="240" w:lineRule="auto"/>
                    <w:jc w:val="center"/>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相符</w:t>
                  </w:r>
                </w:p>
              </w:tc>
            </w:tr>
          </w:tbl>
          <w:p w14:paraId="0A4CDCF7">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Times New Roman" w:hAnsi="Times New Roman" w:cs="Times New Roman"/>
                <w:b/>
                <w:bCs w:val="0"/>
                <w:color w:val="auto"/>
                <w:sz w:val="21"/>
                <w:szCs w:val="21"/>
                <w:lang w:val="en-US" w:eastAsia="zh-CN"/>
              </w:rPr>
            </w:pPr>
            <w:r>
              <w:rPr>
                <w:rFonts w:hint="eastAsia" w:cs="Times New Roman"/>
                <w:b/>
                <w:bCs w:val="0"/>
                <w:color w:val="auto"/>
                <w:sz w:val="21"/>
                <w:szCs w:val="21"/>
                <w:lang w:val="en-US" w:eastAsia="zh-CN"/>
              </w:rPr>
              <w:t>6、</w:t>
            </w:r>
            <w:r>
              <w:rPr>
                <w:rFonts w:hint="eastAsia" w:ascii="Times New Roman" w:hAnsi="Times New Roman" w:cs="Times New Roman"/>
                <w:b/>
                <w:bCs w:val="0"/>
                <w:color w:val="auto"/>
                <w:sz w:val="21"/>
                <w:szCs w:val="21"/>
                <w:lang w:val="en-US" w:eastAsia="zh-CN"/>
              </w:rPr>
              <w:t>与《关于加强高耗能、高排放建设项目生态环境源头防控的指导意见》（环环评〔2021〕45号）相符性分析</w:t>
            </w:r>
          </w:p>
          <w:p w14:paraId="0C70B177">
            <w:pPr>
              <w:keepNext w:val="0"/>
              <w:keepLines w:val="0"/>
              <w:pageBreakBefore w:val="0"/>
              <w:widowControl w:val="0"/>
              <w:kinsoku/>
              <w:wordWrap/>
              <w:overflowPunct/>
              <w:topLinePunct w:val="0"/>
              <w:autoSpaceDE w:val="0"/>
              <w:autoSpaceDN w:val="0"/>
              <w:bidi w:val="0"/>
              <w:adjustRightInd/>
              <w:snapToGrid/>
              <w:spacing w:line="360" w:lineRule="auto"/>
              <w:ind w:leftChars="0" w:firstLine="420" w:firstLineChars="200"/>
              <w:jc w:val="left"/>
              <w:textAlignment w:val="auto"/>
              <w:rPr>
                <w:rFonts w:hint="eastAsia"/>
                <w:color w:val="auto"/>
              </w:rPr>
            </w:pPr>
            <w:r>
              <w:rPr>
                <w:rFonts w:hint="eastAsia"/>
                <w:color w:val="auto"/>
              </w:rPr>
              <w:t>对照《关于加强高耗能、高排放建设项目生态环境源头防控的指导意见》（环环评〔2021〕45号）中“（三）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四）落实区域削减要求。新建“两高”项目应按照《关于加强重点行业建设项目区域削减措施监督管理的通知》要求，依据区域环境质量改善目标，制定配套区域污染物削减方案，采取有效的污染物区域削减措施，腾出足够的环境容量。国家大气污染防治重点区域</w:t>
            </w:r>
            <w:r>
              <w:rPr>
                <w:rFonts w:hint="eastAsia"/>
                <w:color w:val="auto"/>
                <w:lang w:eastAsia="zh-CN"/>
              </w:rPr>
              <w:t>（</w:t>
            </w:r>
            <w:r>
              <w:rPr>
                <w:rFonts w:hint="eastAsia"/>
                <w:color w:val="auto"/>
              </w:rPr>
              <w:t>以下称重点区域</w:t>
            </w:r>
            <w:r>
              <w:rPr>
                <w:rFonts w:hint="eastAsia"/>
                <w:color w:val="auto"/>
                <w:lang w:eastAsia="zh-CN"/>
              </w:rPr>
              <w:t>）</w:t>
            </w:r>
            <w:r>
              <w:rPr>
                <w:rFonts w:hint="eastAsia"/>
                <w:color w:val="auto"/>
              </w:rPr>
              <w:t>内新建耗煤项目还应严格按规定采取煤炭消费减量替代措施，不得使用高污染燃料作为煤炭减量替代措施。”</w:t>
            </w:r>
          </w:p>
          <w:p w14:paraId="01047EC3">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textAlignment w:val="auto"/>
              <w:rPr>
                <w:rFonts w:hint="eastAsia"/>
                <w:color w:val="auto"/>
                <w:lang w:val="en-US" w:eastAsia="zh-CN"/>
              </w:rPr>
            </w:pPr>
            <w:r>
              <w:rPr>
                <w:rFonts w:hint="eastAsia" w:ascii="Times New Roman" w:hAnsi="Times New Roman" w:cs="Times New Roman"/>
                <w:b w:val="0"/>
                <w:bCs/>
                <w:color w:val="auto"/>
                <w:sz w:val="21"/>
                <w:szCs w:val="21"/>
                <w:lang w:val="en-US" w:eastAsia="zh-CN"/>
              </w:rPr>
              <w:t>本项目为</w:t>
            </w:r>
            <w:r>
              <w:rPr>
                <w:rFonts w:hint="eastAsia" w:cs="Times New Roman"/>
                <w:b w:val="0"/>
                <w:bCs/>
                <w:color w:val="auto"/>
                <w:sz w:val="21"/>
                <w:szCs w:val="21"/>
                <w:lang w:val="en-US" w:eastAsia="zh-CN"/>
              </w:rPr>
              <w:t>C3393锻件及粉末冶金制品制造</w:t>
            </w:r>
            <w:r>
              <w:rPr>
                <w:rFonts w:hint="eastAsia" w:ascii="Times New Roman" w:hAnsi="Times New Roman" w:cs="Times New Roman"/>
                <w:b w:val="0"/>
                <w:bCs/>
                <w:color w:val="auto"/>
                <w:sz w:val="21"/>
                <w:szCs w:val="21"/>
                <w:lang w:val="en-US" w:eastAsia="zh-CN"/>
              </w:rPr>
              <w:t>项目，不属于钢铁、电解铝、石化、</w:t>
            </w:r>
          </w:p>
          <w:p w14:paraId="063A4F2D">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化工、玻璃、焦化等“两高”行业，与《关于加强高耗能、高排放建设项目生态环境源头防控的指导意见》（环环评</w:t>
            </w:r>
            <w:r>
              <w:rPr>
                <w:rFonts w:hint="eastAsia"/>
                <w:color w:val="auto"/>
                <w:kern w:val="0"/>
                <w:lang w:eastAsia="zh-CN"/>
              </w:rPr>
              <w:t>〔</w:t>
            </w:r>
            <w:r>
              <w:rPr>
                <w:color w:val="auto"/>
                <w:kern w:val="0"/>
              </w:rPr>
              <w:t>202</w:t>
            </w:r>
            <w:r>
              <w:rPr>
                <w:rFonts w:hint="eastAsia"/>
                <w:color w:val="auto"/>
                <w:kern w:val="0"/>
                <w:lang w:val="en-US" w:eastAsia="zh-CN"/>
              </w:rPr>
              <w:t>1</w:t>
            </w:r>
            <w:r>
              <w:rPr>
                <w:rFonts w:hint="eastAsia"/>
                <w:color w:val="auto"/>
                <w:kern w:val="0"/>
                <w:lang w:eastAsia="zh-CN"/>
              </w:rPr>
              <w:t>〕</w:t>
            </w:r>
            <w:r>
              <w:rPr>
                <w:rFonts w:hint="eastAsia" w:ascii="Times New Roman" w:hAnsi="Times New Roman" w:cs="Times New Roman"/>
                <w:b w:val="0"/>
                <w:bCs/>
                <w:color w:val="auto"/>
                <w:sz w:val="21"/>
                <w:szCs w:val="21"/>
                <w:lang w:val="en-US" w:eastAsia="zh-CN"/>
              </w:rPr>
              <w:t>45号）文件相符。</w:t>
            </w:r>
          </w:p>
          <w:p w14:paraId="3BFC3EA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eastAsia"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《关于推动铸造和锻压行业高质量发展的指导意见》（工信部联通装</w:t>
            </w:r>
            <w:r>
              <w:rPr>
                <w:rFonts w:hint="eastAsia" w:ascii="宋体"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202</w:t>
            </w:r>
            <w:r>
              <w:rPr>
                <w:rFonts w:hint="default" w:ascii="Times New Roman" w:hAnsi="Times New Roman" w:cs="Times New Roman"/>
                <w:b/>
                <w:bCs/>
                <w:color w:val="auto"/>
                <w:sz w:val="21"/>
                <w:szCs w:val="21"/>
                <w:highlight w:val="none"/>
                <w:lang w:val="en-US" w:eastAsia="zh-CN"/>
              </w:rPr>
              <w:t>3</w:t>
            </w:r>
            <w:r>
              <w:rPr>
                <w:rFonts w:hint="eastAsia" w:ascii="宋体"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40号）相符性</w:t>
            </w:r>
          </w:p>
          <w:p w14:paraId="43E1B580">
            <w:pPr>
              <w:pStyle w:val="52"/>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cs="Times New Roman"/>
                <w:b w:val="0"/>
                <w:bCs w:val="0"/>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表1-</w:t>
            </w:r>
            <w:r>
              <w:rPr>
                <w:rFonts w:hint="eastAsia" w:ascii="Times New Roman" w:hAnsi="Times New Roman" w:cs="Times New Roman"/>
                <w:b/>
                <w:bCs/>
                <w:color w:val="auto"/>
                <w:sz w:val="21"/>
                <w:szCs w:val="21"/>
                <w:highlight w:val="none"/>
                <w:lang w:val="en-US" w:eastAsia="zh-CN"/>
              </w:rPr>
              <w:t>10</w:t>
            </w:r>
            <w:r>
              <w:rPr>
                <w:rFonts w:hint="default" w:ascii="Times New Roman" w:hAnsi="Times New Roman"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与《</w:t>
            </w:r>
            <w:r>
              <w:rPr>
                <w:rFonts w:hint="eastAsia" w:cs="Times New Roman"/>
                <w:b/>
                <w:bCs/>
                <w:color w:val="auto"/>
                <w:sz w:val="21"/>
                <w:szCs w:val="21"/>
                <w:highlight w:val="none"/>
                <w:lang w:val="en-US" w:eastAsia="zh-CN"/>
              </w:rPr>
              <w:t>关于推动全省铸造和锻压行业高质量发展的实施意见</w:t>
            </w:r>
            <w:r>
              <w:rPr>
                <w:rFonts w:hint="eastAsia" w:ascii="Times New Roman" w:hAnsi="Times New Roman" w:cs="Times New Roman"/>
                <w:b/>
                <w:bCs/>
                <w:color w:val="auto"/>
                <w:sz w:val="21"/>
                <w:szCs w:val="21"/>
                <w:highlight w:val="none"/>
                <w:lang w:val="en-US" w:eastAsia="zh-CN"/>
              </w:rPr>
              <w:t>》</w:t>
            </w:r>
            <w:r>
              <w:rPr>
                <w:rFonts w:hint="default" w:ascii="Times New Roman" w:hAnsi="Times New Roman" w:cs="Times New Roman"/>
                <w:b/>
                <w:bCs/>
                <w:color w:val="auto"/>
                <w:sz w:val="21"/>
                <w:szCs w:val="21"/>
                <w:highlight w:val="none"/>
                <w:lang w:val="en-US" w:eastAsia="zh-CN"/>
              </w:rPr>
              <w:t>相符性分析表</w:t>
            </w:r>
          </w:p>
          <w:tbl>
            <w:tblPr>
              <w:tblStyle w:val="4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636"/>
              <w:gridCol w:w="3451"/>
              <w:gridCol w:w="2316"/>
              <w:gridCol w:w="769"/>
            </w:tblGrid>
            <w:tr w14:paraId="333C3F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14929F1">
                  <w:pPr>
                    <w:pStyle w:val="52"/>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2794" w:type="pct"/>
                  <w:gridSpan w:val="2"/>
                  <w:noWrap w:val="0"/>
                  <w:vAlign w:val="center"/>
                </w:tcPr>
                <w:p w14:paraId="425ECA49">
                  <w:pPr>
                    <w:pStyle w:val="52"/>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文件相关内容</w:t>
                  </w:r>
                </w:p>
              </w:tc>
              <w:tc>
                <w:tcPr>
                  <w:tcW w:w="1236" w:type="pct"/>
                  <w:noWrap w:val="0"/>
                  <w:vAlign w:val="center"/>
                </w:tcPr>
                <w:p w14:paraId="23E109EE">
                  <w:pPr>
                    <w:pStyle w:val="52"/>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本项目情况</w:t>
                  </w:r>
                </w:p>
              </w:tc>
              <w:tc>
                <w:tcPr>
                  <w:tcW w:w="568" w:type="pct"/>
                  <w:noWrap w:val="0"/>
                  <w:vAlign w:val="center"/>
                </w:tcPr>
                <w:p w14:paraId="6B33A60A">
                  <w:pPr>
                    <w:pStyle w:val="52"/>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相符性</w:t>
                  </w:r>
                </w:p>
              </w:tc>
            </w:tr>
            <w:tr w14:paraId="015F6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01" w:type="pct"/>
                  <w:noWrap w:val="0"/>
                  <w:vAlign w:val="center"/>
                </w:tcPr>
                <w:p w14:paraId="14E82A2B">
                  <w:pPr>
                    <w:pStyle w:val="52"/>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59" w:type="pct"/>
                  <w:noWrap w:val="0"/>
                  <w:vAlign w:val="center"/>
                </w:tcPr>
                <w:p w14:paraId="0D1D0306">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坚持创新驱动，提升自主可控能力</w:t>
                  </w:r>
                </w:p>
              </w:tc>
              <w:tc>
                <w:tcPr>
                  <w:tcW w:w="2334" w:type="pct"/>
                  <w:noWrap w:val="0"/>
                  <w:vAlign w:val="center"/>
                </w:tcPr>
                <w:p w14:paraId="1A672005">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发展先进工艺与装备。重点发展高紧实度黏土砂自动化造型、高效自硬砂铸造、精密组芯造型、壳型铸造、离心铸造、金属型铸造、铁模覆砂、消失模/V法/实型铸造，轻合金高压/挤压/差压/低压/半固态/调压铸造、硅溶胶熔模铸造、短流程铸造、砂型3D打印等先进铸造工艺与装备；重点发展精密结构件高速冲压、超高强板材深拉深、高强轻质合金板材冲击液压成形、复杂异型结构旋压、高速精密多工位锻造、冷热径向锻造、冲锻复合近净成形、短流程模锻及自由锻、精密锻造、粉末精密锻造、数字化钣金制作成形中心、数字化高效通用零件加工中心等先进锻压工艺与装备。</w:t>
                  </w:r>
                </w:p>
              </w:tc>
              <w:tc>
                <w:tcPr>
                  <w:tcW w:w="1236" w:type="pct"/>
                  <w:noWrap w:val="0"/>
                  <w:vAlign w:val="center"/>
                </w:tcPr>
                <w:p w14:paraId="3CB8085C">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本项目采用短流程模锻及自由锻工艺，属于锻造先进工艺</w:t>
                  </w:r>
                </w:p>
              </w:tc>
              <w:tc>
                <w:tcPr>
                  <w:tcW w:w="914" w:type="dxa"/>
                  <w:noWrap w:val="0"/>
                  <w:vAlign w:val="center"/>
                </w:tcPr>
                <w:p w14:paraId="68041B8A">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r w14:paraId="63A09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401" w:type="pct"/>
                  <w:noWrap w:val="0"/>
                  <w:vAlign w:val="center"/>
                </w:tcPr>
                <w:p w14:paraId="3F443DB9">
                  <w:pPr>
                    <w:pStyle w:val="52"/>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459" w:type="pct"/>
                  <w:noWrap w:val="0"/>
                  <w:vAlign w:val="center"/>
                </w:tcPr>
                <w:p w14:paraId="5E1E9DB9">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坚持规范发展，推进产业结构优化</w:t>
                  </w:r>
                </w:p>
              </w:tc>
              <w:tc>
                <w:tcPr>
                  <w:tcW w:w="2334" w:type="pct"/>
                  <w:noWrap w:val="0"/>
                  <w:vAlign w:val="center"/>
                </w:tcPr>
                <w:p w14:paraId="07AF3417">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引导行业规范发展。各级发展改革、工业和信息化、生态环境、应急管理、市场监管部门要严格执行节能、环保、质量、安全技术等相关法律法规标准和《产业结构调整指导目录》中限制类、淘汰类目录，依法依规淘汰工艺装备落后、污染物排放不达标、生产安全无保障的落后产能。各级生态环境部门要严格落实主要污染物排放总量控制，依法依规制定污染防治方案，推动源头减排、过程控制和末端治理全过程深度治理。各级发展改革、工业和信息化部门要有效落实能源消耗总量和强度调控制度，以降碳为方向，加强能力建设，健全配套制度，推动能耗双控逐步转向碳排放总量和强度双控制度。各级工业和信息化部门要严格按照国家和省有关产业政策，依法依规淘汰无芯工频感应电炉、无磁轭（≥0.25吨）铝壳中频感应电炉等落后工艺装备。新建、改扩建项目单位产品的能耗、物耗、水耗、资源综合利用和污染物排放量等指标应符合相关法律法规标准要求。</w:t>
                  </w:r>
                </w:p>
              </w:tc>
              <w:tc>
                <w:tcPr>
                  <w:tcW w:w="1236" w:type="pct"/>
                  <w:noWrap w:val="0"/>
                  <w:vAlign w:val="center"/>
                </w:tcPr>
                <w:p w14:paraId="27838329">
                  <w:pPr>
                    <w:pStyle w:val="52"/>
                    <w:jc w:val="center"/>
                    <w:rPr>
                      <w:rStyle w:val="46"/>
                      <w:rFonts w:hint="eastAsia" w:ascii="宋体" w:hAnsi="宋体" w:eastAsia="宋体" w:cs="宋体"/>
                      <w:b w:val="0"/>
                      <w:bCs w:val="0"/>
                      <w:i w:val="0"/>
                      <w:iCs w:val="0"/>
                      <w:caps w:val="0"/>
                      <w:color w:val="auto"/>
                      <w:spacing w:val="0"/>
                      <w:sz w:val="21"/>
                      <w:szCs w:val="21"/>
                      <w:highlight w:val="none"/>
                      <w:lang w:val="en-US" w:eastAsia="zh-CN"/>
                    </w:rPr>
                  </w:pPr>
                  <w:r>
                    <w:rPr>
                      <w:rStyle w:val="46"/>
                      <w:rFonts w:hint="eastAsia" w:ascii="宋体" w:hAnsi="宋体" w:eastAsia="宋体" w:cs="宋体"/>
                      <w:b w:val="0"/>
                      <w:bCs w:val="0"/>
                      <w:i w:val="0"/>
                      <w:iCs w:val="0"/>
                      <w:caps w:val="0"/>
                      <w:color w:val="auto"/>
                      <w:spacing w:val="0"/>
                      <w:sz w:val="21"/>
                      <w:szCs w:val="21"/>
                      <w:highlight w:val="none"/>
                      <w:lang w:val="en-US" w:eastAsia="zh-CN"/>
                    </w:rPr>
                    <w:t>本项目严格执行节能、环保、质量、安全等相关法规要求和《产业结</w:t>
                  </w:r>
                </w:p>
                <w:p w14:paraId="2CD0CE32">
                  <w:pPr>
                    <w:pStyle w:val="52"/>
                    <w:jc w:val="both"/>
                    <w:rPr>
                      <w:rFonts w:hint="default" w:ascii="Times New Roman" w:hAnsi="Times New Roman" w:eastAsia="宋体" w:cs="Times New Roman"/>
                      <w:color w:val="auto"/>
                      <w:sz w:val="21"/>
                      <w:szCs w:val="21"/>
                      <w:highlight w:val="none"/>
                      <w:lang w:eastAsia="zh-CN"/>
                    </w:rPr>
                  </w:pPr>
                  <w:r>
                    <w:rPr>
                      <w:rStyle w:val="46"/>
                      <w:rFonts w:hint="eastAsia" w:ascii="宋体" w:hAnsi="宋体" w:eastAsia="宋体" w:cs="宋体"/>
                      <w:b w:val="0"/>
                      <w:bCs w:val="0"/>
                      <w:i w:val="0"/>
                      <w:iCs w:val="0"/>
                      <w:caps w:val="0"/>
                      <w:color w:val="auto"/>
                      <w:spacing w:val="0"/>
                      <w:sz w:val="21"/>
                      <w:szCs w:val="21"/>
                      <w:highlight w:val="none"/>
                      <w:lang w:val="en-US" w:eastAsia="zh-CN"/>
                    </w:rPr>
                    <w:t>构调整指导目录》等政策，本项目不采用淘汰类工艺和装备。</w:t>
                  </w:r>
                </w:p>
              </w:tc>
              <w:tc>
                <w:tcPr>
                  <w:tcW w:w="914" w:type="dxa"/>
                  <w:noWrap w:val="0"/>
                  <w:vAlign w:val="center"/>
                </w:tcPr>
                <w:p w14:paraId="5C6DB7F0">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r w14:paraId="5EC78E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01" w:type="pct"/>
                  <w:noWrap w:val="0"/>
                  <w:vAlign w:val="center"/>
                </w:tcPr>
                <w:p w14:paraId="42788165">
                  <w:pPr>
                    <w:pStyle w:val="52"/>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459" w:type="pct"/>
                  <w:noWrap w:val="0"/>
                  <w:vAlign w:val="center"/>
                </w:tcPr>
                <w:p w14:paraId="45B5685F">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强化企业主体责任，提升绿色安全发展水平</w:t>
                  </w:r>
                </w:p>
              </w:tc>
              <w:tc>
                <w:tcPr>
                  <w:tcW w:w="2334" w:type="pct"/>
                  <w:noWrap w:val="0"/>
                  <w:vAlign w:val="center"/>
                </w:tcPr>
                <w:p w14:paraId="2501A301">
                  <w:pPr>
                    <w:pStyle w:val="5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加大环保治理力度。铸造和锻压企业应当依法申领排污许可证，严格持证排污、按证排污并按排污许可证规定落实自行监测、记录报告、信息公开等要求。铸造企业应当严格执行《铸造工业大气污染物排放标准》(GB 39726-2020）及地方标准，加强无组织排放控制。不能稳定达标排放的，限期完成设施升级改造；不具备改造条件及改造后仍不能达标的，依法依规关停退出。</w:t>
                  </w:r>
                </w:p>
              </w:tc>
              <w:tc>
                <w:tcPr>
                  <w:tcW w:w="1236" w:type="pct"/>
                  <w:noWrap w:val="0"/>
                  <w:vAlign w:val="center"/>
                </w:tcPr>
                <w:p w14:paraId="5F691772">
                  <w:pPr>
                    <w:keepNext w:val="0"/>
                    <w:keepLines w:val="0"/>
                    <w:widowControl/>
                    <w:suppressLineNumbers w:val="0"/>
                    <w:jc w:val="center"/>
                    <w:rPr>
                      <w:rFonts w:hint="default" w:ascii="Times New Roman" w:hAnsi="Times New Roman" w:eastAsia="宋体" w:cs="Times New Roman"/>
                      <w:color w:val="auto"/>
                      <w:sz w:val="21"/>
                      <w:szCs w:val="21"/>
                      <w:highlight w:val="none"/>
                      <w:lang w:eastAsia="zh-CN"/>
                    </w:rPr>
                  </w:pP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本项目</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建成后依法申领排污许可证。本项目</w:t>
                  </w: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废气执行《大气污染物综合排放标准</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w:t>
                  </w: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DB32/4041-2021</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w:t>
                  </w:r>
                  <w:r>
                    <w:rPr>
                      <w:rStyle w:val="46"/>
                      <w:rFonts w:hint="eastAsia" w:cs="Times New Roman"/>
                      <w:b w:val="0"/>
                      <w:bCs w:val="0"/>
                      <w:i w:val="0"/>
                      <w:iCs w:val="0"/>
                      <w:caps w:val="0"/>
                      <w:color w:val="auto"/>
                      <w:spacing w:val="0"/>
                      <w:sz w:val="21"/>
                      <w:szCs w:val="21"/>
                      <w:highlight w:val="none"/>
                      <w:lang w:val="en-US" w:eastAsia="zh-CN"/>
                    </w:rPr>
                    <w:t>、</w:t>
                  </w:r>
                  <w:r>
                    <w:rPr>
                      <w:rFonts w:hAnsi="宋体"/>
                      <w:color w:val="auto"/>
                      <w:szCs w:val="21"/>
                    </w:rPr>
                    <w:t>《</w:t>
                  </w:r>
                  <w:r>
                    <w:rPr>
                      <w:rFonts w:hint="eastAsia" w:hAnsi="宋体"/>
                      <w:color w:val="auto"/>
                      <w:szCs w:val="21"/>
                      <w:lang w:val="en-US" w:eastAsia="zh-CN"/>
                    </w:rPr>
                    <w:t>工业炉窑大气污染物排放标准</w:t>
                  </w:r>
                  <w:r>
                    <w:rPr>
                      <w:rFonts w:hAnsi="宋体"/>
                      <w:color w:val="auto"/>
                      <w:szCs w:val="21"/>
                    </w:rPr>
                    <w:t>》（</w:t>
                  </w:r>
                  <w:r>
                    <w:rPr>
                      <w:rFonts w:hint="eastAsia"/>
                      <w:color w:val="auto"/>
                      <w:szCs w:val="21"/>
                    </w:rPr>
                    <w:t>D</w:t>
                  </w:r>
                  <w:r>
                    <w:rPr>
                      <w:color w:val="auto"/>
                      <w:szCs w:val="21"/>
                    </w:rPr>
                    <w:t>B</w:t>
                  </w:r>
                  <w:r>
                    <w:rPr>
                      <w:rFonts w:hint="eastAsia"/>
                      <w:color w:val="auto"/>
                      <w:szCs w:val="21"/>
                    </w:rPr>
                    <w:t xml:space="preserve">32/ </w:t>
                  </w:r>
                  <w:r>
                    <w:rPr>
                      <w:rFonts w:hint="eastAsia"/>
                      <w:color w:val="auto"/>
                      <w:szCs w:val="21"/>
                      <w:lang w:val="en-US" w:eastAsia="zh-CN"/>
                    </w:rPr>
                    <w:t>3728</w:t>
                  </w:r>
                  <w:r>
                    <w:rPr>
                      <w:rFonts w:hint="eastAsia"/>
                      <w:color w:val="auto"/>
                      <w:szCs w:val="21"/>
                    </w:rPr>
                    <w:t>-202</w:t>
                  </w:r>
                  <w:r>
                    <w:rPr>
                      <w:rFonts w:hint="eastAsia"/>
                      <w:color w:val="auto"/>
                      <w:szCs w:val="21"/>
                      <w:lang w:val="en-US" w:eastAsia="zh-CN"/>
                    </w:rPr>
                    <w:t>0</w:t>
                  </w:r>
                  <w:r>
                    <w:rPr>
                      <w:rFonts w:hAnsi="宋体"/>
                      <w:color w:val="auto"/>
                      <w:szCs w:val="21"/>
                    </w:rPr>
                    <w:t>）</w:t>
                  </w:r>
                </w:p>
              </w:tc>
              <w:tc>
                <w:tcPr>
                  <w:tcW w:w="914" w:type="dxa"/>
                  <w:noWrap w:val="0"/>
                  <w:vAlign w:val="center"/>
                </w:tcPr>
                <w:p w14:paraId="7E06EDF5">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bl>
          <w:p w14:paraId="743E377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8</w:t>
            </w:r>
            <w:r>
              <w:rPr>
                <w:rFonts w:hint="eastAsia" w:ascii="Times New Roman" w:hAnsi="Times New Roman" w:eastAsia="宋体" w:cs="Times New Roman"/>
                <w:b/>
                <w:bCs/>
                <w:color w:val="auto"/>
                <w:sz w:val="21"/>
                <w:szCs w:val="21"/>
                <w:highlight w:val="none"/>
                <w:lang w:val="en-US" w:eastAsia="zh-CN"/>
              </w:rPr>
              <w:t>、与《江苏省铸造行业大气污染综合治理方案》</w:t>
            </w:r>
            <w:r>
              <w:rPr>
                <w:rFonts w:hint="eastAsia"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苏环办20231242号</w:t>
            </w:r>
            <w:r>
              <w:rPr>
                <w:rFonts w:hint="eastAsia"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相符性分析</w:t>
            </w:r>
          </w:p>
          <w:p w14:paraId="098E41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表1-1</w:t>
            </w:r>
            <w:r>
              <w:rPr>
                <w:rFonts w:hint="eastAsia" w:cs="Times New Roman"/>
                <w:b/>
                <w:bCs/>
                <w:color w:val="auto"/>
                <w:sz w:val="21"/>
                <w:szCs w:val="21"/>
                <w:highlight w:val="none"/>
                <w:lang w:val="en-US" w:eastAsia="zh-CN"/>
              </w:rPr>
              <w:t>1</w:t>
            </w:r>
            <w:r>
              <w:rPr>
                <w:rFonts w:hint="eastAsia" w:ascii="Times New Roman" w:hAnsi="Times New Roman" w:eastAsia="宋体" w:cs="Times New Roman"/>
                <w:b/>
                <w:bCs/>
                <w:color w:val="auto"/>
                <w:sz w:val="21"/>
                <w:szCs w:val="21"/>
                <w:highlight w:val="none"/>
                <w:lang w:val="en-US" w:eastAsia="zh-CN"/>
              </w:rPr>
              <w:t>与《江苏省铸造行业大气污染综合治理方案》</w:t>
            </w:r>
            <w:r>
              <w:rPr>
                <w:rFonts w:hint="eastAsia"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苏环办20231242号</w:t>
            </w:r>
            <w:r>
              <w:rPr>
                <w:rFonts w:hint="eastAsia"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相符性分析</w:t>
            </w:r>
          </w:p>
          <w:tbl>
            <w:tblPr>
              <w:tblStyle w:val="4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900"/>
              <w:gridCol w:w="2316"/>
              <w:gridCol w:w="735"/>
            </w:tblGrid>
            <w:tr w14:paraId="5D2D2C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center"/>
                </w:tcPr>
                <w:p w14:paraId="214C52BF">
                  <w:pPr>
                    <w:pStyle w:val="52"/>
                    <w:jc w:val="center"/>
                    <w:rPr>
                      <w:rFonts w:hint="default"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类别</w:t>
                  </w:r>
                </w:p>
              </w:tc>
              <w:tc>
                <w:tcPr>
                  <w:tcW w:w="2627" w:type="pct"/>
                  <w:noWrap w:val="0"/>
                  <w:vAlign w:val="center"/>
                </w:tcPr>
                <w:p w14:paraId="76144F97">
                  <w:pPr>
                    <w:pStyle w:val="52"/>
                    <w:jc w:val="center"/>
                    <w:rPr>
                      <w:rFonts w:hint="default"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要求</w:t>
                  </w:r>
                </w:p>
              </w:tc>
              <w:tc>
                <w:tcPr>
                  <w:tcW w:w="1236" w:type="pct"/>
                  <w:noWrap w:val="0"/>
                  <w:vAlign w:val="center"/>
                </w:tcPr>
                <w:p w14:paraId="09A4E327">
                  <w:pPr>
                    <w:pStyle w:val="52"/>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本项目情况</w:t>
                  </w:r>
                </w:p>
              </w:tc>
              <w:tc>
                <w:tcPr>
                  <w:tcW w:w="568" w:type="pct"/>
                  <w:noWrap w:val="0"/>
                  <w:vAlign w:val="center"/>
                </w:tcPr>
                <w:p w14:paraId="65E8E5D9">
                  <w:pPr>
                    <w:pStyle w:val="52"/>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相符性</w:t>
                  </w:r>
                </w:p>
              </w:tc>
            </w:tr>
            <w:tr w14:paraId="27736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67" w:type="pct"/>
                  <w:noWrap w:val="0"/>
                  <w:vAlign w:val="center"/>
                </w:tcPr>
                <w:p w14:paraId="2034E5D2">
                  <w:pPr>
                    <w:pStyle w:val="5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大气污染防治要求</w:t>
                  </w:r>
                </w:p>
              </w:tc>
              <w:tc>
                <w:tcPr>
                  <w:tcW w:w="2627" w:type="pct"/>
                  <w:noWrap w:val="0"/>
                  <w:vAlign w:val="center"/>
                </w:tcPr>
                <w:p w14:paraId="2273BBD1">
                  <w:pPr>
                    <w:pStyle w:val="52"/>
                    <w:jc w:val="both"/>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有组织排放控制要求冲天炉烟气颗粒物、二氧化硫、氮氧化物.……其他生产工序或设备、设施烟气颗粒物浓度不高于30毫克/立方米。车间或生产设施排气中NMHC初始排放速率&gt;2kg</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h的，VOCs</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挥发性有机物</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处理设施的处理效率不低于80%。</w:t>
                  </w:r>
                </w:p>
                <w:p w14:paraId="5BC79C32">
                  <w:pPr>
                    <w:pStyle w:val="52"/>
                    <w:jc w:val="both"/>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无组织排放控制要求</w:t>
                  </w:r>
                  <w:r>
                    <w:rPr>
                      <w:rFonts w:hint="eastAsia" w:ascii="Times New Roman" w:hAnsi="Times New Roman" w:cs="Times New Roman"/>
                      <w:color w:val="auto"/>
                      <w:sz w:val="21"/>
                      <w:szCs w:val="21"/>
                      <w:highlight w:val="none"/>
                      <w:lang w:val="en-US" w:eastAsia="zh-CN"/>
                    </w:rPr>
                    <w:t>颗粒物</w:t>
                  </w:r>
                  <w:r>
                    <w:rPr>
                      <w:rFonts w:hint="default" w:ascii="Times New Roman" w:hAnsi="Times New Roman" w:cs="Times New Roman"/>
                      <w:color w:val="auto"/>
                      <w:sz w:val="21"/>
                      <w:szCs w:val="21"/>
                      <w:highlight w:val="none"/>
                      <w:lang w:val="en-US" w:eastAsia="zh-CN"/>
                    </w:rPr>
                    <w:t>无组织排放控制要求。企业厂区内颗粒物无组织排放1小时平均浓度值不高于5毫克/立方米。物料储存</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煤粉、膨润土等粉状物料和硅砂应袋装或罐装，并储存于封闭储库或半</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清理</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去除浇冒口、铲飞边毛刺等</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和浇包、渣包的维修工序应在封闭空间内操作，废气收集至除尘设施</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未在封闭空间内操作的，应采用固定式、移动式集气设备并配备除尘设施。车间外不得有可见烟粉尘外溢VOCs无组织排放控制要求。区内NMHC无组织排放1小时平均浓度不高于10毫克/立方米，任意一次浓度不高于30毫克/立方米。VOCs物料的储存和转移</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…设备与管线组件VOCs</w:t>
                  </w:r>
                  <w:r>
                    <w:rPr>
                      <w:rFonts w:hint="eastAsia" w:ascii="Times New Roman" w:hAnsi="Times New Roman" w:cs="Times New Roman"/>
                      <w:color w:val="auto"/>
                      <w:sz w:val="21"/>
                      <w:szCs w:val="21"/>
                      <w:highlight w:val="none"/>
                      <w:lang w:val="en-US" w:eastAsia="zh-CN"/>
                    </w:rPr>
                    <w:t>泄漏</w:t>
                  </w:r>
                  <w:r>
                    <w:rPr>
                      <w:rFonts w:hint="default" w:ascii="Times New Roman" w:hAnsi="Times New Roman" w:cs="Times New Roman"/>
                      <w:color w:val="auto"/>
                      <w:sz w:val="21"/>
                      <w:szCs w:val="21"/>
                      <w:highlight w:val="none"/>
                      <w:lang w:val="en-US" w:eastAsia="zh-CN"/>
                    </w:rPr>
                    <w:t>控制要求、敞开液面VOCs无组织排放控制要求等，应符合《挥发性有机物无组织排放控制标准》(GB37822-2019)。</w:t>
                  </w:r>
                </w:p>
              </w:tc>
              <w:tc>
                <w:tcPr>
                  <w:tcW w:w="1236" w:type="pct"/>
                  <w:noWrap w:val="0"/>
                  <w:vAlign w:val="center"/>
                </w:tcPr>
                <w:p w14:paraId="37E74BA0">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本项目废气</w:t>
                  </w:r>
                  <w:r>
                    <w:rPr>
                      <w:rFonts w:hint="eastAsia" w:ascii="Times New Roman" w:hAnsi="Times New Roman" w:cs="Times New Roman"/>
                      <w:color w:val="auto"/>
                      <w:sz w:val="21"/>
                      <w:szCs w:val="21"/>
                      <w:highlight w:val="none"/>
                      <w:lang w:val="en-US" w:eastAsia="zh-CN"/>
                    </w:rPr>
                    <w:t>主要为天然气燃烧废气，处理设施为低氮燃烧装置。</w:t>
                  </w:r>
                </w:p>
              </w:tc>
              <w:tc>
                <w:tcPr>
                  <w:tcW w:w="568" w:type="pct"/>
                  <w:noWrap w:val="0"/>
                  <w:vAlign w:val="center"/>
                </w:tcPr>
                <w:p w14:paraId="69157942">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r w14:paraId="722235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7" w:type="pct"/>
                  <w:noWrap w:val="0"/>
                  <w:vAlign w:val="center"/>
                </w:tcPr>
                <w:p w14:paraId="79140612">
                  <w:pPr>
                    <w:pStyle w:val="5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推进产业结构优化</w:t>
                  </w:r>
                </w:p>
              </w:tc>
              <w:tc>
                <w:tcPr>
                  <w:tcW w:w="2627" w:type="pct"/>
                  <w:noWrap w:val="0"/>
                  <w:vAlign w:val="center"/>
                </w:tcPr>
                <w:p w14:paraId="13BCFF82">
                  <w:pPr>
                    <w:pStyle w:val="52"/>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严格执行质量、环保、能耗、安全等相关法律法规标准和《产业结构调整指导目录》政策，配合工信、发改等部门依法依规淘汰工艺设备落后、污染排放不达标、生产安全无保障的落后产能</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严格审批新建、改扩建项目，新建、改扩建项目清洁生产水平达到先进水平，确保项目备案、环评、排污许可、安评、节能、审查等手续清晰、完备</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项目建设符合相关法律法规标准要求。严格落实主要污染物排放总量控制、能源消耗总量和强度调度控制，坚决遏制不符合要求的项目盲目发展和低水平重复建设，防止产能盲目扩张，切实推进铸造行业产业结构优化升级</w:t>
                  </w:r>
                </w:p>
              </w:tc>
              <w:tc>
                <w:tcPr>
                  <w:tcW w:w="1236" w:type="pct"/>
                  <w:noWrap w:val="0"/>
                  <w:vAlign w:val="center"/>
                </w:tcPr>
                <w:p w14:paraId="734FCA22">
                  <w:pPr>
                    <w:pStyle w:val="5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cs="Times New Roman"/>
                      <w:color w:val="auto"/>
                      <w:sz w:val="21"/>
                      <w:szCs w:val="21"/>
                      <w:highlight w:val="none"/>
                      <w:lang w:eastAsia="zh-CN"/>
                    </w:rPr>
                    <w:t>已取得</w:t>
                  </w:r>
                  <w:r>
                    <w:rPr>
                      <w:rFonts w:hint="default" w:ascii="Times New Roman" w:hAnsi="Times New Roman" w:eastAsia="宋体" w:cs="Times New Roman"/>
                      <w:color w:val="auto"/>
                      <w:sz w:val="21"/>
                      <w:szCs w:val="21"/>
                      <w:highlight w:val="none"/>
                      <w:lang w:eastAsia="zh-CN"/>
                    </w:rPr>
                    <w:t>项目备案证，不属于限制类、淘汰类。项目严格遵守相关法律法规</w:t>
                  </w:r>
                </w:p>
              </w:tc>
              <w:tc>
                <w:tcPr>
                  <w:tcW w:w="568" w:type="pct"/>
                  <w:noWrap w:val="0"/>
                  <w:vAlign w:val="center"/>
                </w:tcPr>
                <w:p w14:paraId="26AB4D5B">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r w14:paraId="1601BF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67" w:type="pct"/>
                  <w:noWrap w:val="0"/>
                  <w:vAlign w:val="center"/>
                </w:tcPr>
                <w:p w14:paraId="42445A49">
                  <w:pPr>
                    <w:pStyle w:val="5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加大环保治理力度</w:t>
                  </w:r>
                </w:p>
              </w:tc>
              <w:tc>
                <w:tcPr>
                  <w:tcW w:w="2627" w:type="pct"/>
                  <w:noWrap w:val="0"/>
                  <w:vAlign w:val="center"/>
                </w:tcPr>
                <w:p w14:paraId="6007CF99">
                  <w:pPr>
                    <w:pStyle w:val="52"/>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铸造和锻压企业应当依法申领排污许可证，严格持证排污、按证排污并按排污许可证规定落实自行监测、记录报告、信息公开等要求。铸造企业应当严格执行《铸造工业大气污染物排放标准》(GB 39726-2020</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及地方标准，加强无组织排放控制。不能稳定达标排放的，限期完成设施升级改造</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不具备改造条件及改造后仍不能达标的，依法依规关停退出</w:t>
                  </w:r>
                </w:p>
              </w:tc>
              <w:tc>
                <w:tcPr>
                  <w:tcW w:w="1236" w:type="pct"/>
                  <w:noWrap w:val="0"/>
                  <w:vAlign w:val="center"/>
                </w:tcPr>
                <w:p w14:paraId="4E54B4CB">
                  <w:pPr>
                    <w:keepNext w:val="0"/>
                    <w:keepLines w:val="0"/>
                    <w:widowControl/>
                    <w:suppressLineNumbers w:val="0"/>
                    <w:jc w:val="center"/>
                    <w:rPr>
                      <w:rFonts w:hint="default" w:ascii="Times New Roman" w:hAnsi="Times New Roman" w:eastAsia="宋体" w:cs="Times New Roman"/>
                      <w:color w:val="auto"/>
                      <w:sz w:val="21"/>
                      <w:szCs w:val="21"/>
                      <w:highlight w:val="none"/>
                      <w:lang w:eastAsia="zh-CN"/>
                    </w:rPr>
                  </w:pP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本项目</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建成后依法申领排污许可证。本项目</w:t>
                  </w: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废气执行《大气污染物综合排放标准</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w:t>
                  </w:r>
                  <w:r>
                    <w:rPr>
                      <w:rStyle w:val="46"/>
                      <w:rFonts w:hint="default" w:ascii="Times New Roman" w:hAnsi="Times New Roman" w:eastAsia="宋体" w:cs="Times New Roman"/>
                      <w:b w:val="0"/>
                      <w:bCs w:val="0"/>
                      <w:i w:val="0"/>
                      <w:iCs w:val="0"/>
                      <w:caps w:val="0"/>
                      <w:color w:val="auto"/>
                      <w:spacing w:val="0"/>
                      <w:sz w:val="21"/>
                      <w:szCs w:val="21"/>
                      <w:highlight w:val="none"/>
                      <w:lang w:val="en-US" w:eastAsia="zh-CN"/>
                    </w:rPr>
                    <w:t>DB32/4041-2021</w:t>
                  </w:r>
                  <w:r>
                    <w:rPr>
                      <w:rStyle w:val="46"/>
                      <w:rFonts w:hint="eastAsia" w:ascii="Times New Roman" w:hAnsi="Times New Roman" w:eastAsia="宋体" w:cs="Times New Roman"/>
                      <w:b w:val="0"/>
                      <w:bCs w:val="0"/>
                      <w:i w:val="0"/>
                      <w:iCs w:val="0"/>
                      <w:caps w:val="0"/>
                      <w:color w:val="auto"/>
                      <w:spacing w:val="0"/>
                      <w:sz w:val="21"/>
                      <w:szCs w:val="21"/>
                      <w:highlight w:val="none"/>
                      <w:lang w:val="en-US" w:eastAsia="zh-CN"/>
                    </w:rPr>
                    <w:t>）</w:t>
                  </w:r>
                  <w:r>
                    <w:rPr>
                      <w:rStyle w:val="46"/>
                      <w:rFonts w:hint="eastAsia" w:cs="Times New Roman"/>
                      <w:b w:val="0"/>
                      <w:bCs w:val="0"/>
                      <w:i w:val="0"/>
                      <w:iCs w:val="0"/>
                      <w:caps w:val="0"/>
                      <w:color w:val="auto"/>
                      <w:spacing w:val="0"/>
                      <w:sz w:val="21"/>
                      <w:szCs w:val="21"/>
                      <w:highlight w:val="none"/>
                      <w:lang w:val="en-US" w:eastAsia="zh-CN"/>
                    </w:rPr>
                    <w:t>、</w:t>
                  </w:r>
                  <w:r>
                    <w:rPr>
                      <w:rFonts w:hAnsi="宋体"/>
                      <w:color w:val="auto"/>
                      <w:szCs w:val="21"/>
                    </w:rPr>
                    <w:t>《</w:t>
                  </w:r>
                  <w:r>
                    <w:rPr>
                      <w:rFonts w:hint="eastAsia" w:hAnsi="宋体"/>
                      <w:color w:val="auto"/>
                      <w:szCs w:val="21"/>
                      <w:lang w:val="en-US" w:eastAsia="zh-CN"/>
                    </w:rPr>
                    <w:t>工业炉窑大气污染物排放标准</w:t>
                  </w:r>
                  <w:r>
                    <w:rPr>
                      <w:rFonts w:hAnsi="宋体"/>
                      <w:color w:val="auto"/>
                      <w:szCs w:val="21"/>
                    </w:rPr>
                    <w:t>》（</w:t>
                  </w:r>
                  <w:r>
                    <w:rPr>
                      <w:rFonts w:hint="eastAsia"/>
                      <w:color w:val="auto"/>
                      <w:szCs w:val="21"/>
                    </w:rPr>
                    <w:t>D</w:t>
                  </w:r>
                  <w:r>
                    <w:rPr>
                      <w:color w:val="auto"/>
                      <w:szCs w:val="21"/>
                    </w:rPr>
                    <w:t>B</w:t>
                  </w:r>
                  <w:r>
                    <w:rPr>
                      <w:rFonts w:hint="eastAsia"/>
                      <w:color w:val="auto"/>
                      <w:szCs w:val="21"/>
                    </w:rPr>
                    <w:t xml:space="preserve">32/ </w:t>
                  </w:r>
                  <w:r>
                    <w:rPr>
                      <w:rFonts w:hint="eastAsia"/>
                      <w:color w:val="auto"/>
                      <w:szCs w:val="21"/>
                      <w:lang w:val="en-US" w:eastAsia="zh-CN"/>
                    </w:rPr>
                    <w:t>3728</w:t>
                  </w:r>
                  <w:r>
                    <w:rPr>
                      <w:rFonts w:hint="eastAsia"/>
                      <w:color w:val="auto"/>
                      <w:szCs w:val="21"/>
                    </w:rPr>
                    <w:t>-202</w:t>
                  </w:r>
                  <w:r>
                    <w:rPr>
                      <w:rFonts w:hint="eastAsia"/>
                      <w:color w:val="auto"/>
                      <w:szCs w:val="21"/>
                      <w:lang w:val="en-US" w:eastAsia="zh-CN"/>
                    </w:rPr>
                    <w:t>0</w:t>
                  </w:r>
                  <w:r>
                    <w:rPr>
                      <w:rFonts w:hAnsi="宋体"/>
                      <w:color w:val="auto"/>
                      <w:szCs w:val="21"/>
                    </w:rPr>
                    <w:t>）</w:t>
                  </w:r>
                </w:p>
              </w:tc>
              <w:tc>
                <w:tcPr>
                  <w:tcW w:w="568" w:type="pct"/>
                  <w:noWrap w:val="0"/>
                  <w:vAlign w:val="center"/>
                </w:tcPr>
                <w:p w14:paraId="39695781">
                  <w:pPr>
                    <w:pStyle w:val="52"/>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符合</w:t>
                  </w:r>
                </w:p>
              </w:tc>
            </w:tr>
          </w:tbl>
          <w:p w14:paraId="73D765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与《江苏省挥发性有机物污染防治管理办法》相符性分析</w:t>
            </w:r>
          </w:p>
          <w:p w14:paraId="127EDE9B">
            <w:pP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表1-</w:t>
            </w:r>
            <w:r>
              <w:rPr>
                <w:rFonts w:hint="default" w:ascii="Times New Roman" w:hAnsi="Times New Roman"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与《江苏省挥发性有机物污染防治管理办法》总体要求相符性分析</w:t>
            </w:r>
          </w:p>
          <w:tbl>
            <w:tblPr>
              <w:tblStyle w:val="4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50"/>
              <w:gridCol w:w="2564"/>
              <w:gridCol w:w="970"/>
            </w:tblGrid>
            <w:tr w14:paraId="1B138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2700" w:type="pct"/>
                  <w:tcBorders>
                    <w:tl2br w:val="nil"/>
                    <w:tr2bl w:val="nil"/>
                  </w:tcBorders>
                  <w:noWrap w:val="0"/>
                  <w:vAlign w:val="center"/>
                </w:tcPr>
                <w:p w14:paraId="00BDE3D5">
                  <w:pPr>
                    <w:spacing w:line="240" w:lineRule="auto"/>
                    <w:ind w:left="0" w:leftChars="0" w:right="0" w:rightChars="0"/>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内容</w:t>
                  </w:r>
                </w:p>
              </w:tc>
              <w:tc>
                <w:tcPr>
                  <w:tcW w:w="1668" w:type="pct"/>
                  <w:tcBorders>
                    <w:tl2br w:val="nil"/>
                    <w:tr2bl w:val="nil"/>
                  </w:tcBorders>
                  <w:noWrap w:val="0"/>
                  <w:vAlign w:val="center"/>
                </w:tcPr>
                <w:p w14:paraId="42D97A7D">
                  <w:pPr>
                    <w:spacing w:line="240" w:lineRule="auto"/>
                    <w:ind w:left="0" w:leftChars="0" w:right="0" w:rightChars="0"/>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vertAlign w:val="baseline"/>
                      <w:lang w:eastAsia="zh-CN"/>
                    </w:rPr>
                    <w:t>相符性分析</w:t>
                  </w:r>
                </w:p>
              </w:tc>
              <w:tc>
                <w:tcPr>
                  <w:tcW w:w="631" w:type="pct"/>
                  <w:tcBorders>
                    <w:tl2br w:val="nil"/>
                    <w:tr2bl w:val="nil"/>
                  </w:tcBorders>
                  <w:noWrap w:val="0"/>
                  <w:vAlign w:val="center"/>
                </w:tcPr>
                <w:p w14:paraId="2BD07542">
                  <w:pPr>
                    <w:spacing w:line="240" w:lineRule="auto"/>
                    <w:jc w:val="center"/>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是否相符</w:t>
                  </w:r>
                </w:p>
              </w:tc>
            </w:tr>
            <w:tr w14:paraId="38AEF0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64790940">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新建、改建、扩建排放挥发性有机物的建设项目，应当依法进行环境影响评价。新增挥发性有机物排放总量指标的不足部分，可以依照有关规定通过排污权交易取得。建设项目的环境影响评价文件未经审查或者审查后</w:t>
                  </w:r>
                  <w:r>
                    <w:rPr>
                      <w:rFonts w:hint="default" w:ascii="Times New Roman" w:hAnsi="Times New Roman" w:cs="Times New Roman"/>
                      <w:color w:val="auto"/>
                      <w:sz w:val="21"/>
                      <w:szCs w:val="21"/>
                      <w:highlight w:val="none"/>
                      <w:vertAlign w:val="baseline"/>
                      <w:lang w:eastAsia="zh-CN"/>
                    </w:rPr>
                    <w:t>未</w:t>
                  </w:r>
                  <w:r>
                    <w:rPr>
                      <w:rFonts w:hint="default" w:ascii="Times New Roman" w:hAnsi="Times New Roman" w:eastAsia="宋体" w:cs="Times New Roman"/>
                      <w:color w:val="auto"/>
                      <w:sz w:val="21"/>
                      <w:szCs w:val="21"/>
                      <w:highlight w:val="none"/>
                      <w:vertAlign w:val="baseline"/>
                      <w:lang w:eastAsia="zh-CN"/>
                    </w:rPr>
                    <w:t>批准的，建设单位不得开工建设。</w:t>
                  </w:r>
                </w:p>
              </w:tc>
              <w:tc>
                <w:tcPr>
                  <w:tcW w:w="1668" w:type="pct"/>
                  <w:tcBorders>
                    <w:tl2br w:val="nil"/>
                    <w:tr2bl w:val="nil"/>
                  </w:tcBorders>
                  <w:noWrap w:val="0"/>
                  <w:vAlign w:val="center"/>
                </w:tcPr>
                <w:p w14:paraId="0C6B5FA1">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本项目</w:t>
                  </w:r>
                  <w:r>
                    <w:rPr>
                      <w:rFonts w:hint="default" w:ascii="Times New Roman" w:hAnsi="Times New Roman" w:cs="Times New Roman"/>
                      <w:color w:val="auto"/>
                      <w:sz w:val="21"/>
                      <w:szCs w:val="21"/>
                      <w:highlight w:val="none"/>
                      <w:lang w:eastAsia="zh-CN"/>
                    </w:rPr>
                    <w:t>待环境影响评价文件审批后进行开工</w:t>
                  </w:r>
                  <w:r>
                    <w:rPr>
                      <w:rFonts w:hint="default" w:ascii="Times New Roman" w:hAnsi="Times New Roman" w:cs="Times New Roman"/>
                      <w:color w:val="auto"/>
                      <w:sz w:val="21"/>
                      <w:szCs w:val="21"/>
                      <w:highlight w:val="none"/>
                      <w:lang w:val="en-US" w:eastAsia="zh-CN"/>
                    </w:rPr>
                    <w:t>建设</w:t>
                  </w:r>
                </w:p>
              </w:tc>
              <w:tc>
                <w:tcPr>
                  <w:tcW w:w="631" w:type="pct"/>
                  <w:tcBorders>
                    <w:tl2br w:val="nil"/>
                    <w:tr2bl w:val="nil"/>
                  </w:tcBorders>
                  <w:noWrap w:val="0"/>
                  <w:vAlign w:val="center"/>
                </w:tcPr>
                <w:p w14:paraId="4018CE8E">
                  <w:pPr>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r w14:paraId="430753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3A59D92A">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tc>
              <w:tc>
                <w:tcPr>
                  <w:tcW w:w="1668" w:type="pct"/>
                  <w:tcBorders>
                    <w:tl2br w:val="nil"/>
                    <w:tr2bl w:val="nil"/>
                  </w:tcBorders>
                  <w:noWrap w:val="0"/>
                  <w:vAlign w:val="center"/>
                </w:tcPr>
                <w:p w14:paraId="0DA552D1">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企业将履行防治挥发性有机物污染的义务，确保挥发性有机物符合</w:t>
                  </w:r>
                  <w:r>
                    <w:rPr>
                      <w:rFonts w:hint="default" w:ascii="Times New Roman" w:hAnsi="Times New Roman" w:cs="Times New Roman"/>
                      <w:bCs/>
                      <w:color w:val="auto"/>
                      <w:sz w:val="21"/>
                      <w:szCs w:val="21"/>
                      <w:highlight w:val="none"/>
                      <w:lang w:eastAsia="zh-CN"/>
                    </w:rPr>
                    <w:t>相应的排放标准</w:t>
                  </w:r>
                </w:p>
              </w:tc>
              <w:tc>
                <w:tcPr>
                  <w:tcW w:w="631" w:type="pct"/>
                  <w:tcBorders>
                    <w:tl2br w:val="nil"/>
                    <w:tr2bl w:val="nil"/>
                  </w:tcBorders>
                  <w:noWrap w:val="0"/>
                  <w:vAlign w:val="center"/>
                </w:tcPr>
                <w:p w14:paraId="53978965">
                  <w:pPr>
                    <w:spacing w:line="240" w:lineRule="auto"/>
                    <w:ind w:left="0" w:leftChars="0" w:right="0" w:right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r w14:paraId="317BED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0331783C">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挥发性有机物排放应当在排污许可分类管理名录规定的时限内按照排污许可证载明的要求进行；禁止无证排污或者不按证排污。排污许可证核发机关应当根据挥发性有机物排放标准、总量控制指标、环境影响评价文件以及相关批复要求等，依法合理确定挥发性有机物的排放种类、浓度以及排放量。</w:t>
                  </w:r>
                </w:p>
              </w:tc>
              <w:tc>
                <w:tcPr>
                  <w:tcW w:w="1668" w:type="pct"/>
                  <w:tcBorders>
                    <w:tl2br w:val="nil"/>
                    <w:tr2bl w:val="nil"/>
                  </w:tcBorders>
                  <w:noWrap w:val="0"/>
                  <w:vAlign w:val="center"/>
                </w:tcPr>
                <w:p w14:paraId="5C5FFBDE">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本项目建成后挥发性有机物排放将在排污许可分类管理名录规定的时限内按照排污许可要求进行。</w:t>
                  </w:r>
                </w:p>
              </w:tc>
              <w:tc>
                <w:tcPr>
                  <w:tcW w:w="631" w:type="pct"/>
                  <w:tcBorders>
                    <w:tl2br w:val="nil"/>
                    <w:tr2bl w:val="nil"/>
                  </w:tcBorders>
                  <w:noWrap w:val="0"/>
                  <w:vAlign w:val="center"/>
                </w:tcPr>
                <w:p w14:paraId="174ABBEB">
                  <w:pPr>
                    <w:spacing w:line="240" w:lineRule="auto"/>
                    <w:ind w:left="0" w:leftChars="0" w:right="0" w:right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r w14:paraId="11363C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47744BBB">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挥发性有机物排放单位应当按照有关规定和监测规范自行或者委托有关监测机构对其排放的挥发性有机物进行监测，记录、保存监测数据，并按照规定向社会公开。监测数据应当真实、可靠，保存时间不得少于3年。</w:t>
                  </w:r>
                </w:p>
              </w:tc>
              <w:tc>
                <w:tcPr>
                  <w:tcW w:w="1668" w:type="pct"/>
                  <w:tcBorders>
                    <w:tl2br w:val="nil"/>
                    <w:tr2bl w:val="nil"/>
                  </w:tcBorders>
                  <w:noWrap w:val="0"/>
                  <w:vAlign w:val="center"/>
                </w:tcPr>
                <w:p w14:paraId="12968E14">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本项目制定了运营期环境监测，委托监测机构进行例行监测，并会按照规定向社会公开。</w:t>
                  </w:r>
                </w:p>
              </w:tc>
              <w:tc>
                <w:tcPr>
                  <w:tcW w:w="631" w:type="pct"/>
                  <w:tcBorders>
                    <w:tl2br w:val="nil"/>
                    <w:tr2bl w:val="nil"/>
                  </w:tcBorders>
                  <w:noWrap w:val="0"/>
                  <w:vAlign w:val="center"/>
                </w:tcPr>
                <w:p w14:paraId="1694EA8C">
                  <w:pPr>
                    <w:spacing w:line="240" w:lineRule="auto"/>
                    <w:ind w:left="0" w:leftChars="0" w:right="0" w:right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r w14:paraId="741CEE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574394FB">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挥发性有机物排放重点单位应当按照有关规定和监测规范安装挥发性有机物自动监测设备，与环境保护主管部门的监控系统联网，保证其正常运行和数据传输，并按照规定如实向社会公开相关数据和信息，接受社会监督。挥发性有机物排放重点单位名录由环境保护主管部门定期公布。</w:t>
                  </w:r>
                </w:p>
              </w:tc>
              <w:tc>
                <w:tcPr>
                  <w:tcW w:w="1668" w:type="pct"/>
                  <w:tcBorders>
                    <w:tl2br w:val="nil"/>
                    <w:tr2bl w:val="nil"/>
                  </w:tcBorders>
                  <w:noWrap w:val="0"/>
                  <w:vAlign w:val="center"/>
                </w:tcPr>
                <w:p w14:paraId="3004C1C4">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本企业不属于挥发性有机物排放重点单位。</w:t>
                  </w:r>
                </w:p>
              </w:tc>
              <w:tc>
                <w:tcPr>
                  <w:tcW w:w="631" w:type="pct"/>
                  <w:tcBorders>
                    <w:tl2br w:val="nil"/>
                    <w:tr2bl w:val="nil"/>
                  </w:tcBorders>
                  <w:noWrap w:val="0"/>
                  <w:vAlign w:val="center"/>
                </w:tcPr>
                <w:p w14:paraId="031928AC">
                  <w:pPr>
                    <w:spacing w:line="240" w:lineRule="auto"/>
                    <w:ind w:left="0" w:leftChars="0" w:right="0" w:right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r w14:paraId="249BD9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0" w:type="pct"/>
                  <w:tcBorders>
                    <w:tl2br w:val="nil"/>
                    <w:tr2bl w:val="nil"/>
                  </w:tcBorders>
                  <w:noWrap w:val="0"/>
                  <w:vAlign w:val="center"/>
                </w:tcPr>
                <w:p w14:paraId="170BFF35">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1668" w:type="pct"/>
                  <w:tcBorders>
                    <w:tl2br w:val="nil"/>
                    <w:tr2bl w:val="nil"/>
                  </w:tcBorders>
                  <w:noWrap w:val="0"/>
                  <w:vAlign w:val="center"/>
                </w:tcPr>
                <w:p w14:paraId="00A945EA">
                  <w:pPr>
                    <w:spacing w:line="24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eastAsia="zh-CN"/>
                    </w:rPr>
                    <w:t>本项目</w:t>
                  </w:r>
                  <w:r>
                    <w:rPr>
                      <w:rFonts w:hint="default" w:ascii="Times New Roman" w:hAnsi="Times New Roman" w:cs="Times New Roman"/>
                      <w:color w:val="auto"/>
                      <w:sz w:val="21"/>
                      <w:szCs w:val="21"/>
                      <w:highlight w:val="none"/>
                      <w:lang w:val="en-US" w:eastAsia="zh-CN"/>
                    </w:rPr>
                    <w:t>天然气燃烧产生的颗粒物、二氧化硫、氮氧化物经低氮燃烧装置</w:t>
                  </w:r>
                  <w:r>
                    <w:rPr>
                      <w:rFonts w:hint="default" w:ascii="Times New Roman" w:hAnsi="Times New Roman" w:cs="Times New Roman"/>
                      <w:color w:val="auto"/>
                      <w:sz w:val="21"/>
                      <w:szCs w:val="21"/>
                      <w:highlight w:val="none"/>
                      <w:lang w:eastAsia="zh-CN"/>
                    </w:rPr>
                    <w:t>处理后由</w:t>
                  </w:r>
                  <w:r>
                    <w:rPr>
                      <w:rFonts w:hint="default" w:ascii="Times New Roman" w:hAnsi="Times New Roman" w:cs="Times New Roman"/>
                      <w:color w:val="auto"/>
                      <w:sz w:val="21"/>
                      <w:szCs w:val="21"/>
                      <w:highlight w:val="none"/>
                      <w:lang w:val="en-US" w:eastAsia="zh-CN"/>
                    </w:rPr>
                    <w:t>15m排气筒排放</w:t>
                  </w:r>
                </w:p>
              </w:tc>
              <w:tc>
                <w:tcPr>
                  <w:tcW w:w="631" w:type="pct"/>
                  <w:tcBorders>
                    <w:tl2br w:val="nil"/>
                    <w:tr2bl w:val="nil"/>
                  </w:tcBorders>
                  <w:noWrap w:val="0"/>
                  <w:vAlign w:val="center"/>
                </w:tcPr>
                <w:p w14:paraId="208D03E5">
                  <w:pPr>
                    <w:spacing w:line="240" w:lineRule="auto"/>
                    <w:ind w:left="0" w:leftChars="0" w:right="0" w:right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相符</w:t>
                  </w:r>
                </w:p>
              </w:tc>
            </w:tr>
          </w:tbl>
          <w:p w14:paraId="6384D7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cs="Times New Roman"/>
                <w:b/>
                <w:bCs/>
                <w:color w:val="auto"/>
                <w:spacing w:val="0"/>
                <w:kern w:val="11"/>
                <w:sz w:val="21"/>
                <w:szCs w:val="21"/>
                <w:highlight w:val="none"/>
                <w:lang w:val="en-US" w:eastAsia="zh-CN"/>
              </w:rPr>
            </w:pPr>
            <w:r>
              <w:rPr>
                <w:rFonts w:hint="eastAsia" w:cs="Times New Roman"/>
                <w:b/>
                <w:bCs/>
                <w:color w:val="auto"/>
                <w:spacing w:val="0"/>
                <w:kern w:val="11"/>
                <w:sz w:val="21"/>
                <w:szCs w:val="21"/>
                <w:highlight w:val="none"/>
                <w:lang w:val="en-US" w:eastAsia="zh-CN"/>
              </w:rPr>
              <w:t>10、</w:t>
            </w:r>
            <w:r>
              <w:rPr>
                <w:rFonts w:hint="default" w:cs="Times New Roman"/>
                <w:b/>
                <w:bCs/>
                <w:color w:val="auto"/>
                <w:spacing w:val="0"/>
                <w:kern w:val="11"/>
                <w:sz w:val="21"/>
                <w:szCs w:val="21"/>
                <w:highlight w:val="none"/>
                <w:lang w:val="en-US" w:eastAsia="zh-CN"/>
              </w:rPr>
              <w:t>与《南通市海门区“十四五”生态环境保护规划》相符性分析见表1-</w:t>
            </w:r>
            <w:r>
              <w:rPr>
                <w:rFonts w:hint="eastAsia" w:cs="Times New Roman"/>
                <w:b/>
                <w:bCs/>
                <w:color w:val="auto"/>
                <w:spacing w:val="0"/>
                <w:kern w:val="11"/>
                <w:sz w:val="21"/>
                <w:szCs w:val="21"/>
                <w:highlight w:val="none"/>
                <w:lang w:val="en-US" w:eastAsia="zh-CN"/>
              </w:rPr>
              <w:t>13</w:t>
            </w:r>
            <w:r>
              <w:rPr>
                <w:rFonts w:hint="default" w:cs="Times New Roman"/>
                <w:b/>
                <w:bCs/>
                <w:color w:val="auto"/>
                <w:spacing w:val="0"/>
                <w:kern w:val="11"/>
                <w:sz w:val="21"/>
                <w:szCs w:val="21"/>
                <w:highlight w:val="none"/>
                <w:lang w:val="en-US" w:eastAsia="zh-CN"/>
              </w:rPr>
              <w:t>。</w:t>
            </w:r>
          </w:p>
          <w:p w14:paraId="694887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default" w:cs="Times New Roman"/>
                <w:b/>
                <w:bCs/>
                <w:color w:val="auto"/>
                <w:spacing w:val="0"/>
                <w:kern w:val="11"/>
                <w:sz w:val="21"/>
                <w:szCs w:val="21"/>
                <w:highlight w:val="none"/>
                <w:lang w:val="en-US" w:eastAsia="zh-CN"/>
              </w:rPr>
              <w:t>表 1-</w:t>
            </w:r>
            <w:r>
              <w:rPr>
                <w:rFonts w:hint="eastAsia" w:cs="Times New Roman"/>
                <w:b/>
                <w:bCs/>
                <w:color w:val="auto"/>
                <w:spacing w:val="0"/>
                <w:kern w:val="11"/>
                <w:sz w:val="21"/>
                <w:szCs w:val="21"/>
                <w:highlight w:val="none"/>
                <w:lang w:val="en-US" w:eastAsia="zh-CN"/>
              </w:rPr>
              <w:t>13</w:t>
            </w:r>
            <w:r>
              <w:rPr>
                <w:rFonts w:hint="default" w:cs="Times New Roman"/>
                <w:b/>
                <w:bCs/>
                <w:color w:val="auto"/>
                <w:spacing w:val="0"/>
                <w:kern w:val="11"/>
                <w:sz w:val="21"/>
                <w:szCs w:val="21"/>
                <w:highlight w:val="none"/>
                <w:lang w:val="en-US" w:eastAsia="zh-CN"/>
              </w:rPr>
              <w:t xml:space="preserve"> 与南通市海门区“十四五”生态环境保护规划相符性分析</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685"/>
              <w:gridCol w:w="1957"/>
              <w:gridCol w:w="1100"/>
            </w:tblGrid>
            <w:tr w14:paraId="2AD610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tcBorders>
                    <w:tl2br w:val="nil"/>
                    <w:tr2bl w:val="nil"/>
                  </w:tcBorders>
                  <w:vAlign w:val="center"/>
                </w:tcPr>
                <w:p w14:paraId="068AD5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要点</w:t>
                  </w:r>
                </w:p>
              </w:tc>
              <w:tc>
                <w:tcPr>
                  <w:tcW w:w="3390" w:type="dxa"/>
                  <w:tcBorders>
                    <w:tl2br w:val="nil"/>
                    <w:tr2bl w:val="nil"/>
                  </w:tcBorders>
                  <w:vAlign w:val="center"/>
                </w:tcPr>
                <w:p w14:paraId="77249F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规划要求</w:t>
                  </w:r>
                </w:p>
              </w:tc>
              <w:tc>
                <w:tcPr>
                  <w:tcW w:w="1800" w:type="dxa"/>
                  <w:tcBorders>
                    <w:tl2br w:val="nil"/>
                    <w:tr2bl w:val="nil"/>
                  </w:tcBorders>
                  <w:vAlign w:val="center"/>
                </w:tcPr>
                <w:p w14:paraId="0E277A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本项目情况</w:t>
                  </w:r>
                </w:p>
              </w:tc>
              <w:tc>
                <w:tcPr>
                  <w:tcW w:w="1012" w:type="dxa"/>
                  <w:tcBorders>
                    <w:tl2br w:val="nil"/>
                    <w:tr2bl w:val="nil"/>
                  </w:tcBorders>
                  <w:vAlign w:val="center"/>
                </w:tcPr>
                <w:p w14:paraId="5F9FF8F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vertAlign w:val="baseline"/>
                      <w:lang w:val="en-US" w:eastAsia="zh-CN"/>
                    </w:rPr>
                    <w:t>相符性</w:t>
                  </w:r>
                </w:p>
              </w:tc>
            </w:tr>
            <w:tr w14:paraId="3E2476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vMerge w:val="restart"/>
                  <w:tcBorders>
                    <w:tl2br w:val="nil"/>
                    <w:tr2bl w:val="nil"/>
                  </w:tcBorders>
                  <w:vAlign w:val="center"/>
                </w:tcPr>
                <w:p w14:paraId="4BBFD0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持续推进VOCs治理攻坚</w:t>
                  </w:r>
                </w:p>
              </w:tc>
              <w:tc>
                <w:tcPr>
                  <w:tcW w:w="3390" w:type="dxa"/>
                  <w:tcBorders>
                    <w:tl2br w:val="nil"/>
                    <w:tr2bl w:val="nil"/>
                  </w:tcBorders>
                  <w:vAlign w:val="top"/>
                </w:tcPr>
                <w:p w14:paraId="7DFA74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全面执行各类涂料、胶黏剂、清洗剂等产品有害物质含量限制相关强制性国家标准，开展相关强制性质量标准实施情况监督抽查。以减少苯、甲苯、二甲苯等溶剂和助剂的使用为重点，推进低VOCs含量、低反应活性原辅材料和产品的替代，将 全 面 使 用 符 合 国 家 要 求 的 低VOCs含量原辅材料的企业纳入正面清单。禁止建设生产和使用高VOCs含量的溶剂型涂料、油墨、胶粘剂</w:t>
                  </w:r>
                  <w:r>
                    <w:rPr>
                      <w:rFonts w:hint="eastAsia" w:cs="Times New Roman"/>
                      <w:b w:val="0"/>
                      <w:bCs w:val="0"/>
                      <w:color w:val="auto"/>
                      <w:spacing w:val="0"/>
                      <w:kern w:val="11"/>
                      <w:sz w:val="21"/>
                      <w:szCs w:val="21"/>
                      <w:highlight w:val="none"/>
                      <w:vertAlign w:val="baseline"/>
                      <w:lang w:val="en-US" w:eastAsia="zh-CN"/>
                    </w:rPr>
                    <w:t>等</w:t>
                  </w:r>
                  <w:r>
                    <w:rPr>
                      <w:rFonts w:hint="default" w:cs="Times New Roman"/>
                      <w:b w:val="0"/>
                      <w:bCs w:val="0"/>
                      <w:color w:val="auto"/>
                      <w:spacing w:val="0"/>
                      <w:kern w:val="11"/>
                      <w:sz w:val="21"/>
                      <w:szCs w:val="21"/>
                      <w:highlight w:val="none"/>
                      <w:vertAlign w:val="baseline"/>
                      <w:lang w:val="en-US" w:eastAsia="zh-CN"/>
                    </w:rPr>
                    <w:t>项目</w:t>
                  </w:r>
                </w:p>
              </w:tc>
              <w:tc>
                <w:tcPr>
                  <w:tcW w:w="1800" w:type="dxa"/>
                  <w:tcBorders>
                    <w:tl2br w:val="nil"/>
                    <w:tr2bl w:val="nil"/>
                  </w:tcBorders>
                  <w:vAlign w:val="center"/>
                </w:tcPr>
                <w:p w14:paraId="2F746E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本项目不使用高VOCs 含量的溶剂型涂料、油墨、胶粘剂等</w:t>
                  </w:r>
                </w:p>
              </w:tc>
              <w:tc>
                <w:tcPr>
                  <w:tcW w:w="1012" w:type="dxa"/>
                  <w:tcBorders>
                    <w:tl2br w:val="nil"/>
                    <w:tr2bl w:val="nil"/>
                  </w:tcBorders>
                  <w:vAlign w:val="center"/>
                </w:tcPr>
                <w:p w14:paraId="63CCDC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554AB3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vMerge w:val="continue"/>
                  <w:tcBorders>
                    <w:tl2br w:val="nil"/>
                    <w:tr2bl w:val="nil"/>
                  </w:tcBorders>
                  <w:vAlign w:val="top"/>
                </w:tcPr>
                <w:p w14:paraId="65FF02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p>
              </w:tc>
              <w:tc>
                <w:tcPr>
                  <w:tcW w:w="3390" w:type="dxa"/>
                  <w:tcBorders>
                    <w:tl2br w:val="nil"/>
                    <w:tr2bl w:val="nil"/>
                  </w:tcBorders>
                  <w:vAlign w:val="top"/>
                </w:tcPr>
                <w:p w14:paraId="3C7F42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加强化工、工业涂装、包装印刷、油品储运销等重点行业VOCs治理，确定并发布VOCs重点监管企业名录，督促纳入重点监管企业名录的企业编制并实施“一企一策”综合治理方案。重点VOCs排放企业全部安装厂界VOCs在线监测设备。推动开展挥发性有机物液体储罐排查整治，完善管理信息。引导石化、化工、制药、农药等行业企业合理安排停检修计划，减少非正常工况VOCs排放</w:t>
                  </w:r>
                </w:p>
              </w:tc>
              <w:tc>
                <w:tcPr>
                  <w:tcW w:w="1800" w:type="dxa"/>
                  <w:tcBorders>
                    <w:tl2br w:val="nil"/>
                    <w:tr2bl w:val="nil"/>
                  </w:tcBorders>
                  <w:vAlign w:val="center"/>
                </w:tcPr>
                <w:p w14:paraId="0BF35E6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本项目不属于化工、工业涂装、包装印刷、油品储运销等重点行业</w:t>
                  </w:r>
                </w:p>
              </w:tc>
              <w:tc>
                <w:tcPr>
                  <w:tcW w:w="1012" w:type="dxa"/>
                  <w:tcBorders>
                    <w:tl2br w:val="nil"/>
                    <w:tr2bl w:val="nil"/>
                  </w:tcBorders>
                  <w:vAlign w:val="center"/>
                </w:tcPr>
                <w:p w14:paraId="51E534D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6697B7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vMerge w:val="continue"/>
                  <w:tcBorders>
                    <w:tl2br w:val="nil"/>
                    <w:tr2bl w:val="nil"/>
                  </w:tcBorders>
                  <w:vAlign w:val="top"/>
                </w:tcPr>
                <w:p w14:paraId="16CDFD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p>
              </w:tc>
              <w:tc>
                <w:tcPr>
                  <w:tcW w:w="3390" w:type="dxa"/>
                  <w:tcBorders>
                    <w:tl2br w:val="nil"/>
                    <w:tr2bl w:val="nil"/>
                  </w:tcBorders>
                  <w:vAlign w:val="top"/>
                </w:tcPr>
                <w:p w14:paraId="51CCE1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开展有针对性、分片区的VOCs综合整治。实施VOCs总量减排的同时，聚焦关键</w:t>
                  </w:r>
                  <w:r>
                    <w:rPr>
                      <w:rFonts w:hint="eastAsia" w:cs="Times New Roman"/>
                      <w:b w:val="0"/>
                      <w:bCs w:val="0"/>
                      <w:color w:val="auto"/>
                      <w:spacing w:val="0"/>
                      <w:kern w:val="11"/>
                      <w:sz w:val="21"/>
                      <w:szCs w:val="21"/>
                      <w:highlight w:val="none"/>
                      <w:vertAlign w:val="baseline"/>
                      <w:lang w:val="en-US" w:eastAsia="zh-CN"/>
                    </w:rPr>
                    <w:t>物质</w:t>
                  </w:r>
                  <w:r>
                    <w:rPr>
                      <w:rFonts w:hint="default" w:cs="Times New Roman"/>
                      <w:b w:val="0"/>
                      <w:bCs w:val="0"/>
                      <w:color w:val="auto"/>
                      <w:spacing w:val="0"/>
                      <w:kern w:val="11"/>
                      <w:sz w:val="21"/>
                      <w:szCs w:val="21"/>
                      <w:highlight w:val="none"/>
                      <w:vertAlign w:val="baseline"/>
                      <w:lang w:val="en-US" w:eastAsia="zh-CN"/>
                    </w:rPr>
                    <w:t>如烯烃、芳香烃等，对其来源采取优先控制措施，并对关键物种排放量大的企业建立管理台账，制定“一企一策”整治方案实施治理；重点关注玻璃制品行业、工业涂装行业、橡胶和塑料制品业、纺织印染行业等</w:t>
                  </w:r>
                </w:p>
              </w:tc>
              <w:tc>
                <w:tcPr>
                  <w:tcW w:w="1800" w:type="dxa"/>
                  <w:tcBorders>
                    <w:tl2br w:val="nil"/>
                    <w:tr2bl w:val="nil"/>
                  </w:tcBorders>
                  <w:vAlign w:val="center"/>
                </w:tcPr>
                <w:p w14:paraId="5B114D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本项目不属于重点关注玻璃制品行业、工业涂装行业、橡胶和塑料制品业、纺织印染行业；使用的原料不涉及烯烃、芳香烃等关键</w:t>
                  </w:r>
                  <w:r>
                    <w:rPr>
                      <w:rFonts w:hint="eastAsia" w:cs="Times New Roman"/>
                      <w:b w:val="0"/>
                      <w:bCs w:val="0"/>
                      <w:color w:val="auto"/>
                      <w:spacing w:val="0"/>
                      <w:kern w:val="11"/>
                      <w:sz w:val="21"/>
                      <w:szCs w:val="21"/>
                      <w:highlight w:val="none"/>
                      <w:vertAlign w:val="baseline"/>
                      <w:lang w:val="en-US" w:eastAsia="zh-CN"/>
                    </w:rPr>
                    <w:t>物质</w:t>
                  </w:r>
                </w:p>
              </w:tc>
              <w:tc>
                <w:tcPr>
                  <w:tcW w:w="1012" w:type="dxa"/>
                  <w:tcBorders>
                    <w:tl2br w:val="nil"/>
                    <w:tr2bl w:val="nil"/>
                  </w:tcBorders>
                  <w:vAlign w:val="center"/>
                </w:tcPr>
                <w:p w14:paraId="762EB2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0B5D6F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tcBorders>
                    <w:tl2br w:val="nil"/>
                    <w:tr2bl w:val="nil"/>
                  </w:tcBorders>
                  <w:vAlign w:val="center"/>
                </w:tcPr>
                <w:p w14:paraId="551AEF1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持续深化水污染环境治理</w:t>
                  </w:r>
                </w:p>
              </w:tc>
              <w:tc>
                <w:tcPr>
                  <w:tcW w:w="3390" w:type="dxa"/>
                  <w:tcBorders>
                    <w:tl2br w:val="nil"/>
                    <w:tr2bl w:val="nil"/>
                  </w:tcBorders>
                  <w:vAlign w:val="top"/>
                </w:tcPr>
                <w:p w14:paraId="284B49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积极推进燃煤锅炉淘汰整合、清洁能源替代和集中供热。开展生物质锅炉专项整治，生物质锅炉中位于建成区的完成超低排放改造或“回头看”，4蒸吨/小时以上生物质锅炉安装烟气排放自动监控设施，进料口安装视频监控设施，并与生态环境部门联网。深入推进工业炉窑深度整治。对涉工业炉窑行业，通过提标改造或清洁低碳能源、工厂余热、电厂热力替代等方式，实现有组织排放全面达标、无组织排放有效管控</w:t>
                  </w:r>
                </w:p>
              </w:tc>
              <w:tc>
                <w:tcPr>
                  <w:tcW w:w="1800" w:type="dxa"/>
                  <w:tcBorders>
                    <w:tl2br w:val="nil"/>
                    <w:tr2bl w:val="nil"/>
                  </w:tcBorders>
                  <w:vAlign w:val="center"/>
                </w:tcPr>
                <w:p w14:paraId="075C67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本项目使用电能和天然气，都属于清洁能源。</w:t>
                  </w:r>
                </w:p>
              </w:tc>
              <w:tc>
                <w:tcPr>
                  <w:tcW w:w="1012" w:type="dxa"/>
                  <w:tcBorders>
                    <w:tl2br w:val="nil"/>
                    <w:tr2bl w:val="nil"/>
                  </w:tcBorders>
                  <w:vAlign w:val="center"/>
                </w:tcPr>
                <w:p w14:paraId="472BB5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3D9CF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 w:type="dxa"/>
                  <w:tcBorders>
                    <w:tl2br w:val="nil"/>
                    <w:tr2bl w:val="nil"/>
                  </w:tcBorders>
                  <w:vAlign w:val="center"/>
                </w:tcPr>
                <w:p w14:paraId="00E97A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持续巩固工业水污染防治</w:t>
                  </w:r>
                </w:p>
              </w:tc>
              <w:tc>
                <w:tcPr>
                  <w:tcW w:w="3390" w:type="dxa"/>
                  <w:tcBorders>
                    <w:tl2br w:val="nil"/>
                    <w:tr2bl w:val="nil"/>
                  </w:tcBorders>
                  <w:vAlign w:val="top"/>
                </w:tcPr>
                <w:p w14:paraId="322C9E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加强工业废水处理能力建设，加强化工、印染、电镀等行业废水治理，抓好工业园区（集聚区）废水集中处理工作，加快工业废水与生活污水分开收集、分质处理。对工业企业废水接入市政污水管网的全面排查评估，评估认定不能接入城市污水处理厂的，要限期退出，企业应当依法取得排污许可和排水许可，出水在线监测数据应与城市污水处理厂实时共享</w:t>
                  </w:r>
                </w:p>
              </w:tc>
              <w:tc>
                <w:tcPr>
                  <w:tcW w:w="1800" w:type="dxa"/>
                  <w:tcBorders>
                    <w:tl2br w:val="nil"/>
                    <w:tr2bl w:val="nil"/>
                  </w:tcBorders>
                  <w:vAlign w:val="center"/>
                </w:tcPr>
                <w:p w14:paraId="7E72E85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本项目不属于化工、印染、电镀行业；生活污水经厂区化粪池预处理后接管至海门经济技术开发区污水处理厂进行深度处理</w:t>
                  </w:r>
                </w:p>
              </w:tc>
              <w:tc>
                <w:tcPr>
                  <w:tcW w:w="1012" w:type="dxa"/>
                  <w:tcBorders>
                    <w:tl2br w:val="nil"/>
                    <w:tr2bl w:val="nil"/>
                  </w:tcBorders>
                  <w:vAlign w:val="center"/>
                </w:tcPr>
                <w:p w14:paraId="3D2A61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bl>
          <w:p w14:paraId="7419EA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cs="Times New Roman"/>
                <w:b/>
                <w:bCs/>
                <w:color w:val="auto"/>
                <w:spacing w:val="0"/>
                <w:kern w:val="11"/>
                <w:sz w:val="21"/>
                <w:szCs w:val="21"/>
                <w:highlight w:val="none"/>
                <w:lang w:val="en-US" w:eastAsia="zh-CN"/>
              </w:rPr>
            </w:pPr>
            <w:r>
              <w:rPr>
                <w:rFonts w:hint="eastAsia" w:cs="Times New Roman"/>
                <w:b/>
                <w:bCs/>
                <w:color w:val="auto"/>
                <w:spacing w:val="0"/>
                <w:kern w:val="11"/>
                <w:sz w:val="21"/>
                <w:szCs w:val="21"/>
                <w:highlight w:val="none"/>
                <w:lang w:val="en-US" w:eastAsia="zh-CN"/>
              </w:rPr>
              <w:t>11、</w:t>
            </w:r>
            <w:r>
              <w:rPr>
                <w:rFonts w:hint="default" w:cs="Times New Roman"/>
                <w:b/>
                <w:bCs/>
                <w:color w:val="auto"/>
                <w:spacing w:val="0"/>
                <w:kern w:val="11"/>
                <w:sz w:val="21"/>
                <w:szCs w:val="21"/>
                <w:highlight w:val="none"/>
                <w:lang w:val="en-US" w:eastAsia="zh-CN"/>
              </w:rPr>
              <w:t>与南通市海门区国土空间总体规划相符性分析</w:t>
            </w:r>
          </w:p>
          <w:p w14:paraId="2F4369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s="Times New Roman"/>
                <w:b/>
                <w:bCs/>
                <w:color w:val="auto"/>
                <w:spacing w:val="0"/>
                <w:kern w:val="11"/>
                <w:sz w:val="21"/>
                <w:szCs w:val="21"/>
                <w:highlight w:val="none"/>
                <w:vertAlign w:val="baseline"/>
                <w:lang w:val="en-US" w:eastAsia="zh-CN"/>
              </w:rPr>
            </w:pPr>
            <w:r>
              <w:rPr>
                <w:rFonts w:hint="eastAsia" w:cs="Times New Roman"/>
                <w:b/>
                <w:bCs/>
                <w:color w:val="auto"/>
                <w:spacing w:val="0"/>
                <w:kern w:val="11"/>
                <w:sz w:val="21"/>
                <w:szCs w:val="21"/>
                <w:highlight w:val="none"/>
                <w:lang w:val="en-US" w:eastAsia="zh-CN"/>
              </w:rPr>
              <w:t>表 1-14 与南通市海门区国土空间总体规划相符性分析</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799"/>
              <w:gridCol w:w="1989"/>
              <w:gridCol w:w="1003"/>
            </w:tblGrid>
            <w:tr w14:paraId="7A896A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tcBorders>
                    <w:tl2br w:val="nil"/>
                    <w:tr2bl w:val="nil"/>
                  </w:tcBorders>
                  <w:vAlign w:val="center"/>
                </w:tcPr>
                <w:p w14:paraId="40B21E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要点</w:t>
                  </w:r>
                </w:p>
              </w:tc>
              <w:tc>
                <w:tcPr>
                  <w:tcW w:w="3495" w:type="dxa"/>
                  <w:tcBorders>
                    <w:tl2br w:val="nil"/>
                    <w:tr2bl w:val="nil"/>
                  </w:tcBorders>
                  <w:vAlign w:val="center"/>
                </w:tcPr>
                <w:p w14:paraId="596525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规划要求</w:t>
                  </w:r>
                </w:p>
              </w:tc>
              <w:tc>
                <w:tcPr>
                  <w:tcW w:w="1830" w:type="dxa"/>
                  <w:tcBorders>
                    <w:tl2br w:val="nil"/>
                    <w:tr2bl w:val="nil"/>
                  </w:tcBorders>
                  <w:vAlign w:val="center"/>
                </w:tcPr>
                <w:p w14:paraId="729D48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本项目情况</w:t>
                  </w:r>
                </w:p>
              </w:tc>
              <w:tc>
                <w:tcPr>
                  <w:tcW w:w="922" w:type="dxa"/>
                  <w:tcBorders>
                    <w:tl2br w:val="nil"/>
                    <w:tr2bl w:val="nil"/>
                  </w:tcBorders>
                  <w:vAlign w:val="center"/>
                </w:tcPr>
                <w:p w14:paraId="3DC2C6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相符性</w:t>
                  </w:r>
                </w:p>
              </w:tc>
            </w:tr>
            <w:tr w14:paraId="3C753B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tcBorders>
                    <w:tl2br w:val="nil"/>
                    <w:tr2bl w:val="nil"/>
                  </w:tcBorders>
                  <w:vAlign w:val="center"/>
                </w:tcPr>
                <w:p w14:paraId="617C2F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三区划定管控</w:t>
                  </w:r>
                </w:p>
              </w:tc>
              <w:tc>
                <w:tcPr>
                  <w:tcW w:w="3495" w:type="dxa"/>
                  <w:tcBorders>
                    <w:tl2br w:val="nil"/>
                    <w:tr2bl w:val="nil"/>
                  </w:tcBorders>
                  <w:vAlign w:val="center"/>
                </w:tcPr>
                <w:p w14:paraId="7ECAECF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中心城市——滨江主城：集现代制造、科技创新、人文宜居、综合服务等功能于一体的城市；</w:t>
                  </w:r>
                </w:p>
                <w:p w14:paraId="55532D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重点镇区——包场镇：集临港产业、商贸配套于一体的滨海新城，三星镇：集临空产业、家纺商贸于一体的现代新城，临江镇： 海门生物医药基地，引导产业提档升级，推动高污染、低效益企业腾退，完善生活生产服务职能；</w:t>
                  </w:r>
                </w:p>
                <w:p w14:paraId="21C8A1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一般镇区——正余镇、四甲镇、余东镇、常乐镇、悦来镇、海永镇：发展特色产业，完善生活服务功能</w:t>
                  </w:r>
                </w:p>
              </w:tc>
              <w:tc>
                <w:tcPr>
                  <w:tcW w:w="1830" w:type="dxa"/>
                  <w:tcBorders>
                    <w:tl2br w:val="nil"/>
                    <w:tr2bl w:val="nil"/>
                  </w:tcBorders>
                  <w:vAlign w:val="center"/>
                </w:tcPr>
                <w:p w14:paraId="49F449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本项目位于江苏省南通市海门经济技术开发区福州路123号，属于</w:t>
                  </w:r>
                  <w:r>
                    <w:rPr>
                      <w:rFonts w:hint="default" w:ascii="Times New Roman" w:hAnsi="Times New Roman" w:eastAsia="宋体" w:cs="Times New Roman"/>
                      <w:color w:val="auto"/>
                      <w:vertAlign w:val="baseline"/>
                      <w:lang w:val="en-US" w:eastAsia="zh-CN"/>
                    </w:rPr>
                    <w:t>C3393锻件及粉末冶金制品制造</w:t>
                  </w:r>
                  <w:r>
                    <w:rPr>
                      <w:rFonts w:hint="eastAsia" w:cs="Times New Roman"/>
                      <w:b w:val="0"/>
                      <w:bCs w:val="0"/>
                      <w:color w:val="auto"/>
                      <w:spacing w:val="0"/>
                      <w:kern w:val="11"/>
                      <w:sz w:val="21"/>
                      <w:szCs w:val="21"/>
                      <w:highlight w:val="none"/>
                      <w:vertAlign w:val="baseline"/>
                      <w:lang w:val="en-US" w:eastAsia="zh-CN"/>
                    </w:rPr>
                    <w:t>，满足现代制造功能要求。</w:t>
                  </w:r>
                </w:p>
              </w:tc>
              <w:tc>
                <w:tcPr>
                  <w:tcW w:w="922" w:type="dxa"/>
                  <w:tcBorders>
                    <w:tl2br w:val="nil"/>
                    <w:tr2bl w:val="nil"/>
                  </w:tcBorders>
                  <w:vAlign w:val="center"/>
                </w:tcPr>
                <w:p w14:paraId="603E52D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49898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Merge w:val="restart"/>
                  <w:tcBorders>
                    <w:tl2br w:val="nil"/>
                    <w:tr2bl w:val="nil"/>
                  </w:tcBorders>
                  <w:vAlign w:val="center"/>
                </w:tcPr>
                <w:p w14:paraId="562C7C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三线划定管控</w:t>
                  </w:r>
                </w:p>
              </w:tc>
              <w:tc>
                <w:tcPr>
                  <w:tcW w:w="3495" w:type="dxa"/>
                  <w:tcBorders>
                    <w:tl2br w:val="nil"/>
                    <w:tr2bl w:val="nil"/>
                  </w:tcBorders>
                  <w:vAlign w:val="center"/>
                </w:tcPr>
                <w:p w14:paraId="3C1C10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严格落实上级下达的耕地和永久基本农田保护任务，确保永久基本农田数量不减少、质量不降低、布局稳定。坚决遏制耕地“非农化”，防止</w:t>
                  </w:r>
                  <w:r>
                    <w:rPr>
                      <w:rFonts w:hint="eastAsia" w:cs="Times New Roman"/>
                      <w:b w:val="0"/>
                      <w:bCs w:val="0"/>
                      <w:color w:val="auto"/>
                      <w:spacing w:val="0"/>
                      <w:kern w:val="11"/>
                      <w:sz w:val="21"/>
                      <w:szCs w:val="21"/>
                      <w:highlight w:val="none"/>
                      <w:vertAlign w:val="baseline"/>
                      <w:lang w:val="en-US" w:eastAsia="zh-CN"/>
                    </w:rPr>
                    <w:t>耕地</w:t>
                  </w:r>
                  <w:r>
                    <w:rPr>
                      <w:rFonts w:hint="default" w:cs="Times New Roman"/>
                      <w:b w:val="0"/>
                      <w:bCs w:val="0"/>
                      <w:color w:val="auto"/>
                      <w:spacing w:val="0"/>
                      <w:kern w:val="11"/>
                      <w:sz w:val="21"/>
                      <w:szCs w:val="21"/>
                      <w:highlight w:val="none"/>
                      <w:vertAlign w:val="baseline"/>
                      <w:lang w:val="en-US" w:eastAsia="zh-CN"/>
                    </w:rPr>
                    <w:t>“非粮化”</w:t>
                  </w:r>
                </w:p>
              </w:tc>
              <w:tc>
                <w:tcPr>
                  <w:tcW w:w="1830" w:type="dxa"/>
                  <w:tcBorders>
                    <w:tl2br w:val="nil"/>
                    <w:tr2bl w:val="nil"/>
                  </w:tcBorders>
                  <w:vAlign w:val="center"/>
                </w:tcPr>
                <w:p w14:paraId="68A07A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本项目建设未新增建设用地</w:t>
                  </w:r>
                </w:p>
              </w:tc>
              <w:tc>
                <w:tcPr>
                  <w:tcW w:w="922" w:type="dxa"/>
                  <w:tcBorders>
                    <w:tl2br w:val="nil"/>
                    <w:tr2bl w:val="nil"/>
                  </w:tcBorders>
                  <w:vAlign w:val="center"/>
                </w:tcPr>
                <w:p w14:paraId="266889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236781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Merge w:val="continue"/>
                  <w:tcBorders>
                    <w:tl2br w:val="nil"/>
                    <w:tr2bl w:val="nil"/>
                  </w:tcBorders>
                  <w:vAlign w:val="center"/>
                </w:tcPr>
                <w:p w14:paraId="035A10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p>
              </w:tc>
              <w:tc>
                <w:tcPr>
                  <w:tcW w:w="3495" w:type="dxa"/>
                  <w:tcBorders>
                    <w:tl2br w:val="nil"/>
                    <w:tr2bl w:val="nil"/>
                  </w:tcBorders>
                  <w:vAlign w:val="center"/>
                </w:tcPr>
                <w:p w14:paraId="464C38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锚固优质生态空间，严守生态保护红线，禁止开发性、生产性建设活动，除国家重大战略项目外，仅允许对生态功能不破坏的有限人为活动</w:t>
                  </w:r>
                </w:p>
              </w:tc>
              <w:tc>
                <w:tcPr>
                  <w:tcW w:w="1830" w:type="dxa"/>
                  <w:tcBorders>
                    <w:tl2br w:val="nil"/>
                    <w:tr2bl w:val="nil"/>
                  </w:tcBorders>
                  <w:vAlign w:val="center"/>
                </w:tcPr>
                <w:p w14:paraId="7FE50E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本项目建设地不在生态保护红线区域</w:t>
                  </w:r>
                </w:p>
              </w:tc>
              <w:tc>
                <w:tcPr>
                  <w:tcW w:w="922" w:type="dxa"/>
                  <w:tcBorders>
                    <w:tl2br w:val="nil"/>
                    <w:tr2bl w:val="nil"/>
                  </w:tcBorders>
                  <w:vAlign w:val="center"/>
                </w:tcPr>
                <w:p w14:paraId="3B301C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r w14:paraId="49C8FF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Merge w:val="continue"/>
                  <w:tcBorders>
                    <w:tl2br w:val="nil"/>
                    <w:tr2bl w:val="nil"/>
                  </w:tcBorders>
                  <w:vAlign w:val="center"/>
                </w:tcPr>
                <w:p w14:paraId="7ECB63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p>
              </w:tc>
              <w:tc>
                <w:tcPr>
                  <w:tcW w:w="3495" w:type="dxa"/>
                  <w:tcBorders>
                    <w:tl2br w:val="nil"/>
                    <w:tr2bl w:val="nil"/>
                  </w:tcBorders>
                  <w:vAlign w:val="center"/>
                </w:tcPr>
                <w:p w14:paraId="470285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default" w:cs="Times New Roman"/>
                      <w:b w:val="0"/>
                      <w:bCs w:val="0"/>
                      <w:color w:val="auto"/>
                      <w:spacing w:val="0"/>
                      <w:kern w:val="11"/>
                      <w:sz w:val="21"/>
                      <w:szCs w:val="21"/>
                      <w:highlight w:val="none"/>
                      <w:vertAlign w:val="baseline"/>
                      <w:lang w:val="en-US" w:eastAsia="zh-CN"/>
                    </w:rPr>
                    <w:t>坚持节约集约、紧凑发展原则，新增城镇建设用地投放应向城镇开发边界内集中，因国家重大战略实施等原因需调整的，应报国土空间规划原审批机关审批</w:t>
                  </w:r>
                </w:p>
              </w:tc>
              <w:tc>
                <w:tcPr>
                  <w:tcW w:w="1830" w:type="dxa"/>
                  <w:tcBorders>
                    <w:tl2br w:val="nil"/>
                    <w:tr2bl w:val="nil"/>
                  </w:tcBorders>
                  <w:vAlign w:val="center"/>
                </w:tcPr>
                <w:p w14:paraId="45277E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本项目建设未新增建设用地</w:t>
                  </w:r>
                </w:p>
              </w:tc>
              <w:tc>
                <w:tcPr>
                  <w:tcW w:w="922" w:type="dxa"/>
                  <w:tcBorders>
                    <w:tl2br w:val="nil"/>
                    <w:tr2bl w:val="nil"/>
                  </w:tcBorders>
                  <w:vAlign w:val="center"/>
                </w:tcPr>
                <w:p w14:paraId="34A35A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pacing w:val="0"/>
                      <w:kern w:val="11"/>
                      <w:sz w:val="21"/>
                      <w:szCs w:val="21"/>
                      <w:highlight w:val="none"/>
                      <w:vertAlign w:val="baseline"/>
                      <w:lang w:val="en-US" w:eastAsia="zh-CN"/>
                    </w:rPr>
                  </w:pPr>
                  <w:r>
                    <w:rPr>
                      <w:rFonts w:hint="eastAsia" w:cs="Times New Roman"/>
                      <w:b w:val="0"/>
                      <w:bCs w:val="0"/>
                      <w:color w:val="auto"/>
                      <w:spacing w:val="0"/>
                      <w:kern w:val="11"/>
                      <w:sz w:val="21"/>
                      <w:szCs w:val="21"/>
                      <w:highlight w:val="none"/>
                      <w:vertAlign w:val="baseline"/>
                      <w:lang w:val="en-US" w:eastAsia="zh-CN"/>
                    </w:rPr>
                    <w:t>符合</w:t>
                  </w:r>
                </w:p>
              </w:tc>
            </w:tr>
          </w:tbl>
          <w:p w14:paraId="65857A17">
            <w:pPr>
              <w:spacing w:line="360" w:lineRule="auto"/>
              <w:ind w:firstLine="480" w:firstLineChars="200"/>
              <w:rPr>
                <w:bCs/>
                <w:color w:val="auto"/>
                <w:sz w:val="24"/>
              </w:rPr>
            </w:pPr>
          </w:p>
        </w:tc>
      </w:tr>
    </w:tbl>
    <w:p w14:paraId="257128D8">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146930E">
      <w:pPr>
        <w:pStyle w:val="3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14:paraId="3EED4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496" w:type="dxa"/>
            <w:noWrap w:val="0"/>
            <w:vAlign w:val="center"/>
          </w:tcPr>
          <w:p w14:paraId="4B30F4B8">
            <w:pPr>
              <w:pStyle w:val="37"/>
              <w:adjustRightInd w:val="0"/>
              <w:snapToGrid w:val="0"/>
              <w:spacing w:before="0" w:beforeAutospacing="0" w:after="0" w:afterAutospacing="0"/>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建设内容</w:t>
            </w:r>
          </w:p>
        </w:tc>
        <w:tc>
          <w:tcPr>
            <w:tcW w:w="8488" w:type="dxa"/>
            <w:noWrap w:val="0"/>
            <w:vAlign w:val="top"/>
          </w:tcPr>
          <w:p w14:paraId="2CAB7654">
            <w:pPr>
              <w:spacing w:line="360" w:lineRule="auto"/>
              <w:ind w:left="434"/>
              <w:rPr>
                <w:rFonts w:hint="eastAsia" w:eastAsia="宋体"/>
                <w:b/>
                <w:bCs/>
                <w:color w:val="auto"/>
                <w:sz w:val="21"/>
                <w:szCs w:val="21"/>
                <w:lang w:eastAsia="zh-CN"/>
              </w:rPr>
            </w:pPr>
            <w:r>
              <w:rPr>
                <w:rFonts w:hint="eastAsia"/>
                <w:b/>
                <w:bCs/>
                <w:color w:val="auto"/>
                <w:sz w:val="21"/>
                <w:szCs w:val="21"/>
              </w:rPr>
              <w:t>1、项目</w:t>
            </w:r>
            <w:r>
              <w:rPr>
                <w:rFonts w:hint="eastAsia"/>
                <w:b/>
                <w:bCs/>
                <w:color w:val="auto"/>
                <w:sz w:val="21"/>
                <w:szCs w:val="21"/>
                <w:lang w:val="en-US" w:eastAsia="zh-CN"/>
              </w:rPr>
              <w:t>概况</w:t>
            </w:r>
          </w:p>
          <w:p w14:paraId="22E7A05C">
            <w:pPr>
              <w:adjustRightInd w:val="0"/>
              <w:snapToGrid w:val="0"/>
              <w:spacing w:line="360" w:lineRule="auto"/>
              <w:ind w:firstLine="420" w:firstLineChars="200"/>
              <w:jc w:val="left"/>
              <w:rPr>
                <w:rFonts w:hint="default" w:ascii="Times New Roman" w:hAnsi="Times New Roman" w:cs="Times New Roman"/>
                <w:color w:val="auto"/>
                <w:sz w:val="21"/>
                <w:szCs w:val="21"/>
                <w:lang w:val="en-US" w:eastAsia="zh-CN"/>
              </w:rPr>
            </w:pPr>
            <w:r>
              <w:rPr>
                <w:rFonts w:hint="eastAsia" w:cs="Times New Roman"/>
                <w:bCs/>
                <w:color w:val="auto"/>
                <w:lang w:val="en-US" w:eastAsia="zh-CN"/>
              </w:rPr>
              <w:t>江苏一重锻造有限公司位于南通市海门经济技术开发区福州路123号，主要从事精密环锻件、汽车及摩托车用锻件、风力发电设备用锻件、核电设备用锻件及其他锻件的粗加工。技改项目总投资1000万元，利用原有土地和厂房26667平方米，在工艺不变的情况下，扩建产能，企业原有项目产能为年模锻1000吨、自由锻8000吨，原有项目于2006年8月9日取得环评批文（附件11），2009年11月完成验收（</w:t>
            </w:r>
            <w:r>
              <w:rPr>
                <w:rFonts w:hint="eastAsia" w:cs="Times New Roman"/>
                <w:color w:val="auto"/>
                <w:sz w:val="21"/>
                <w:szCs w:val="21"/>
                <w:lang w:val="en-US" w:eastAsia="zh-CN"/>
              </w:rPr>
              <w:t>（2009）海环监验字第07号，附件12</w:t>
            </w:r>
            <w:r>
              <w:rPr>
                <w:rFonts w:hint="eastAsia" w:cs="Times New Roman"/>
                <w:bCs/>
                <w:color w:val="auto"/>
                <w:lang w:val="en-US" w:eastAsia="zh-CN"/>
              </w:rPr>
              <w:t>），排污许可证编号为</w:t>
            </w:r>
            <w:r>
              <w:rPr>
                <w:rFonts w:hint="eastAsia" w:cs="Times New Roman"/>
                <w:color w:val="auto"/>
                <w:sz w:val="21"/>
                <w:szCs w:val="21"/>
                <w:lang w:val="en-US" w:eastAsia="zh-CN"/>
              </w:rPr>
              <w:t>91320684786322414K001P（附件9）</w:t>
            </w:r>
            <w:r>
              <w:rPr>
                <w:rFonts w:hint="eastAsia" w:cs="Times New Roman"/>
                <w:bCs/>
                <w:color w:val="auto"/>
                <w:lang w:val="en-US" w:eastAsia="zh-CN"/>
              </w:rPr>
              <w:t>，本次技改完成后全厂产能为年模锻3000吨、自由锻24000吨。技改</w:t>
            </w:r>
            <w:r>
              <w:rPr>
                <w:rFonts w:hint="default" w:ascii="Times New Roman" w:hAnsi="Times New Roman" w:cs="Times New Roman"/>
                <w:color w:val="auto"/>
                <w:sz w:val="21"/>
                <w:szCs w:val="21"/>
                <w:lang w:val="en-US" w:eastAsia="zh-CN"/>
              </w:rPr>
              <w:t>项目已于</w:t>
            </w:r>
            <w:r>
              <w:rPr>
                <w:rFonts w:hint="eastAsia" w:cs="Times New Roman"/>
                <w:color w:val="auto"/>
                <w:sz w:val="21"/>
                <w:szCs w:val="21"/>
                <w:lang w:val="en-US" w:eastAsia="zh-CN"/>
              </w:rPr>
              <w:t>海门经济技术开发区</w:t>
            </w:r>
            <w:r>
              <w:rPr>
                <w:rFonts w:hint="default" w:ascii="Times New Roman" w:hAnsi="Times New Roman" w:cs="Times New Roman"/>
                <w:color w:val="auto"/>
                <w:sz w:val="21"/>
                <w:szCs w:val="21"/>
                <w:lang w:val="en-US" w:eastAsia="zh-CN"/>
              </w:rPr>
              <w:t>备案，项目代码为2</w:t>
            </w:r>
            <w:r>
              <w:rPr>
                <w:rFonts w:hint="eastAsia" w:cs="Times New Roman"/>
                <w:color w:val="auto"/>
                <w:sz w:val="21"/>
                <w:szCs w:val="21"/>
                <w:lang w:val="en-US" w:eastAsia="zh-CN"/>
              </w:rPr>
              <w:t>310</w:t>
            </w:r>
            <w:r>
              <w:rPr>
                <w:rFonts w:hint="default" w:ascii="Times New Roman" w:hAnsi="Times New Roman" w:cs="Times New Roman"/>
                <w:color w:val="auto"/>
                <w:sz w:val="21"/>
                <w:szCs w:val="21"/>
                <w:lang w:val="en-US" w:eastAsia="zh-CN"/>
              </w:rPr>
              <w:t>-3206</w:t>
            </w:r>
            <w:r>
              <w:rPr>
                <w:rFonts w:hint="eastAsia" w:cs="Times New Roman"/>
                <w:color w:val="auto"/>
                <w:sz w:val="21"/>
                <w:szCs w:val="21"/>
                <w:lang w:val="en-US" w:eastAsia="zh-CN"/>
              </w:rPr>
              <w:t>57</w:t>
            </w:r>
            <w:r>
              <w:rPr>
                <w:rFonts w:hint="default" w:ascii="Times New Roman" w:hAnsi="Times New Roman" w:cs="Times New Roman"/>
                <w:color w:val="auto"/>
                <w:sz w:val="21"/>
                <w:szCs w:val="21"/>
                <w:lang w:val="en-US" w:eastAsia="zh-CN"/>
              </w:rPr>
              <w:t>-89-0</w:t>
            </w:r>
            <w:r>
              <w:rPr>
                <w:rFonts w:hint="eastAsia" w:cs="Times New Roman"/>
                <w:color w:val="auto"/>
                <w:sz w:val="21"/>
                <w:szCs w:val="21"/>
                <w:lang w:val="en-US" w:eastAsia="zh-CN"/>
              </w:rPr>
              <w:t>2</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610775</w:t>
            </w:r>
            <w:r>
              <w:rPr>
                <w:rFonts w:hint="default" w:ascii="Times New Roman" w:hAnsi="Times New Roman" w:cs="Times New Roman"/>
                <w:color w:val="auto"/>
                <w:sz w:val="21"/>
                <w:szCs w:val="21"/>
                <w:lang w:val="en-US" w:eastAsia="zh-CN"/>
              </w:rPr>
              <w:t>。</w:t>
            </w:r>
          </w:p>
          <w:p w14:paraId="05553261">
            <w:pPr>
              <w:keepNext w:val="0"/>
              <w:keepLines w:val="0"/>
              <w:suppressLineNumbers w:val="0"/>
              <w:spacing w:before="0" w:beforeAutospacing="0" w:after="0" w:afterAutospacing="0" w:line="360" w:lineRule="auto"/>
              <w:ind w:left="0" w:right="0" w:firstLine="496"/>
              <w:outlineLvl w:val="0"/>
              <w:rPr>
                <w:rFonts w:hint="default" w:ascii="Calibri" w:hAnsi="Calibri" w:eastAsia="宋体" w:cs="Times New Roman"/>
                <w:color w:val="auto"/>
                <w:szCs w:val="21"/>
              </w:rPr>
            </w:pPr>
            <w:r>
              <w:rPr>
                <w:rFonts w:hint="eastAsia" w:eastAsia="宋体"/>
                <w:color w:val="auto"/>
                <w:szCs w:val="24"/>
                <w:lang w:val="en-US" w:eastAsia="zh-CN"/>
              </w:rPr>
              <w:t>根据《中华人民共和国环境保护法》、《中华人民共和国环境影响评价法》、《建设项目环境保护管理条例》等文件的规定，建设项目应当在开工建设前进行环境影响评价。对照《国民经济行业分类》（GB/T 4754-2017），项目属于</w:t>
            </w:r>
            <w:r>
              <w:rPr>
                <w:rFonts w:hint="default" w:ascii="Times New Roman" w:hAnsi="Times New Roman" w:eastAsia="宋体" w:cs="Times New Roman"/>
                <w:color w:val="auto"/>
                <w:vertAlign w:val="baseline"/>
                <w:lang w:val="en-US" w:eastAsia="zh-CN"/>
              </w:rPr>
              <w:t>C3393锻件及粉末冶金制品制造</w:t>
            </w:r>
            <w:r>
              <w:rPr>
                <w:rFonts w:hint="eastAsia" w:eastAsia="宋体"/>
                <w:color w:val="auto"/>
                <w:szCs w:val="24"/>
                <w:lang w:val="en-US" w:eastAsia="zh-CN"/>
              </w:rPr>
              <w:t>；对照《建设项目环境影响评价分类管理名录》，本项目属于“</w:t>
            </w:r>
            <w:r>
              <w:rPr>
                <w:rFonts w:hint="eastAsia"/>
                <w:color w:val="auto"/>
                <w:szCs w:val="21"/>
                <w:lang w:val="en-US" w:eastAsia="zh-CN"/>
              </w:rPr>
              <w:t>三十、金属制品业 33 铸造及其他金属制品制造 339</w:t>
            </w:r>
            <w:r>
              <w:rPr>
                <w:rFonts w:hint="eastAsia" w:eastAsia="宋体"/>
                <w:color w:val="auto"/>
                <w:szCs w:val="24"/>
                <w:lang w:val="en-US" w:eastAsia="zh-CN"/>
              </w:rPr>
              <w:t>”，因此本项目需编制环境影响报告表。我公司接受委托后，环评工作组进行了实地踏勘和资料收集，在工程分析的基础上，编制了本环境影响报告表。我单位接受委托后，认真研究了该项目的有关资料，在踏勘现场的社会、自然环境状况，调查、收集有关资料的基础上，根据项目所在区域的环境特征、结合工程污染特性等因素，编制了本项目环境影响报告表。通过环境影响评价，阐明本项目对周围环境影响的程度和范围，并提出环境污染控制措施，为项目的工程设计和环境管理提供科学依据，报请审批部门审批。</w:t>
            </w:r>
          </w:p>
          <w:p w14:paraId="3EF0D885">
            <w:pPr>
              <w:spacing w:line="360" w:lineRule="auto"/>
              <w:ind w:left="434"/>
              <w:rPr>
                <w:b/>
                <w:bCs/>
                <w:color w:val="auto"/>
                <w:sz w:val="21"/>
                <w:szCs w:val="21"/>
              </w:rPr>
            </w:pPr>
            <w:r>
              <w:rPr>
                <w:rFonts w:hint="eastAsia"/>
                <w:b/>
                <w:bCs/>
                <w:color w:val="auto"/>
                <w:sz w:val="21"/>
                <w:szCs w:val="21"/>
                <w:lang w:val="en-US" w:eastAsia="zh-CN"/>
              </w:rPr>
              <w:t>2</w:t>
            </w:r>
            <w:r>
              <w:rPr>
                <w:b/>
                <w:bCs/>
                <w:color w:val="auto"/>
                <w:sz w:val="21"/>
                <w:szCs w:val="21"/>
              </w:rPr>
              <w:t>、</w:t>
            </w:r>
            <w:r>
              <w:rPr>
                <w:rFonts w:hint="eastAsia"/>
                <w:b/>
                <w:bCs/>
                <w:color w:val="auto"/>
                <w:sz w:val="21"/>
                <w:szCs w:val="21"/>
              </w:rPr>
              <w:t>项目工程组成表</w:t>
            </w:r>
          </w:p>
          <w:p w14:paraId="7680DDF3">
            <w:pPr>
              <w:adjustRightInd w:val="0"/>
              <w:snapToGrid w:val="0"/>
              <w:jc w:val="center"/>
              <w:rPr>
                <w:b/>
                <w:bCs/>
                <w:color w:val="auto"/>
                <w:sz w:val="21"/>
                <w:szCs w:val="21"/>
              </w:rPr>
            </w:pPr>
            <w:r>
              <w:rPr>
                <w:b/>
                <w:bCs/>
                <w:color w:val="auto"/>
                <w:sz w:val="21"/>
                <w:szCs w:val="21"/>
              </w:rPr>
              <w:t>表2-</w:t>
            </w:r>
            <w:r>
              <w:rPr>
                <w:rFonts w:hint="eastAsia"/>
                <w:b/>
                <w:bCs/>
                <w:color w:val="auto"/>
                <w:sz w:val="21"/>
                <w:szCs w:val="21"/>
                <w:lang w:val="en-US" w:eastAsia="zh-CN"/>
              </w:rPr>
              <w:t>1</w:t>
            </w:r>
            <w:r>
              <w:rPr>
                <w:b/>
                <w:bCs/>
                <w:color w:val="auto"/>
                <w:sz w:val="21"/>
                <w:szCs w:val="21"/>
              </w:rPr>
              <w:t xml:space="preserve">  </w:t>
            </w:r>
            <w:r>
              <w:rPr>
                <w:b/>
                <w:color w:val="auto"/>
                <w:sz w:val="21"/>
                <w:szCs w:val="21"/>
              </w:rPr>
              <w:t>项目主要工程建设内容</w:t>
            </w:r>
          </w:p>
          <w:tbl>
            <w:tblPr>
              <w:tblStyle w:val="42"/>
              <w:tblW w:w="5000"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
            <w:tblGrid>
              <w:gridCol w:w="795"/>
              <w:gridCol w:w="1215"/>
              <w:gridCol w:w="2133"/>
              <w:gridCol w:w="2295"/>
              <w:gridCol w:w="1834"/>
            </w:tblGrid>
            <w:tr w14:paraId="77D82DA3">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97" w:hRule="atLeast"/>
              </w:trPr>
              <w:tc>
                <w:tcPr>
                  <w:tcW w:w="480" w:type="pct"/>
                  <w:vMerge w:val="restart"/>
                  <w:noWrap w:val="0"/>
                  <w:vAlign w:val="center"/>
                </w:tcPr>
                <w:p w14:paraId="4D6364CE">
                  <w:pPr>
                    <w:pStyle w:val="143"/>
                    <w:jc w:val="center"/>
                    <w:rPr>
                      <w:rFonts w:ascii="Times New Roman" w:hAnsi="Times New Roman" w:cs="Times New Roman"/>
                      <w:b/>
                      <w:color w:val="auto"/>
                      <w:sz w:val="21"/>
                      <w:szCs w:val="21"/>
                    </w:rPr>
                  </w:pPr>
                  <w:r>
                    <w:rPr>
                      <w:rFonts w:ascii="Times New Roman" w:hAnsi="Times New Roman" w:cs="Times New Roman"/>
                      <w:b/>
                      <w:color w:val="auto"/>
                      <w:sz w:val="21"/>
                      <w:szCs w:val="21"/>
                      <w:lang w:val="en-US"/>
                    </w:rPr>
                    <w:t>工程</w:t>
                  </w:r>
                  <w:r>
                    <w:rPr>
                      <w:rFonts w:ascii="Times New Roman" w:hAnsi="Times New Roman" w:cs="Times New Roman"/>
                      <w:b/>
                      <w:color w:val="auto"/>
                      <w:sz w:val="21"/>
                      <w:szCs w:val="21"/>
                    </w:rPr>
                    <w:t>类别</w:t>
                  </w:r>
                </w:p>
              </w:tc>
              <w:tc>
                <w:tcPr>
                  <w:tcW w:w="734" w:type="pct"/>
                  <w:vMerge w:val="restart"/>
                  <w:noWrap w:val="0"/>
                  <w:vAlign w:val="center"/>
                </w:tcPr>
                <w:p w14:paraId="75298E26">
                  <w:pPr>
                    <w:pStyle w:val="143"/>
                    <w:jc w:val="center"/>
                    <w:rPr>
                      <w:rFonts w:ascii="Times New Roman" w:hAnsi="Times New Roman" w:cs="Times New Roman"/>
                      <w:b/>
                      <w:color w:val="auto"/>
                      <w:sz w:val="21"/>
                      <w:szCs w:val="21"/>
                    </w:rPr>
                  </w:pPr>
                  <w:r>
                    <w:rPr>
                      <w:rFonts w:ascii="Times New Roman" w:hAnsi="Times New Roman" w:cs="Times New Roman"/>
                      <w:b/>
                      <w:color w:val="auto"/>
                      <w:sz w:val="21"/>
                      <w:szCs w:val="21"/>
                      <w:lang w:val="en-US"/>
                    </w:rPr>
                    <w:t>工程</w:t>
                  </w:r>
                  <w:r>
                    <w:rPr>
                      <w:rFonts w:ascii="Times New Roman" w:hAnsi="Times New Roman" w:cs="Times New Roman"/>
                      <w:b/>
                      <w:color w:val="auto"/>
                      <w:sz w:val="21"/>
                      <w:szCs w:val="21"/>
                    </w:rPr>
                    <w:t>名称</w:t>
                  </w:r>
                </w:p>
              </w:tc>
              <w:tc>
                <w:tcPr>
                  <w:tcW w:w="2676" w:type="pct"/>
                  <w:gridSpan w:val="2"/>
                  <w:noWrap w:val="0"/>
                  <w:vAlign w:val="center"/>
                </w:tcPr>
                <w:p w14:paraId="5F78AD1D">
                  <w:pPr>
                    <w:pStyle w:val="143"/>
                    <w:jc w:val="center"/>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建设内容及规模</w:t>
                  </w:r>
                </w:p>
              </w:tc>
              <w:tc>
                <w:tcPr>
                  <w:tcW w:w="1108" w:type="pct"/>
                  <w:vMerge w:val="restart"/>
                  <w:noWrap w:val="0"/>
                  <w:vAlign w:val="center"/>
                </w:tcPr>
                <w:p w14:paraId="02D12098">
                  <w:pPr>
                    <w:pStyle w:val="143"/>
                    <w:jc w:val="center"/>
                    <w:rPr>
                      <w:rFonts w:ascii="Times New Roman" w:hAnsi="Times New Roman" w:cs="Times New Roman"/>
                      <w:b/>
                      <w:color w:val="auto"/>
                      <w:sz w:val="21"/>
                      <w:szCs w:val="21"/>
                    </w:rPr>
                  </w:pPr>
                  <w:r>
                    <w:rPr>
                      <w:rFonts w:ascii="Times New Roman" w:hAnsi="Times New Roman" w:cs="Times New Roman"/>
                      <w:b/>
                      <w:color w:val="auto"/>
                      <w:sz w:val="21"/>
                      <w:szCs w:val="21"/>
                    </w:rPr>
                    <w:t>备注</w:t>
                  </w:r>
                </w:p>
              </w:tc>
            </w:tr>
            <w:tr w14:paraId="50882F85">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5" w:hRule="atLeast"/>
              </w:trPr>
              <w:tc>
                <w:tcPr>
                  <w:tcW w:w="480" w:type="pct"/>
                  <w:vMerge w:val="continue"/>
                  <w:tcBorders>
                    <w:bottom w:val="single" w:color="auto" w:sz="4" w:space="0"/>
                  </w:tcBorders>
                  <w:noWrap w:val="0"/>
                  <w:vAlign w:val="center"/>
                </w:tcPr>
                <w:p w14:paraId="080A84D2">
                  <w:pPr>
                    <w:jc w:val="center"/>
                    <w:rPr>
                      <w:color w:val="auto"/>
                      <w:sz w:val="21"/>
                      <w:szCs w:val="21"/>
                    </w:rPr>
                  </w:pPr>
                </w:p>
              </w:tc>
              <w:tc>
                <w:tcPr>
                  <w:tcW w:w="734" w:type="pct"/>
                  <w:vMerge w:val="continue"/>
                  <w:tcBorders>
                    <w:bottom w:val="single" w:color="auto" w:sz="4" w:space="0"/>
                  </w:tcBorders>
                  <w:noWrap w:val="0"/>
                  <w:vAlign w:val="center"/>
                </w:tcPr>
                <w:p w14:paraId="403507C9">
                  <w:pPr>
                    <w:jc w:val="center"/>
                    <w:rPr>
                      <w:color w:val="auto"/>
                      <w:sz w:val="21"/>
                      <w:szCs w:val="21"/>
                    </w:rPr>
                  </w:pPr>
                </w:p>
              </w:tc>
              <w:tc>
                <w:tcPr>
                  <w:tcW w:w="1289" w:type="pct"/>
                  <w:tcBorders>
                    <w:bottom w:val="single" w:color="auto" w:sz="4" w:space="0"/>
                  </w:tcBorders>
                  <w:noWrap w:val="0"/>
                  <w:vAlign w:val="center"/>
                </w:tcPr>
                <w:p w14:paraId="02E7A8AC">
                  <w:pPr>
                    <w:pStyle w:val="143"/>
                    <w:jc w:val="center"/>
                    <w:rPr>
                      <w:rFonts w:ascii="Times New Roman" w:hAnsi="Times New Roman" w:cs="Times New Roman"/>
                      <w:b/>
                      <w:color w:val="auto"/>
                      <w:sz w:val="21"/>
                      <w:szCs w:val="21"/>
                    </w:rPr>
                  </w:pPr>
                  <w:r>
                    <w:rPr>
                      <w:rFonts w:hint="eastAsia"/>
                      <w:b/>
                      <w:bCs/>
                      <w:color w:val="auto"/>
                      <w:sz w:val="21"/>
                      <w:szCs w:val="21"/>
                      <w:lang w:val="en-US" w:eastAsia="zh-CN"/>
                    </w:rPr>
                    <w:t>扩</w:t>
                  </w:r>
                  <w:r>
                    <w:rPr>
                      <w:rFonts w:hint="eastAsia" w:ascii="Times New Roman" w:hAnsi="Times New Roman" w:cs="Times New Roman"/>
                      <w:b/>
                      <w:color w:val="auto"/>
                      <w:sz w:val="21"/>
                      <w:szCs w:val="21"/>
                      <w:lang w:val="en-US" w:eastAsia="zh-CN"/>
                    </w:rPr>
                    <w:t>建</w:t>
                  </w:r>
                  <w:r>
                    <w:rPr>
                      <w:rFonts w:ascii="Times New Roman" w:hAnsi="Times New Roman" w:cs="Times New Roman"/>
                      <w:b/>
                      <w:color w:val="auto"/>
                      <w:sz w:val="21"/>
                      <w:szCs w:val="21"/>
                    </w:rPr>
                    <w:t>前</w:t>
                  </w:r>
                </w:p>
              </w:tc>
              <w:tc>
                <w:tcPr>
                  <w:tcW w:w="1387" w:type="pct"/>
                  <w:tcBorders>
                    <w:bottom w:val="single" w:color="auto" w:sz="4" w:space="0"/>
                  </w:tcBorders>
                  <w:noWrap w:val="0"/>
                  <w:vAlign w:val="center"/>
                </w:tcPr>
                <w:p w14:paraId="11F5F574">
                  <w:pPr>
                    <w:pStyle w:val="143"/>
                    <w:jc w:val="center"/>
                    <w:rPr>
                      <w:rFonts w:ascii="Times New Roman" w:hAnsi="Times New Roman" w:cs="Times New Roman"/>
                      <w:b/>
                      <w:color w:val="auto"/>
                      <w:sz w:val="21"/>
                      <w:szCs w:val="21"/>
                    </w:rPr>
                  </w:pPr>
                  <w:r>
                    <w:rPr>
                      <w:rFonts w:hint="eastAsia"/>
                      <w:b/>
                      <w:bCs/>
                      <w:color w:val="auto"/>
                      <w:sz w:val="21"/>
                      <w:szCs w:val="21"/>
                      <w:lang w:val="en-US" w:eastAsia="zh-CN"/>
                    </w:rPr>
                    <w:t>扩</w:t>
                  </w:r>
                  <w:r>
                    <w:rPr>
                      <w:rFonts w:hint="eastAsia" w:ascii="Times New Roman" w:hAnsi="Times New Roman" w:cs="Times New Roman"/>
                      <w:b/>
                      <w:color w:val="auto"/>
                      <w:sz w:val="21"/>
                      <w:szCs w:val="21"/>
                      <w:lang w:val="en-US" w:eastAsia="zh-CN"/>
                    </w:rPr>
                    <w:t>建</w:t>
                  </w:r>
                  <w:r>
                    <w:rPr>
                      <w:rFonts w:ascii="Times New Roman" w:hAnsi="Times New Roman" w:cs="Times New Roman"/>
                      <w:b/>
                      <w:color w:val="auto"/>
                      <w:sz w:val="21"/>
                      <w:szCs w:val="21"/>
                    </w:rPr>
                    <w:t>后</w:t>
                  </w:r>
                </w:p>
              </w:tc>
              <w:tc>
                <w:tcPr>
                  <w:tcW w:w="1108" w:type="pct"/>
                  <w:vMerge w:val="continue"/>
                  <w:tcBorders>
                    <w:bottom w:val="single" w:color="auto" w:sz="4" w:space="0"/>
                  </w:tcBorders>
                  <w:noWrap w:val="0"/>
                  <w:vAlign w:val="center"/>
                </w:tcPr>
                <w:p w14:paraId="3C70C822">
                  <w:pPr>
                    <w:jc w:val="center"/>
                    <w:rPr>
                      <w:color w:val="auto"/>
                      <w:sz w:val="21"/>
                      <w:szCs w:val="21"/>
                    </w:rPr>
                  </w:pPr>
                </w:p>
              </w:tc>
            </w:tr>
            <w:tr w14:paraId="4A494E89">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25" w:hRule="atLeast"/>
              </w:trPr>
              <w:tc>
                <w:tcPr>
                  <w:tcW w:w="480" w:type="pct"/>
                  <w:vMerge w:val="restart"/>
                  <w:tcBorders>
                    <w:top w:val="single" w:color="auto" w:sz="4" w:space="0"/>
                  </w:tcBorders>
                  <w:noWrap w:val="0"/>
                  <w:vAlign w:val="center"/>
                </w:tcPr>
                <w:p w14:paraId="68AEA742">
                  <w:pPr>
                    <w:jc w:val="center"/>
                    <w:rPr>
                      <w:color w:val="auto"/>
                      <w:sz w:val="21"/>
                      <w:szCs w:val="21"/>
                    </w:rPr>
                  </w:pPr>
                  <w:r>
                    <w:rPr>
                      <w:rFonts w:hint="eastAsia"/>
                      <w:color w:val="auto"/>
                      <w:sz w:val="21"/>
                      <w:szCs w:val="21"/>
                    </w:rPr>
                    <w:t>主体工程</w:t>
                  </w:r>
                </w:p>
              </w:tc>
              <w:tc>
                <w:tcPr>
                  <w:tcW w:w="734" w:type="pct"/>
                  <w:tcBorders>
                    <w:top w:val="single" w:color="auto" w:sz="4" w:space="0"/>
                    <w:bottom w:val="single" w:color="auto" w:sz="4" w:space="0"/>
                  </w:tcBorders>
                  <w:noWrap w:val="0"/>
                  <w:vAlign w:val="center"/>
                </w:tcPr>
                <w:p w14:paraId="17E73429">
                  <w:pPr>
                    <w:jc w:val="center"/>
                    <w:outlineLvl w:val="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锻造车间</w:t>
                  </w:r>
                </w:p>
              </w:tc>
              <w:tc>
                <w:tcPr>
                  <w:tcW w:w="1289" w:type="pct"/>
                  <w:tcBorders>
                    <w:top w:val="single" w:color="auto" w:sz="4" w:space="0"/>
                    <w:bottom w:val="single" w:color="auto" w:sz="4" w:space="0"/>
                  </w:tcBorders>
                  <w:noWrap w:val="0"/>
                  <w:vAlign w:val="center"/>
                </w:tcPr>
                <w:p w14:paraId="766410D4">
                  <w:pPr>
                    <w:jc w:val="center"/>
                    <w:outlineLvl w:val="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占地面积：2887.2</w:t>
                  </w:r>
                  <w:r>
                    <w:rPr>
                      <w:color w:val="auto"/>
                    </w:rPr>
                    <w:t>m</w:t>
                  </w:r>
                  <w:r>
                    <w:rPr>
                      <w:color w:val="auto"/>
                      <w:vertAlign w:val="superscript"/>
                    </w:rPr>
                    <w:t>2</w:t>
                  </w:r>
                </w:p>
              </w:tc>
              <w:tc>
                <w:tcPr>
                  <w:tcW w:w="1387" w:type="pct"/>
                  <w:tcBorders>
                    <w:top w:val="single" w:color="auto" w:sz="4" w:space="0"/>
                    <w:bottom w:val="single" w:color="auto" w:sz="4" w:space="0"/>
                  </w:tcBorders>
                  <w:noWrap w:val="0"/>
                  <w:vAlign w:val="center"/>
                </w:tcPr>
                <w:p w14:paraId="4C90B47A">
                  <w:pPr>
                    <w:jc w:val="center"/>
                    <w:outlineLvl w:val="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占地面积：2887.2</w:t>
                  </w:r>
                  <w:r>
                    <w:rPr>
                      <w:color w:val="auto"/>
                    </w:rPr>
                    <w:t>m</w:t>
                  </w:r>
                  <w:r>
                    <w:rPr>
                      <w:color w:val="auto"/>
                      <w:vertAlign w:val="superscript"/>
                    </w:rPr>
                    <w:t>2</w:t>
                  </w:r>
                </w:p>
              </w:tc>
              <w:tc>
                <w:tcPr>
                  <w:tcW w:w="1108" w:type="pct"/>
                  <w:tcBorders>
                    <w:top w:val="single" w:color="auto" w:sz="4" w:space="0"/>
                  </w:tcBorders>
                  <w:noWrap w:val="0"/>
                  <w:vAlign w:val="center"/>
                </w:tcPr>
                <w:p w14:paraId="61F71E07">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rPr>
                    <w:t>已建</w:t>
                  </w:r>
                  <w:r>
                    <w:rPr>
                      <w:rFonts w:hint="eastAsia" w:cs="Times New Roman"/>
                      <w:b w:val="0"/>
                      <w:bCs/>
                      <w:color w:val="auto"/>
                      <w:sz w:val="21"/>
                      <w:szCs w:val="21"/>
                      <w:lang w:eastAsia="zh-CN"/>
                    </w:rPr>
                    <w:t>，</w:t>
                  </w:r>
                  <w:r>
                    <w:rPr>
                      <w:rFonts w:hint="eastAsia" w:cs="Times New Roman"/>
                      <w:b w:val="0"/>
                      <w:bCs/>
                      <w:color w:val="auto"/>
                      <w:sz w:val="21"/>
                      <w:szCs w:val="21"/>
                      <w:lang w:val="en-US" w:eastAsia="zh-CN"/>
                    </w:rPr>
                    <w:t>利用原有</w:t>
                  </w:r>
                </w:p>
              </w:tc>
            </w:tr>
            <w:tr w14:paraId="4BF2FC0E">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25" w:hRule="atLeast"/>
              </w:trPr>
              <w:tc>
                <w:tcPr>
                  <w:tcW w:w="480" w:type="pct"/>
                  <w:vMerge w:val="continue"/>
                  <w:noWrap w:val="0"/>
                  <w:vAlign w:val="center"/>
                </w:tcPr>
                <w:p w14:paraId="1BC77A38">
                  <w:pPr>
                    <w:jc w:val="center"/>
                    <w:rPr>
                      <w:rFonts w:hint="eastAsia"/>
                      <w:color w:val="auto"/>
                      <w:sz w:val="21"/>
                      <w:szCs w:val="21"/>
                    </w:rPr>
                  </w:pPr>
                </w:p>
              </w:tc>
              <w:tc>
                <w:tcPr>
                  <w:tcW w:w="734" w:type="pct"/>
                  <w:tcBorders>
                    <w:top w:val="single" w:color="auto" w:sz="4" w:space="0"/>
                    <w:bottom w:val="single" w:color="auto" w:sz="4" w:space="0"/>
                  </w:tcBorders>
                  <w:noWrap w:val="0"/>
                  <w:vAlign w:val="center"/>
                </w:tcPr>
                <w:p w14:paraId="41C27A9A">
                  <w:pPr>
                    <w:jc w:val="center"/>
                    <w:outlineLvl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下料车间</w:t>
                  </w:r>
                </w:p>
              </w:tc>
              <w:tc>
                <w:tcPr>
                  <w:tcW w:w="1289" w:type="pct"/>
                  <w:tcBorders>
                    <w:top w:val="single" w:color="auto" w:sz="4" w:space="0"/>
                    <w:bottom w:val="single" w:color="auto" w:sz="4" w:space="0"/>
                  </w:tcBorders>
                  <w:noWrap w:val="0"/>
                  <w:vAlign w:val="center"/>
                </w:tcPr>
                <w:p w14:paraId="656B8631">
                  <w:pPr>
                    <w:jc w:val="center"/>
                    <w:outlineLvl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占地面积</w:t>
                  </w:r>
                  <w:r>
                    <w:rPr>
                      <w:rFonts w:hint="eastAsia"/>
                      <w:color w:val="auto"/>
                    </w:rPr>
                    <w:t>：</w:t>
                  </w:r>
                  <w:r>
                    <w:rPr>
                      <w:rFonts w:hint="eastAsia"/>
                      <w:color w:val="auto"/>
                      <w:lang w:val="en-US" w:eastAsia="zh-CN"/>
                    </w:rPr>
                    <w:t>2887.2</w:t>
                  </w:r>
                  <w:r>
                    <w:rPr>
                      <w:color w:val="auto"/>
                    </w:rPr>
                    <w:t>m</w:t>
                  </w:r>
                  <w:r>
                    <w:rPr>
                      <w:color w:val="auto"/>
                      <w:vertAlign w:val="superscript"/>
                    </w:rPr>
                    <w:t>2</w:t>
                  </w:r>
                </w:p>
              </w:tc>
              <w:tc>
                <w:tcPr>
                  <w:tcW w:w="1387" w:type="pct"/>
                  <w:tcBorders>
                    <w:top w:val="single" w:color="auto" w:sz="4" w:space="0"/>
                    <w:bottom w:val="single" w:color="auto" w:sz="4" w:space="0"/>
                  </w:tcBorders>
                  <w:noWrap w:val="0"/>
                  <w:vAlign w:val="center"/>
                </w:tcPr>
                <w:p w14:paraId="124361D2">
                  <w:pPr>
                    <w:jc w:val="center"/>
                    <w:outlineLvl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占地面积</w:t>
                  </w:r>
                  <w:r>
                    <w:rPr>
                      <w:rFonts w:hint="eastAsia"/>
                      <w:color w:val="auto"/>
                    </w:rPr>
                    <w:t>：</w:t>
                  </w:r>
                  <w:r>
                    <w:rPr>
                      <w:rFonts w:hint="eastAsia"/>
                      <w:color w:val="auto"/>
                      <w:lang w:val="en-US" w:eastAsia="zh-CN"/>
                    </w:rPr>
                    <w:t>2887.2</w:t>
                  </w:r>
                  <w:r>
                    <w:rPr>
                      <w:color w:val="auto"/>
                    </w:rPr>
                    <w:t>m</w:t>
                  </w:r>
                  <w:r>
                    <w:rPr>
                      <w:color w:val="auto"/>
                      <w:vertAlign w:val="superscript"/>
                    </w:rPr>
                    <w:t>2</w:t>
                  </w:r>
                </w:p>
              </w:tc>
              <w:tc>
                <w:tcPr>
                  <w:tcW w:w="1108" w:type="pct"/>
                  <w:noWrap w:val="0"/>
                  <w:vAlign w:val="center"/>
                </w:tcPr>
                <w:p w14:paraId="4862CFDA">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rPr>
                    <w:t>已建</w:t>
                  </w:r>
                  <w:r>
                    <w:rPr>
                      <w:rFonts w:hint="eastAsia" w:cs="Times New Roman"/>
                      <w:b w:val="0"/>
                      <w:bCs/>
                      <w:color w:val="auto"/>
                      <w:sz w:val="21"/>
                      <w:szCs w:val="21"/>
                      <w:lang w:eastAsia="zh-CN"/>
                    </w:rPr>
                    <w:t>，</w:t>
                  </w:r>
                  <w:r>
                    <w:rPr>
                      <w:rFonts w:hint="eastAsia" w:cs="Times New Roman"/>
                      <w:b w:val="0"/>
                      <w:bCs/>
                      <w:color w:val="auto"/>
                      <w:sz w:val="21"/>
                      <w:szCs w:val="21"/>
                      <w:lang w:val="en-US" w:eastAsia="zh-CN"/>
                    </w:rPr>
                    <w:t>利用原有</w:t>
                  </w:r>
                </w:p>
              </w:tc>
            </w:tr>
            <w:tr w14:paraId="3C3EC145">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47" w:hRule="atLeast"/>
              </w:trPr>
              <w:tc>
                <w:tcPr>
                  <w:tcW w:w="480" w:type="pct"/>
                  <w:vMerge w:val="restart"/>
                  <w:noWrap w:val="0"/>
                  <w:vAlign w:val="center"/>
                </w:tcPr>
                <w:p w14:paraId="4C6545FC">
                  <w:pPr>
                    <w:jc w:val="center"/>
                    <w:outlineLvl w:val="0"/>
                    <w:rPr>
                      <w:rFonts w:hint="eastAsia"/>
                      <w:color w:val="auto"/>
                      <w:szCs w:val="21"/>
                    </w:rPr>
                  </w:pPr>
                  <w:r>
                    <w:rPr>
                      <w:rFonts w:hint="eastAsia"/>
                      <w:color w:val="auto"/>
                      <w:szCs w:val="21"/>
                    </w:rPr>
                    <w:t>贮运</w:t>
                  </w:r>
                </w:p>
                <w:p w14:paraId="16D97D75">
                  <w:pPr>
                    <w:pStyle w:val="143"/>
                    <w:jc w:val="center"/>
                    <w:rPr>
                      <w:rFonts w:ascii="Times New Roman" w:hAnsi="Times New Roman" w:cs="Times New Roman"/>
                      <w:color w:val="auto"/>
                      <w:kern w:val="2"/>
                      <w:sz w:val="21"/>
                      <w:szCs w:val="21"/>
                      <w:lang w:val="en-US"/>
                    </w:rPr>
                  </w:pPr>
                  <w:r>
                    <w:rPr>
                      <w:color w:val="auto"/>
                      <w:szCs w:val="21"/>
                    </w:rPr>
                    <w:t>工程</w:t>
                  </w:r>
                </w:p>
              </w:tc>
              <w:tc>
                <w:tcPr>
                  <w:tcW w:w="734" w:type="pct"/>
                  <w:noWrap w:val="0"/>
                  <w:vAlign w:val="center"/>
                </w:tcPr>
                <w:p w14:paraId="13506FBC">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仓库</w:t>
                  </w:r>
                </w:p>
              </w:tc>
              <w:tc>
                <w:tcPr>
                  <w:tcW w:w="1289" w:type="pct"/>
                  <w:noWrap w:val="0"/>
                  <w:vAlign w:val="center"/>
                </w:tcPr>
                <w:p w14:paraId="1AF01BCA">
                  <w:pPr>
                    <w:jc w:val="center"/>
                    <w:outlineLvl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占地</w:t>
                  </w:r>
                  <w:r>
                    <w:rPr>
                      <w:rFonts w:hint="eastAsia"/>
                      <w:color w:val="auto"/>
                    </w:rPr>
                    <w:t>面积：</w:t>
                  </w:r>
                  <w:r>
                    <w:rPr>
                      <w:rFonts w:hint="eastAsia"/>
                      <w:color w:val="auto"/>
                      <w:lang w:val="en-US" w:eastAsia="zh-CN"/>
                    </w:rPr>
                    <w:t>945</w:t>
                  </w:r>
                  <w:r>
                    <w:rPr>
                      <w:color w:val="auto"/>
                    </w:rPr>
                    <w:t>m</w:t>
                  </w:r>
                  <w:r>
                    <w:rPr>
                      <w:color w:val="auto"/>
                      <w:vertAlign w:val="superscript"/>
                    </w:rPr>
                    <w:t>2</w:t>
                  </w:r>
                </w:p>
              </w:tc>
              <w:tc>
                <w:tcPr>
                  <w:tcW w:w="1387" w:type="pct"/>
                  <w:noWrap w:val="0"/>
                  <w:vAlign w:val="center"/>
                </w:tcPr>
                <w:p w14:paraId="1E695A69">
                  <w:pPr>
                    <w:jc w:val="center"/>
                    <w:outlineLvl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占地</w:t>
                  </w:r>
                  <w:r>
                    <w:rPr>
                      <w:rFonts w:hint="eastAsia"/>
                      <w:color w:val="auto"/>
                    </w:rPr>
                    <w:t>面积：</w:t>
                  </w:r>
                  <w:r>
                    <w:rPr>
                      <w:rFonts w:hint="eastAsia"/>
                      <w:color w:val="auto"/>
                      <w:lang w:val="en-US" w:eastAsia="zh-CN"/>
                    </w:rPr>
                    <w:t>945</w:t>
                  </w:r>
                  <w:r>
                    <w:rPr>
                      <w:color w:val="auto"/>
                    </w:rPr>
                    <w:t>m</w:t>
                  </w:r>
                  <w:r>
                    <w:rPr>
                      <w:color w:val="auto"/>
                      <w:vertAlign w:val="superscript"/>
                    </w:rPr>
                    <w:t>2</w:t>
                  </w:r>
                </w:p>
              </w:tc>
              <w:tc>
                <w:tcPr>
                  <w:tcW w:w="1108" w:type="pct"/>
                  <w:noWrap w:val="0"/>
                  <w:vAlign w:val="center"/>
                </w:tcPr>
                <w:p w14:paraId="47A92A00">
                  <w:pPr>
                    <w:spacing w:line="240" w:lineRule="exact"/>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b w:val="0"/>
                      <w:bCs/>
                      <w:color w:val="auto"/>
                      <w:sz w:val="21"/>
                      <w:szCs w:val="21"/>
                    </w:rPr>
                    <w:t>已建</w:t>
                  </w:r>
                  <w:r>
                    <w:rPr>
                      <w:rFonts w:hint="eastAsia" w:cs="Times New Roman"/>
                      <w:b w:val="0"/>
                      <w:bCs/>
                      <w:color w:val="auto"/>
                      <w:sz w:val="21"/>
                      <w:szCs w:val="21"/>
                      <w:lang w:eastAsia="zh-CN"/>
                    </w:rPr>
                    <w:t>，</w:t>
                  </w:r>
                  <w:r>
                    <w:rPr>
                      <w:rFonts w:hint="eastAsia" w:cs="Times New Roman"/>
                      <w:b w:val="0"/>
                      <w:bCs/>
                      <w:color w:val="auto"/>
                      <w:sz w:val="21"/>
                      <w:szCs w:val="21"/>
                      <w:lang w:val="en-US" w:eastAsia="zh-CN"/>
                    </w:rPr>
                    <w:t>利用原有</w:t>
                  </w:r>
                </w:p>
              </w:tc>
            </w:tr>
            <w:tr w14:paraId="15D2F61B">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21" w:hRule="atLeast"/>
              </w:trPr>
              <w:tc>
                <w:tcPr>
                  <w:tcW w:w="480" w:type="pct"/>
                  <w:vMerge w:val="continue"/>
                  <w:noWrap w:val="0"/>
                  <w:vAlign w:val="center"/>
                </w:tcPr>
                <w:p w14:paraId="17FF536B">
                  <w:pPr>
                    <w:jc w:val="center"/>
                    <w:outlineLvl w:val="0"/>
                    <w:rPr>
                      <w:color w:val="auto"/>
                      <w:sz w:val="21"/>
                      <w:szCs w:val="21"/>
                    </w:rPr>
                  </w:pPr>
                </w:p>
              </w:tc>
              <w:tc>
                <w:tcPr>
                  <w:tcW w:w="734" w:type="pct"/>
                  <w:noWrap w:val="0"/>
                  <w:vAlign w:val="center"/>
                </w:tcPr>
                <w:p w14:paraId="5338AE6A">
                  <w:pPr>
                    <w:spacing w:line="240" w:lineRule="exact"/>
                    <w:jc w:val="center"/>
                    <w:rPr>
                      <w:rFonts w:hint="default" w:eastAsia="宋体"/>
                      <w:color w:val="auto"/>
                      <w:sz w:val="21"/>
                      <w:szCs w:val="21"/>
                      <w:lang w:val="en-US" w:eastAsia="zh-CN"/>
                    </w:rPr>
                  </w:pPr>
                  <w:r>
                    <w:rPr>
                      <w:rFonts w:hint="eastAsia"/>
                      <w:color w:val="auto"/>
                      <w:szCs w:val="21"/>
                    </w:rPr>
                    <w:t>运输</w:t>
                  </w:r>
                </w:p>
              </w:tc>
              <w:tc>
                <w:tcPr>
                  <w:tcW w:w="3785" w:type="pct"/>
                  <w:gridSpan w:val="3"/>
                  <w:noWrap w:val="0"/>
                  <w:vAlign w:val="center"/>
                </w:tcPr>
                <w:p w14:paraId="685FAF68">
                  <w:pPr>
                    <w:spacing w:line="240" w:lineRule="exact"/>
                    <w:jc w:val="center"/>
                    <w:rPr>
                      <w:rFonts w:hint="eastAsia" w:eastAsia="宋体"/>
                      <w:color w:val="auto"/>
                      <w:sz w:val="21"/>
                      <w:szCs w:val="21"/>
                      <w:lang w:val="en-US" w:eastAsia="zh-CN"/>
                    </w:rPr>
                  </w:pPr>
                  <w:r>
                    <w:rPr>
                      <w:rFonts w:hint="eastAsia"/>
                      <w:color w:val="auto"/>
                      <w:szCs w:val="21"/>
                    </w:rPr>
                    <w:t>厂内叉车运输，厂外公路运输</w:t>
                  </w:r>
                </w:p>
              </w:tc>
            </w:tr>
            <w:tr w14:paraId="25688C71">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97" w:hRule="atLeast"/>
              </w:trPr>
              <w:tc>
                <w:tcPr>
                  <w:tcW w:w="480" w:type="pct"/>
                  <w:vMerge w:val="restart"/>
                  <w:noWrap w:val="0"/>
                  <w:vAlign w:val="center"/>
                </w:tcPr>
                <w:p w14:paraId="2264CCD6">
                  <w:pPr>
                    <w:pStyle w:val="143"/>
                    <w:jc w:val="center"/>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公用</w:t>
                  </w:r>
                </w:p>
                <w:p w14:paraId="401FD3C1">
                  <w:pPr>
                    <w:pStyle w:val="143"/>
                    <w:jc w:val="center"/>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工程</w:t>
                  </w:r>
                </w:p>
              </w:tc>
              <w:tc>
                <w:tcPr>
                  <w:tcW w:w="734" w:type="pct"/>
                  <w:noWrap w:val="0"/>
                  <w:vAlign w:val="center"/>
                </w:tcPr>
                <w:p w14:paraId="396148A0">
                  <w:pPr>
                    <w:jc w:val="center"/>
                    <w:rPr>
                      <w:rFonts w:ascii="Times New Roman" w:hAnsi="Times New Roman" w:cs="Times New Roman"/>
                      <w:color w:val="auto"/>
                      <w:kern w:val="2"/>
                      <w:sz w:val="21"/>
                      <w:szCs w:val="21"/>
                      <w:lang w:val="en-US"/>
                    </w:rPr>
                  </w:pPr>
                  <w:r>
                    <w:rPr>
                      <w:color w:val="auto"/>
                      <w:szCs w:val="21"/>
                    </w:rPr>
                    <w:t>给水</w:t>
                  </w:r>
                </w:p>
              </w:tc>
              <w:tc>
                <w:tcPr>
                  <w:tcW w:w="1289" w:type="pct"/>
                  <w:noWrap w:val="0"/>
                  <w:vAlign w:val="center"/>
                </w:tcPr>
                <w:p w14:paraId="441A5058">
                  <w:pPr>
                    <w:jc w:val="center"/>
                    <w:rPr>
                      <w:rFonts w:ascii="Times New Roman" w:hAnsi="Times New Roman" w:cs="Times New Roman"/>
                      <w:color w:val="auto"/>
                      <w:kern w:val="2"/>
                      <w:sz w:val="21"/>
                      <w:szCs w:val="21"/>
                      <w:lang w:val="en-US"/>
                    </w:rPr>
                  </w:pPr>
                  <w:r>
                    <w:rPr>
                      <w:rFonts w:hint="eastAsia"/>
                      <w:color w:val="auto"/>
                      <w:szCs w:val="21"/>
                      <w:lang w:val="en-US" w:eastAsia="zh-CN"/>
                    </w:rPr>
                    <w:t>1250</w:t>
                  </w:r>
                  <w:r>
                    <w:rPr>
                      <w:rFonts w:hint="eastAsia"/>
                      <w:color w:val="auto"/>
                      <w:szCs w:val="21"/>
                    </w:rPr>
                    <w:t>t/a</w:t>
                  </w:r>
                </w:p>
              </w:tc>
              <w:tc>
                <w:tcPr>
                  <w:tcW w:w="1387" w:type="pct"/>
                  <w:noWrap w:val="0"/>
                  <w:vAlign w:val="center"/>
                </w:tcPr>
                <w:p w14:paraId="054B8B1C">
                  <w:pPr>
                    <w:jc w:val="center"/>
                    <w:rPr>
                      <w:rFonts w:hint="default" w:ascii="Times New Roman" w:hAnsi="Times New Roman" w:eastAsia="宋体" w:cs="Times New Roman"/>
                      <w:color w:val="auto"/>
                      <w:kern w:val="2"/>
                      <w:sz w:val="21"/>
                      <w:szCs w:val="21"/>
                      <w:lang w:val="en-US" w:eastAsia="zh-CN"/>
                    </w:rPr>
                  </w:pPr>
                  <w:r>
                    <w:rPr>
                      <w:rFonts w:hint="eastAsia"/>
                      <w:color w:val="auto"/>
                      <w:szCs w:val="21"/>
                      <w:lang w:val="en-US" w:eastAsia="zh-CN"/>
                    </w:rPr>
                    <w:t>6275</w:t>
                  </w:r>
                  <w:r>
                    <w:rPr>
                      <w:rFonts w:hint="eastAsia"/>
                      <w:color w:val="auto"/>
                      <w:szCs w:val="21"/>
                    </w:rPr>
                    <w:t>t/a</w:t>
                  </w:r>
                </w:p>
              </w:tc>
              <w:tc>
                <w:tcPr>
                  <w:tcW w:w="1108" w:type="pct"/>
                  <w:noWrap w:val="0"/>
                  <w:vAlign w:val="center"/>
                </w:tcPr>
                <w:p w14:paraId="6E81CF07">
                  <w:pPr>
                    <w:jc w:val="center"/>
                    <w:rPr>
                      <w:color w:val="auto"/>
                      <w:sz w:val="21"/>
                      <w:szCs w:val="21"/>
                    </w:rPr>
                  </w:pPr>
                  <w:r>
                    <w:rPr>
                      <w:rFonts w:hint="eastAsia"/>
                      <w:color w:val="auto"/>
                      <w:szCs w:val="21"/>
                      <w:lang w:val="en-US" w:eastAsia="zh-CN"/>
                    </w:rPr>
                    <w:t>依托</w:t>
                  </w:r>
                  <w:r>
                    <w:rPr>
                      <w:color w:val="auto"/>
                      <w:szCs w:val="21"/>
                    </w:rPr>
                    <w:t>市政自来水管网</w:t>
                  </w:r>
                </w:p>
              </w:tc>
            </w:tr>
            <w:tr w14:paraId="0386BD41">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09" w:hRule="atLeast"/>
              </w:trPr>
              <w:tc>
                <w:tcPr>
                  <w:tcW w:w="480" w:type="pct"/>
                  <w:vMerge w:val="continue"/>
                  <w:noWrap w:val="0"/>
                  <w:vAlign w:val="center"/>
                </w:tcPr>
                <w:p w14:paraId="419BF738">
                  <w:pPr>
                    <w:jc w:val="center"/>
                    <w:outlineLvl w:val="0"/>
                    <w:rPr>
                      <w:color w:val="auto"/>
                      <w:sz w:val="21"/>
                      <w:szCs w:val="21"/>
                    </w:rPr>
                  </w:pPr>
                </w:p>
              </w:tc>
              <w:tc>
                <w:tcPr>
                  <w:tcW w:w="734" w:type="pct"/>
                  <w:noWrap w:val="0"/>
                  <w:vAlign w:val="center"/>
                </w:tcPr>
                <w:p w14:paraId="58945E96">
                  <w:pPr>
                    <w:jc w:val="center"/>
                    <w:rPr>
                      <w:color w:val="auto"/>
                      <w:sz w:val="21"/>
                      <w:szCs w:val="21"/>
                    </w:rPr>
                  </w:pPr>
                  <w:r>
                    <w:rPr>
                      <w:color w:val="auto"/>
                      <w:szCs w:val="21"/>
                    </w:rPr>
                    <w:t>排水</w:t>
                  </w:r>
                </w:p>
              </w:tc>
              <w:tc>
                <w:tcPr>
                  <w:tcW w:w="1289" w:type="pct"/>
                  <w:tcBorders>
                    <w:right w:val="single" w:color="auto" w:sz="4" w:space="0"/>
                  </w:tcBorders>
                  <w:noWrap w:val="0"/>
                  <w:vAlign w:val="center"/>
                </w:tcPr>
                <w:p w14:paraId="07DB9DA1">
                  <w:pPr>
                    <w:jc w:val="center"/>
                    <w:rPr>
                      <w:color w:val="auto"/>
                      <w:sz w:val="21"/>
                      <w:szCs w:val="21"/>
                    </w:rPr>
                  </w:pPr>
                  <w:r>
                    <w:rPr>
                      <w:rFonts w:hint="eastAsia"/>
                      <w:color w:val="auto"/>
                      <w:szCs w:val="21"/>
                      <w:lang w:val="en-US" w:eastAsia="zh-CN"/>
                    </w:rPr>
                    <w:t>1000</w:t>
                  </w:r>
                  <w:r>
                    <w:rPr>
                      <w:color w:val="auto"/>
                      <w:szCs w:val="21"/>
                    </w:rPr>
                    <w:t>t/a</w:t>
                  </w:r>
                </w:p>
              </w:tc>
              <w:tc>
                <w:tcPr>
                  <w:tcW w:w="1387" w:type="pct"/>
                  <w:tcBorders>
                    <w:left w:val="single" w:color="auto" w:sz="4" w:space="0"/>
                  </w:tcBorders>
                  <w:noWrap w:val="0"/>
                  <w:vAlign w:val="center"/>
                </w:tcPr>
                <w:p w14:paraId="4739C8E9">
                  <w:pPr>
                    <w:jc w:val="center"/>
                    <w:rPr>
                      <w:rFonts w:hint="default" w:eastAsia="宋体"/>
                      <w:color w:val="auto"/>
                      <w:sz w:val="21"/>
                      <w:szCs w:val="21"/>
                      <w:lang w:val="en-US" w:eastAsia="zh-CN"/>
                    </w:rPr>
                  </w:pPr>
                  <w:r>
                    <w:rPr>
                      <w:rFonts w:hint="eastAsia" w:cs="Times New Roman"/>
                      <w:color w:val="auto"/>
                      <w:szCs w:val="21"/>
                      <w:lang w:val="en-US" w:eastAsia="zh-CN"/>
                    </w:rPr>
                    <w:t>1000t/a</w:t>
                  </w:r>
                </w:p>
              </w:tc>
              <w:tc>
                <w:tcPr>
                  <w:tcW w:w="1108" w:type="pct"/>
                  <w:noWrap w:val="0"/>
                  <w:vAlign w:val="center"/>
                </w:tcPr>
                <w:p w14:paraId="16F473E8">
                  <w:pPr>
                    <w:jc w:val="center"/>
                    <w:rPr>
                      <w:color w:val="auto"/>
                      <w:sz w:val="21"/>
                      <w:szCs w:val="21"/>
                    </w:rPr>
                  </w:pPr>
                  <w:r>
                    <w:rPr>
                      <w:rFonts w:hint="eastAsia"/>
                      <w:color w:val="auto"/>
                      <w:szCs w:val="21"/>
                      <w:lang w:val="en-US" w:eastAsia="zh-CN"/>
                    </w:rPr>
                    <w:t>依托</w:t>
                  </w:r>
                  <w:r>
                    <w:rPr>
                      <w:color w:val="auto"/>
                      <w:szCs w:val="21"/>
                    </w:rPr>
                    <w:t>市政污水管网</w:t>
                  </w:r>
                </w:p>
              </w:tc>
            </w:tr>
            <w:tr w14:paraId="4645C814">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29" w:hRule="atLeast"/>
              </w:trPr>
              <w:tc>
                <w:tcPr>
                  <w:tcW w:w="480" w:type="pct"/>
                  <w:vMerge w:val="continue"/>
                  <w:noWrap w:val="0"/>
                  <w:vAlign w:val="center"/>
                </w:tcPr>
                <w:p w14:paraId="56939569">
                  <w:pPr>
                    <w:jc w:val="center"/>
                    <w:outlineLvl w:val="0"/>
                    <w:rPr>
                      <w:color w:val="auto"/>
                      <w:sz w:val="21"/>
                      <w:szCs w:val="21"/>
                    </w:rPr>
                  </w:pPr>
                </w:p>
              </w:tc>
              <w:tc>
                <w:tcPr>
                  <w:tcW w:w="734" w:type="pct"/>
                  <w:noWrap w:val="0"/>
                  <w:vAlign w:val="center"/>
                </w:tcPr>
                <w:p w14:paraId="50555FD9">
                  <w:pPr>
                    <w:jc w:val="center"/>
                    <w:rPr>
                      <w:color w:val="auto"/>
                      <w:sz w:val="21"/>
                      <w:szCs w:val="21"/>
                    </w:rPr>
                  </w:pPr>
                  <w:r>
                    <w:rPr>
                      <w:color w:val="auto"/>
                      <w:szCs w:val="21"/>
                    </w:rPr>
                    <w:t>供电</w:t>
                  </w:r>
                </w:p>
              </w:tc>
              <w:tc>
                <w:tcPr>
                  <w:tcW w:w="1289" w:type="pct"/>
                  <w:tcBorders>
                    <w:right w:val="single" w:color="auto" w:sz="4" w:space="0"/>
                  </w:tcBorders>
                  <w:noWrap w:val="0"/>
                  <w:vAlign w:val="center"/>
                </w:tcPr>
                <w:p w14:paraId="2E7F91DE">
                  <w:pPr>
                    <w:jc w:val="center"/>
                    <w:rPr>
                      <w:rFonts w:hint="eastAsia"/>
                      <w:color w:val="auto"/>
                      <w:sz w:val="21"/>
                      <w:szCs w:val="21"/>
                      <w:lang w:val="en-US" w:eastAsia="zh-CN"/>
                    </w:rPr>
                  </w:pPr>
                  <w:r>
                    <w:rPr>
                      <w:rFonts w:hint="eastAsia"/>
                      <w:color w:val="auto"/>
                      <w:szCs w:val="21"/>
                      <w:lang w:val="en-US" w:eastAsia="zh-CN"/>
                    </w:rPr>
                    <w:t>10万</w:t>
                  </w:r>
                  <w:r>
                    <w:rPr>
                      <w:color w:val="auto"/>
                      <w:szCs w:val="21"/>
                    </w:rPr>
                    <w:t>KWh</w:t>
                  </w:r>
                  <w:r>
                    <w:rPr>
                      <w:rFonts w:hint="eastAsia"/>
                      <w:color w:val="auto"/>
                      <w:szCs w:val="21"/>
                    </w:rPr>
                    <w:t>/a</w:t>
                  </w:r>
                </w:p>
              </w:tc>
              <w:tc>
                <w:tcPr>
                  <w:tcW w:w="1387" w:type="pct"/>
                  <w:tcBorders>
                    <w:left w:val="single" w:color="auto" w:sz="4" w:space="0"/>
                  </w:tcBorders>
                  <w:noWrap w:val="0"/>
                  <w:vAlign w:val="center"/>
                </w:tcPr>
                <w:p w14:paraId="65E3E8F2">
                  <w:pPr>
                    <w:jc w:val="center"/>
                    <w:rPr>
                      <w:rFonts w:hint="default"/>
                      <w:color w:val="auto"/>
                      <w:sz w:val="21"/>
                      <w:szCs w:val="21"/>
                      <w:lang w:val="en-US" w:eastAsia="zh-CN"/>
                    </w:rPr>
                  </w:pPr>
                  <w:r>
                    <w:rPr>
                      <w:rFonts w:hint="eastAsia"/>
                      <w:color w:val="auto"/>
                      <w:sz w:val="21"/>
                      <w:szCs w:val="21"/>
                      <w:lang w:val="en-US" w:eastAsia="zh-CN"/>
                    </w:rPr>
                    <w:t>420万</w:t>
                  </w:r>
                  <w:r>
                    <w:rPr>
                      <w:color w:val="auto"/>
                      <w:szCs w:val="21"/>
                    </w:rPr>
                    <w:t>KWh</w:t>
                  </w:r>
                  <w:r>
                    <w:rPr>
                      <w:rFonts w:hint="eastAsia"/>
                      <w:color w:val="auto"/>
                      <w:szCs w:val="21"/>
                    </w:rPr>
                    <w:t>/a</w:t>
                  </w:r>
                </w:p>
              </w:tc>
              <w:tc>
                <w:tcPr>
                  <w:tcW w:w="1108" w:type="pct"/>
                  <w:noWrap w:val="0"/>
                  <w:vAlign w:val="center"/>
                </w:tcPr>
                <w:p w14:paraId="3ACD8337">
                  <w:pPr>
                    <w:jc w:val="center"/>
                    <w:rPr>
                      <w:rFonts w:hint="eastAsia" w:eastAsia="宋体"/>
                      <w:color w:val="auto"/>
                      <w:sz w:val="21"/>
                      <w:szCs w:val="21"/>
                      <w:lang w:val="en-US" w:eastAsia="zh-CN"/>
                    </w:rPr>
                  </w:pPr>
                  <w:r>
                    <w:rPr>
                      <w:rFonts w:hint="eastAsia"/>
                      <w:color w:val="auto"/>
                      <w:sz w:val="21"/>
                      <w:szCs w:val="21"/>
                      <w:lang w:val="en-US" w:eastAsia="zh-CN"/>
                    </w:rPr>
                    <w:t>依托</w:t>
                  </w:r>
                  <w:r>
                    <w:rPr>
                      <w:color w:val="auto"/>
                      <w:szCs w:val="21"/>
                    </w:rPr>
                    <w:t>市供电局</w:t>
                  </w:r>
                </w:p>
              </w:tc>
            </w:tr>
            <w:tr w14:paraId="0E0B9FCA">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29" w:hRule="atLeast"/>
              </w:trPr>
              <w:tc>
                <w:tcPr>
                  <w:tcW w:w="480" w:type="pct"/>
                  <w:vMerge w:val="continue"/>
                  <w:noWrap w:val="0"/>
                  <w:vAlign w:val="center"/>
                </w:tcPr>
                <w:p w14:paraId="61951531">
                  <w:pPr>
                    <w:jc w:val="center"/>
                    <w:outlineLvl w:val="0"/>
                    <w:rPr>
                      <w:color w:val="auto"/>
                      <w:sz w:val="21"/>
                      <w:szCs w:val="21"/>
                    </w:rPr>
                  </w:pPr>
                </w:p>
              </w:tc>
              <w:tc>
                <w:tcPr>
                  <w:tcW w:w="734" w:type="pct"/>
                  <w:noWrap w:val="0"/>
                  <w:vAlign w:val="center"/>
                </w:tcPr>
                <w:p w14:paraId="2E510A94">
                  <w:pPr>
                    <w:jc w:val="center"/>
                    <w:rPr>
                      <w:rFonts w:hint="eastAsia" w:eastAsia="宋体"/>
                      <w:color w:val="auto"/>
                      <w:szCs w:val="21"/>
                      <w:lang w:val="en-US" w:eastAsia="zh-CN"/>
                    </w:rPr>
                  </w:pPr>
                  <w:r>
                    <w:rPr>
                      <w:rFonts w:hint="eastAsia"/>
                      <w:color w:val="auto"/>
                      <w:szCs w:val="21"/>
                      <w:lang w:val="en-US" w:eastAsia="zh-CN"/>
                    </w:rPr>
                    <w:t>冷却</w:t>
                  </w:r>
                </w:p>
              </w:tc>
              <w:tc>
                <w:tcPr>
                  <w:tcW w:w="1289" w:type="pct"/>
                  <w:tcBorders>
                    <w:right w:val="single" w:color="auto" w:sz="4" w:space="0"/>
                  </w:tcBorders>
                  <w:noWrap w:val="0"/>
                  <w:vAlign w:val="center"/>
                </w:tcPr>
                <w:p w14:paraId="757678CA">
                  <w:pPr>
                    <w:jc w:val="center"/>
                    <w:rPr>
                      <w:rFonts w:hint="default"/>
                      <w:color w:val="auto"/>
                      <w:szCs w:val="21"/>
                      <w:lang w:val="en-US" w:eastAsia="zh-CN"/>
                    </w:rPr>
                  </w:pPr>
                  <w:r>
                    <w:rPr>
                      <w:rFonts w:hint="eastAsia" w:ascii="Times New Roman" w:hAnsi="Times New Roman" w:cs="Times New Roman"/>
                      <w:color w:val="auto"/>
                      <w:sz w:val="21"/>
                      <w:szCs w:val="21"/>
                      <w:highlight w:val="none"/>
                      <w:lang w:eastAsia="zh-CN"/>
                    </w:rPr>
                    <w:t>冷却池：</w:t>
                  </w:r>
                  <w:r>
                    <w:rPr>
                      <w:rFonts w:hint="eastAsia" w:ascii="Times New Roman" w:hAnsi="Times New Roman" w:cs="Times New Roman"/>
                      <w:color w:val="auto"/>
                      <w:sz w:val="21"/>
                      <w:szCs w:val="21"/>
                      <w:highlight w:val="none"/>
                      <w:lang w:val="en-US" w:eastAsia="zh-CN"/>
                    </w:rPr>
                    <w:t>30m</w:t>
                  </w:r>
                  <w:r>
                    <w:rPr>
                      <w:rFonts w:hint="eastAsia" w:ascii="Times New Roman" w:hAnsi="Times New Roman" w:cs="Times New Roman"/>
                      <w:color w:val="auto"/>
                      <w:sz w:val="21"/>
                      <w:szCs w:val="21"/>
                      <w:highlight w:val="none"/>
                      <w:vertAlign w:val="superscript"/>
                      <w:lang w:val="en-US" w:eastAsia="zh-CN"/>
                    </w:rPr>
                    <w:t>2</w:t>
                  </w:r>
                </w:p>
              </w:tc>
              <w:tc>
                <w:tcPr>
                  <w:tcW w:w="1387" w:type="pct"/>
                  <w:tcBorders>
                    <w:left w:val="single" w:color="auto" w:sz="4" w:space="0"/>
                  </w:tcBorders>
                  <w:noWrap w:val="0"/>
                  <w:vAlign w:val="center"/>
                </w:tcPr>
                <w:p w14:paraId="73ECC282">
                  <w:pPr>
                    <w:jc w:val="center"/>
                    <w:rPr>
                      <w:rFonts w:hint="eastAsia"/>
                      <w:color w:val="auto"/>
                      <w:sz w:val="21"/>
                      <w:szCs w:val="21"/>
                      <w:lang w:val="en-US" w:eastAsia="zh-CN"/>
                    </w:rPr>
                  </w:pPr>
                  <w:r>
                    <w:rPr>
                      <w:rFonts w:hint="eastAsia" w:ascii="Times New Roman" w:hAnsi="Times New Roman" w:cs="Times New Roman"/>
                      <w:color w:val="auto"/>
                      <w:sz w:val="21"/>
                      <w:szCs w:val="21"/>
                      <w:highlight w:val="none"/>
                      <w:lang w:eastAsia="zh-CN"/>
                    </w:rPr>
                    <w:t>冷却池：</w:t>
                  </w:r>
                  <w:r>
                    <w:rPr>
                      <w:rFonts w:hint="eastAsia" w:ascii="Times New Roman" w:hAnsi="Times New Roman" w:cs="Times New Roman"/>
                      <w:color w:val="auto"/>
                      <w:sz w:val="21"/>
                      <w:szCs w:val="21"/>
                      <w:highlight w:val="none"/>
                      <w:lang w:val="en-US" w:eastAsia="zh-CN"/>
                    </w:rPr>
                    <w:t>30m</w:t>
                  </w:r>
                  <w:r>
                    <w:rPr>
                      <w:rFonts w:hint="eastAsia" w:ascii="Times New Roman" w:hAnsi="Times New Roman" w:cs="Times New Roman"/>
                      <w:color w:val="auto"/>
                      <w:sz w:val="21"/>
                      <w:szCs w:val="21"/>
                      <w:highlight w:val="none"/>
                      <w:vertAlign w:val="superscript"/>
                      <w:lang w:val="en-US" w:eastAsia="zh-CN"/>
                    </w:rPr>
                    <w:t>2</w:t>
                  </w:r>
                </w:p>
              </w:tc>
              <w:tc>
                <w:tcPr>
                  <w:tcW w:w="1108" w:type="pct"/>
                  <w:noWrap w:val="0"/>
                  <w:vAlign w:val="center"/>
                </w:tcPr>
                <w:p w14:paraId="0D90B8A5">
                  <w:pPr>
                    <w:jc w:val="center"/>
                    <w:rPr>
                      <w:rFonts w:hint="eastAsia"/>
                      <w:color w:val="auto"/>
                      <w:sz w:val="21"/>
                      <w:szCs w:val="21"/>
                      <w:lang w:val="en-US" w:eastAsia="zh-CN"/>
                    </w:rPr>
                  </w:pPr>
                  <w:r>
                    <w:rPr>
                      <w:rFonts w:hint="eastAsia"/>
                      <w:color w:val="auto"/>
                      <w:szCs w:val="21"/>
                      <w:lang w:val="en-US" w:eastAsia="zh-CN"/>
                    </w:rPr>
                    <w:t>已建，依托原有</w:t>
                  </w:r>
                </w:p>
              </w:tc>
            </w:tr>
            <w:tr w14:paraId="16DC380D">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13" w:hRule="atLeast"/>
              </w:trPr>
              <w:tc>
                <w:tcPr>
                  <w:tcW w:w="480" w:type="pct"/>
                  <w:vMerge w:val="restart"/>
                  <w:noWrap w:val="0"/>
                  <w:vAlign w:val="center"/>
                </w:tcPr>
                <w:p w14:paraId="358E4865">
                  <w:pPr>
                    <w:pStyle w:val="143"/>
                    <w:jc w:val="center"/>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环保</w:t>
                  </w:r>
                </w:p>
                <w:p w14:paraId="06E30D58">
                  <w:pPr>
                    <w:pStyle w:val="143"/>
                    <w:jc w:val="center"/>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工程</w:t>
                  </w:r>
                </w:p>
              </w:tc>
              <w:tc>
                <w:tcPr>
                  <w:tcW w:w="734" w:type="pct"/>
                  <w:noWrap w:val="0"/>
                  <w:vAlign w:val="center"/>
                </w:tcPr>
                <w:p w14:paraId="73296553">
                  <w:pPr>
                    <w:jc w:val="center"/>
                    <w:outlineLvl w:val="0"/>
                    <w:rPr>
                      <w:color w:val="auto"/>
                      <w:sz w:val="21"/>
                      <w:szCs w:val="21"/>
                    </w:rPr>
                  </w:pPr>
                  <w:r>
                    <w:rPr>
                      <w:color w:val="auto"/>
                      <w:sz w:val="21"/>
                      <w:szCs w:val="21"/>
                    </w:rPr>
                    <w:t>废气处理</w:t>
                  </w:r>
                </w:p>
              </w:tc>
              <w:tc>
                <w:tcPr>
                  <w:tcW w:w="1289" w:type="pct"/>
                  <w:tcBorders>
                    <w:right w:val="single" w:color="auto" w:sz="4" w:space="0"/>
                  </w:tcBorders>
                  <w:noWrap w:val="0"/>
                  <w:vAlign w:val="center"/>
                </w:tcPr>
                <w:p w14:paraId="448BDFCA">
                  <w:pPr>
                    <w:jc w:val="center"/>
                    <w:outlineLvl w:val="0"/>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燃煤锅炉燃烧</w:t>
                  </w:r>
                  <w:r>
                    <w:rPr>
                      <w:rFonts w:hint="eastAsia"/>
                      <w:color w:val="auto"/>
                      <w:kern w:val="0"/>
                      <w:szCs w:val="21"/>
                    </w:rPr>
                    <w:t>废气：</w:t>
                  </w:r>
                  <w:r>
                    <w:rPr>
                      <w:rFonts w:hint="eastAsia"/>
                      <w:color w:val="auto"/>
                      <w:kern w:val="0"/>
                      <w:szCs w:val="21"/>
                      <w:lang w:val="en-US" w:eastAsia="zh-CN"/>
                    </w:rPr>
                    <w:t>布袋除尘</w:t>
                  </w:r>
                  <w:r>
                    <w:rPr>
                      <w:rFonts w:hint="eastAsia"/>
                      <w:color w:val="auto"/>
                      <w:kern w:val="0"/>
                      <w:szCs w:val="21"/>
                    </w:rPr>
                    <w:t>+15m排气筒</w:t>
                  </w:r>
                </w:p>
              </w:tc>
              <w:tc>
                <w:tcPr>
                  <w:tcW w:w="1387" w:type="pct"/>
                  <w:tcBorders>
                    <w:left w:val="single" w:color="auto" w:sz="4" w:space="0"/>
                  </w:tcBorders>
                  <w:noWrap w:val="0"/>
                  <w:vAlign w:val="center"/>
                </w:tcPr>
                <w:p w14:paraId="66757831">
                  <w:pPr>
                    <w:jc w:val="center"/>
                    <w:outlineLvl w:val="0"/>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天然气加热炉燃烧</w:t>
                  </w:r>
                  <w:r>
                    <w:rPr>
                      <w:rFonts w:hint="eastAsia"/>
                      <w:color w:val="auto"/>
                      <w:kern w:val="0"/>
                      <w:szCs w:val="21"/>
                    </w:rPr>
                    <w:t>废气：</w:t>
                  </w:r>
                  <w:r>
                    <w:rPr>
                      <w:rFonts w:hint="eastAsia"/>
                      <w:color w:val="auto"/>
                      <w:kern w:val="0"/>
                      <w:szCs w:val="21"/>
                      <w:lang w:val="en-US" w:eastAsia="zh-CN"/>
                    </w:rPr>
                    <w:t>低氮燃烧+15m排气筒DA001</w:t>
                  </w:r>
                </w:p>
              </w:tc>
              <w:tc>
                <w:tcPr>
                  <w:tcW w:w="1108" w:type="pct"/>
                  <w:noWrap w:val="0"/>
                  <w:vAlign w:val="center"/>
                </w:tcPr>
                <w:p w14:paraId="242C14F3">
                  <w:pPr>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w:t>
                  </w:r>
                </w:p>
              </w:tc>
            </w:tr>
            <w:tr w14:paraId="3C1883D0">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39" w:hRule="atLeast"/>
              </w:trPr>
              <w:tc>
                <w:tcPr>
                  <w:tcW w:w="480" w:type="pct"/>
                  <w:vMerge w:val="continue"/>
                  <w:noWrap w:val="0"/>
                  <w:vAlign w:val="center"/>
                </w:tcPr>
                <w:p w14:paraId="47FB0F86">
                  <w:pPr>
                    <w:jc w:val="center"/>
                    <w:outlineLvl w:val="0"/>
                    <w:rPr>
                      <w:color w:val="auto"/>
                      <w:sz w:val="21"/>
                      <w:szCs w:val="21"/>
                    </w:rPr>
                  </w:pPr>
                </w:p>
              </w:tc>
              <w:tc>
                <w:tcPr>
                  <w:tcW w:w="734" w:type="pct"/>
                  <w:noWrap w:val="0"/>
                  <w:vAlign w:val="center"/>
                </w:tcPr>
                <w:p w14:paraId="656CF065">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color w:val="auto"/>
                      <w:sz w:val="21"/>
                      <w:szCs w:val="21"/>
                    </w:rPr>
                  </w:pPr>
                  <w:r>
                    <w:rPr>
                      <w:color w:val="auto"/>
                      <w:sz w:val="21"/>
                      <w:szCs w:val="21"/>
                    </w:rPr>
                    <w:t>废水处理</w:t>
                  </w:r>
                </w:p>
              </w:tc>
              <w:tc>
                <w:tcPr>
                  <w:tcW w:w="1289" w:type="pct"/>
                  <w:tcBorders>
                    <w:bottom w:val="single" w:color="auto" w:sz="4" w:space="0"/>
                    <w:right w:val="single" w:color="auto" w:sz="4" w:space="0"/>
                  </w:tcBorders>
                  <w:noWrap w:val="0"/>
                  <w:vAlign w:val="center"/>
                </w:tcPr>
                <w:p w14:paraId="245FA043">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eastAsia="宋体"/>
                      <w:color w:val="auto"/>
                      <w:sz w:val="21"/>
                      <w:szCs w:val="21"/>
                      <w:lang w:val="en-US" w:eastAsia="zh-CN"/>
                    </w:rPr>
                  </w:pPr>
                  <w:r>
                    <w:rPr>
                      <w:rFonts w:hint="eastAsia"/>
                      <w:color w:val="auto"/>
                      <w:szCs w:val="21"/>
                      <w:lang w:val="en-US" w:eastAsia="zh-CN"/>
                    </w:rPr>
                    <w:t>生活污水接管排放</w:t>
                  </w:r>
                </w:p>
              </w:tc>
              <w:tc>
                <w:tcPr>
                  <w:tcW w:w="1387" w:type="pct"/>
                  <w:tcBorders>
                    <w:left w:val="single" w:color="auto" w:sz="4" w:space="0"/>
                  </w:tcBorders>
                  <w:noWrap w:val="0"/>
                  <w:vAlign w:val="center"/>
                </w:tcPr>
                <w:p w14:paraId="51147C06">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color w:val="auto"/>
                      <w:sz w:val="21"/>
                      <w:szCs w:val="21"/>
                      <w:lang w:val="en-US" w:eastAsia="zh-CN"/>
                    </w:rPr>
                  </w:pPr>
                  <w:r>
                    <w:rPr>
                      <w:rFonts w:hint="eastAsia"/>
                      <w:color w:val="auto"/>
                      <w:sz w:val="21"/>
                      <w:szCs w:val="21"/>
                      <w:lang w:val="en-US" w:eastAsia="zh-CN"/>
                    </w:rPr>
                    <w:t>未新增生活污水；</w:t>
                  </w:r>
                </w:p>
              </w:tc>
              <w:tc>
                <w:tcPr>
                  <w:tcW w:w="1108" w:type="pct"/>
                  <w:noWrap w:val="0"/>
                  <w:vAlign w:val="center"/>
                </w:tcPr>
                <w:p w14:paraId="67ED2413">
                  <w:pPr>
                    <w:keepNext w:val="0"/>
                    <w:keepLines w:val="0"/>
                    <w:pageBreakBefore w:val="0"/>
                    <w:widowControl w:val="0"/>
                    <w:kinsoku/>
                    <w:wordWrap/>
                    <w:overflowPunct/>
                    <w:topLinePunct w:val="0"/>
                    <w:bidi w:val="0"/>
                    <w:spacing w:line="240" w:lineRule="auto"/>
                    <w:ind w:left="0" w:leftChars="0"/>
                    <w:jc w:val="center"/>
                    <w:textAlignment w:val="auto"/>
                    <w:rPr>
                      <w:rFonts w:hint="default" w:eastAsia="宋体"/>
                      <w:color w:val="auto"/>
                      <w:sz w:val="21"/>
                      <w:szCs w:val="21"/>
                      <w:lang w:val="en-US" w:eastAsia="zh-CN"/>
                    </w:rPr>
                  </w:pPr>
                  <w:r>
                    <w:rPr>
                      <w:rFonts w:hint="eastAsia"/>
                      <w:color w:val="auto"/>
                      <w:szCs w:val="21"/>
                    </w:rPr>
                    <w:t>接管至</w:t>
                  </w:r>
                  <w:r>
                    <w:rPr>
                      <w:rFonts w:hint="eastAsia"/>
                      <w:color w:val="auto"/>
                      <w:szCs w:val="21"/>
                      <w:lang w:val="en-US" w:eastAsia="zh-CN"/>
                    </w:rPr>
                    <w:t>海门经济技术开发区污水处理厂</w:t>
                  </w:r>
                </w:p>
              </w:tc>
            </w:tr>
            <w:tr w14:paraId="443AE05A">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90" w:hRule="atLeast"/>
              </w:trPr>
              <w:tc>
                <w:tcPr>
                  <w:tcW w:w="480" w:type="pct"/>
                  <w:vMerge w:val="continue"/>
                  <w:noWrap w:val="0"/>
                  <w:vAlign w:val="center"/>
                </w:tcPr>
                <w:p w14:paraId="7526ADBB">
                  <w:pPr>
                    <w:jc w:val="center"/>
                    <w:outlineLvl w:val="0"/>
                    <w:rPr>
                      <w:color w:val="auto"/>
                      <w:sz w:val="21"/>
                      <w:szCs w:val="21"/>
                    </w:rPr>
                  </w:pPr>
                </w:p>
              </w:tc>
              <w:tc>
                <w:tcPr>
                  <w:tcW w:w="734" w:type="pct"/>
                  <w:vMerge w:val="restart"/>
                  <w:noWrap w:val="0"/>
                  <w:vAlign w:val="center"/>
                </w:tcPr>
                <w:p w14:paraId="087F722F">
                  <w:pPr>
                    <w:keepNext w:val="0"/>
                    <w:keepLines w:val="0"/>
                    <w:pageBreakBefore w:val="0"/>
                    <w:widowControl w:val="0"/>
                    <w:kinsoku/>
                    <w:wordWrap/>
                    <w:overflowPunct/>
                    <w:topLinePunct w:val="0"/>
                    <w:bidi w:val="0"/>
                    <w:spacing w:line="240" w:lineRule="auto"/>
                    <w:ind w:left="0" w:leftChars="0"/>
                    <w:jc w:val="center"/>
                    <w:textAlignment w:val="auto"/>
                    <w:rPr>
                      <w:color w:val="auto"/>
                      <w:sz w:val="21"/>
                      <w:szCs w:val="21"/>
                    </w:rPr>
                  </w:pPr>
                  <w:r>
                    <w:rPr>
                      <w:color w:val="auto"/>
                      <w:sz w:val="21"/>
                      <w:szCs w:val="21"/>
                    </w:rPr>
                    <w:t>固废处理</w:t>
                  </w:r>
                </w:p>
              </w:tc>
              <w:tc>
                <w:tcPr>
                  <w:tcW w:w="1289" w:type="pct"/>
                  <w:tcBorders>
                    <w:bottom w:val="single" w:color="auto" w:sz="4" w:space="0"/>
                  </w:tcBorders>
                  <w:noWrap w:val="0"/>
                  <w:vAlign w:val="center"/>
                </w:tcPr>
                <w:p w14:paraId="5EFB9ADB">
                  <w:pPr>
                    <w:jc w:val="center"/>
                    <w:outlineLvl w:val="0"/>
                    <w:rPr>
                      <w:rFonts w:hint="eastAsia" w:ascii="Times New Roman" w:hAnsi="Times New Roman" w:eastAsia="宋体" w:cs="Times New Roman"/>
                      <w:color w:val="auto"/>
                      <w:kern w:val="2"/>
                      <w:sz w:val="21"/>
                      <w:szCs w:val="24"/>
                      <w:lang w:val="en-US" w:eastAsia="zh-CN" w:bidi="ar-SA"/>
                    </w:rPr>
                  </w:pPr>
                  <w:r>
                    <w:rPr>
                      <w:color w:val="auto"/>
                    </w:rPr>
                    <w:t>一般固废堆场：</w:t>
                  </w:r>
                  <w:r>
                    <w:rPr>
                      <w:rFonts w:hint="eastAsia"/>
                      <w:color w:val="auto"/>
                    </w:rPr>
                    <w:t>150</w:t>
                  </w:r>
                  <w:r>
                    <w:rPr>
                      <w:color w:val="auto"/>
                    </w:rPr>
                    <w:t xml:space="preserve"> m</w:t>
                  </w:r>
                  <w:r>
                    <w:rPr>
                      <w:color w:val="auto"/>
                      <w:vertAlign w:val="superscript"/>
                    </w:rPr>
                    <w:t>2</w:t>
                  </w:r>
                </w:p>
              </w:tc>
              <w:tc>
                <w:tcPr>
                  <w:tcW w:w="1387" w:type="pct"/>
                  <w:tcBorders>
                    <w:bottom w:val="single" w:color="auto" w:sz="4" w:space="0"/>
                  </w:tcBorders>
                  <w:noWrap w:val="0"/>
                  <w:vAlign w:val="center"/>
                </w:tcPr>
                <w:p w14:paraId="39D9D07A">
                  <w:pPr>
                    <w:jc w:val="center"/>
                    <w:outlineLvl w:val="0"/>
                    <w:rPr>
                      <w:rFonts w:hint="eastAsia" w:ascii="Times New Roman" w:hAnsi="Times New Roman" w:eastAsia="宋体" w:cs="Times New Roman"/>
                      <w:color w:val="auto"/>
                      <w:kern w:val="2"/>
                      <w:sz w:val="21"/>
                      <w:szCs w:val="24"/>
                      <w:lang w:val="en-US" w:eastAsia="zh-CN" w:bidi="ar-SA"/>
                    </w:rPr>
                  </w:pPr>
                  <w:r>
                    <w:rPr>
                      <w:color w:val="auto"/>
                    </w:rPr>
                    <w:t>一般固废堆场：</w:t>
                  </w:r>
                  <w:r>
                    <w:rPr>
                      <w:rFonts w:hint="eastAsia"/>
                      <w:color w:val="auto"/>
                    </w:rPr>
                    <w:t>150</w:t>
                  </w:r>
                  <w:r>
                    <w:rPr>
                      <w:color w:val="auto"/>
                    </w:rPr>
                    <w:t xml:space="preserve"> m</w:t>
                  </w:r>
                  <w:r>
                    <w:rPr>
                      <w:color w:val="auto"/>
                      <w:vertAlign w:val="superscript"/>
                    </w:rPr>
                    <w:t>2</w:t>
                  </w:r>
                </w:p>
              </w:tc>
              <w:tc>
                <w:tcPr>
                  <w:tcW w:w="1108" w:type="pct"/>
                  <w:tcBorders>
                    <w:bottom w:val="single" w:color="auto" w:sz="4" w:space="0"/>
                  </w:tcBorders>
                  <w:noWrap w:val="0"/>
                  <w:vAlign w:val="center"/>
                </w:tcPr>
                <w:p w14:paraId="18B9284A">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eastAsia="宋体"/>
                      <w:color w:val="auto"/>
                      <w:sz w:val="21"/>
                      <w:szCs w:val="21"/>
                      <w:lang w:val="en-US" w:eastAsia="zh-CN"/>
                    </w:rPr>
                  </w:pPr>
                  <w:r>
                    <w:rPr>
                      <w:rFonts w:hint="eastAsia"/>
                      <w:color w:val="auto"/>
                      <w:szCs w:val="21"/>
                      <w:lang w:val="en-US" w:eastAsia="zh-CN"/>
                    </w:rPr>
                    <w:t>已建，依托原有</w:t>
                  </w:r>
                </w:p>
              </w:tc>
            </w:tr>
            <w:tr w14:paraId="1175C929">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412" w:hRule="atLeast"/>
              </w:trPr>
              <w:tc>
                <w:tcPr>
                  <w:tcW w:w="480" w:type="pct"/>
                  <w:vMerge w:val="continue"/>
                  <w:noWrap w:val="0"/>
                  <w:vAlign w:val="center"/>
                </w:tcPr>
                <w:p w14:paraId="0C140832">
                  <w:pPr>
                    <w:jc w:val="center"/>
                    <w:outlineLvl w:val="0"/>
                    <w:rPr>
                      <w:color w:val="auto"/>
                      <w:sz w:val="21"/>
                      <w:szCs w:val="21"/>
                    </w:rPr>
                  </w:pPr>
                </w:p>
              </w:tc>
              <w:tc>
                <w:tcPr>
                  <w:tcW w:w="734" w:type="pct"/>
                  <w:vMerge w:val="continue"/>
                  <w:noWrap w:val="0"/>
                  <w:vAlign w:val="center"/>
                </w:tcPr>
                <w:p w14:paraId="2D371A46">
                  <w:pPr>
                    <w:keepNext w:val="0"/>
                    <w:keepLines w:val="0"/>
                    <w:pageBreakBefore w:val="0"/>
                    <w:widowControl w:val="0"/>
                    <w:kinsoku/>
                    <w:wordWrap/>
                    <w:overflowPunct/>
                    <w:topLinePunct w:val="0"/>
                    <w:bidi w:val="0"/>
                    <w:spacing w:line="240" w:lineRule="auto"/>
                    <w:ind w:left="0" w:leftChars="0"/>
                    <w:jc w:val="center"/>
                    <w:textAlignment w:val="auto"/>
                    <w:rPr>
                      <w:color w:val="auto"/>
                      <w:sz w:val="21"/>
                      <w:szCs w:val="21"/>
                    </w:rPr>
                  </w:pPr>
                </w:p>
              </w:tc>
              <w:tc>
                <w:tcPr>
                  <w:tcW w:w="1289" w:type="pct"/>
                  <w:tcBorders>
                    <w:bottom w:val="single" w:color="auto" w:sz="4" w:space="0"/>
                  </w:tcBorders>
                  <w:noWrap w:val="0"/>
                  <w:vAlign w:val="center"/>
                </w:tcPr>
                <w:p w14:paraId="5B550B4A">
                  <w:pPr>
                    <w:jc w:val="center"/>
                    <w:outlineLvl w:val="0"/>
                    <w:rPr>
                      <w:rFonts w:hint="default" w:eastAsia="宋体"/>
                      <w:color w:val="auto"/>
                      <w:lang w:val="en-US" w:eastAsia="zh-CN"/>
                    </w:rPr>
                  </w:pPr>
                  <w:r>
                    <w:rPr>
                      <w:rFonts w:hint="eastAsia"/>
                      <w:color w:val="auto"/>
                      <w:lang w:val="en-US" w:eastAsia="zh-CN"/>
                    </w:rPr>
                    <w:t>危废仓库：无</w:t>
                  </w:r>
                </w:p>
              </w:tc>
              <w:tc>
                <w:tcPr>
                  <w:tcW w:w="1387" w:type="pct"/>
                  <w:tcBorders>
                    <w:bottom w:val="single" w:color="auto" w:sz="4" w:space="0"/>
                  </w:tcBorders>
                  <w:noWrap w:val="0"/>
                  <w:vAlign w:val="center"/>
                </w:tcPr>
                <w:p w14:paraId="6A1E11D2">
                  <w:pPr>
                    <w:jc w:val="center"/>
                    <w:outlineLvl w:val="0"/>
                    <w:rPr>
                      <w:rFonts w:hint="default" w:eastAsia="宋体"/>
                      <w:color w:val="auto"/>
                      <w:lang w:val="en-US" w:eastAsia="zh-CN"/>
                    </w:rPr>
                  </w:pPr>
                  <w:r>
                    <w:rPr>
                      <w:rFonts w:hint="eastAsia"/>
                      <w:color w:val="auto"/>
                      <w:lang w:val="en-US" w:eastAsia="zh-CN"/>
                    </w:rPr>
                    <w:t>危废仓库：30</w:t>
                  </w:r>
                  <w:r>
                    <w:rPr>
                      <w:color w:val="auto"/>
                    </w:rPr>
                    <w:t>m</w:t>
                  </w:r>
                  <w:r>
                    <w:rPr>
                      <w:color w:val="auto"/>
                      <w:vertAlign w:val="superscript"/>
                    </w:rPr>
                    <w:t>2</w:t>
                  </w:r>
                </w:p>
              </w:tc>
              <w:tc>
                <w:tcPr>
                  <w:tcW w:w="1108" w:type="pct"/>
                  <w:tcBorders>
                    <w:bottom w:val="single" w:color="auto" w:sz="4" w:space="0"/>
                  </w:tcBorders>
                  <w:noWrap w:val="0"/>
                  <w:vAlign w:val="center"/>
                </w:tcPr>
                <w:p w14:paraId="004C8F25">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color w:val="auto"/>
                      <w:szCs w:val="21"/>
                      <w:lang w:val="en-US" w:eastAsia="zh-CN"/>
                    </w:rPr>
                  </w:pPr>
                  <w:r>
                    <w:rPr>
                      <w:rFonts w:hint="eastAsia"/>
                      <w:color w:val="auto"/>
                      <w:szCs w:val="21"/>
                      <w:lang w:val="en-US" w:eastAsia="zh-CN"/>
                    </w:rPr>
                    <w:t>新建</w:t>
                  </w:r>
                </w:p>
              </w:tc>
            </w:tr>
            <w:tr w14:paraId="41B55C70">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76" w:hRule="atLeast"/>
              </w:trPr>
              <w:tc>
                <w:tcPr>
                  <w:tcW w:w="480" w:type="pct"/>
                  <w:vMerge w:val="continue"/>
                  <w:noWrap w:val="0"/>
                  <w:vAlign w:val="center"/>
                </w:tcPr>
                <w:p w14:paraId="29F98A8C">
                  <w:pPr>
                    <w:jc w:val="center"/>
                    <w:outlineLvl w:val="0"/>
                    <w:rPr>
                      <w:color w:val="auto"/>
                      <w:sz w:val="21"/>
                      <w:szCs w:val="21"/>
                    </w:rPr>
                  </w:pPr>
                </w:p>
              </w:tc>
              <w:tc>
                <w:tcPr>
                  <w:tcW w:w="734" w:type="pct"/>
                  <w:noWrap w:val="0"/>
                  <w:vAlign w:val="center"/>
                </w:tcPr>
                <w:p w14:paraId="5E004304">
                  <w:pPr>
                    <w:keepNext w:val="0"/>
                    <w:keepLines w:val="0"/>
                    <w:pageBreakBefore w:val="0"/>
                    <w:widowControl w:val="0"/>
                    <w:kinsoku/>
                    <w:wordWrap/>
                    <w:overflowPunct/>
                    <w:topLinePunct w:val="0"/>
                    <w:bidi w:val="0"/>
                    <w:spacing w:line="240" w:lineRule="auto"/>
                    <w:ind w:left="0"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事故应急池</w:t>
                  </w:r>
                </w:p>
              </w:tc>
              <w:tc>
                <w:tcPr>
                  <w:tcW w:w="2676" w:type="pct"/>
                  <w:gridSpan w:val="2"/>
                  <w:tcBorders>
                    <w:top w:val="single" w:color="auto" w:sz="4" w:space="0"/>
                    <w:bottom w:val="single" w:color="auto" w:sz="4" w:space="0"/>
                  </w:tcBorders>
                  <w:noWrap w:val="0"/>
                  <w:vAlign w:val="center"/>
                </w:tcPr>
                <w:p w14:paraId="2EB7F02D">
                  <w:pPr>
                    <w:jc w:val="center"/>
                    <w:outlineLvl w:val="0"/>
                    <w:rPr>
                      <w:color w:val="auto"/>
                    </w:rPr>
                  </w:pPr>
                  <w:r>
                    <w:rPr>
                      <w:rFonts w:hint="eastAsia"/>
                      <w:color w:val="auto"/>
                      <w:lang w:val="en-US" w:eastAsia="zh-CN"/>
                    </w:rPr>
                    <w:t>115m</w:t>
                  </w:r>
                  <w:r>
                    <w:rPr>
                      <w:rFonts w:hint="eastAsia"/>
                      <w:color w:val="auto"/>
                      <w:vertAlign w:val="superscript"/>
                      <w:lang w:val="en-US" w:eastAsia="zh-CN"/>
                    </w:rPr>
                    <w:t>3</w:t>
                  </w:r>
                </w:p>
              </w:tc>
              <w:tc>
                <w:tcPr>
                  <w:tcW w:w="1108" w:type="pct"/>
                  <w:tcBorders>
                    <w:top w:val="single" w:color="auto" w:sz="4" w:space="0"/>
                    <w:bottom w:val="single" w:color="auto" w:sz="4" w:space="0"/>
                  </w:tcBorders>
                  <w:noWrap w:val="0"/>
                  <w:vAlign w:val="center"/>
                </w:tcPr>
                <w:p w14:paraId="7C16209C">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color w:val="auto"/>
                      <w:szCs w:val="21"/>
                    </w:rPr>
                  </w:pPr>
                  <w:r>
                    <w:rPr>
                      <w:rFonts w:hint="eastAsia"/>
                      <w:color w:val="auto"/>
                      <w:szCs w:val="21"/>
                    </w:rPr>
                    <w:t>已建，依托原有</w:t>
                  </w:r>
                </w:p>
              </w:tc>
            </w:tr>
            <w:tr w14:paraId="03C236D9">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76" w:hRule="atLeast"/>
              </w:trPr>
              <w:tc>
                <w:tcPr>
                  <w:tcW w:w="480" w:type="pct"/>
                  <w:vMerge w:val="continue"/>
                  <w:noWrap w:val="0"/>
                  <w:vAlign w:val="center"/>
                </w:tcPr>
                <w:p w14:paraId="019748B0">
                  <w:pPr>
                    <w:jc w:val="center"/>
                    <w:outlineLvl w:val="0"/>
                    <w:rPr>
                      <w:color w:val="auto"/>
                      <w:sz w:val="21"/>
                      <w:szCs w:val="21"/>
                    </w:rPr>
                  </w:pPr>
                </w:p>
              </w:tc>
              <w:tc>
                <w:tcPr>
                  <w:tcW w:w="734" w:type="pct"/>
                  <w:noWrap w:val="0"/>
                  <w:vAlign w:val="center"/>
                </w:tcPr>
                <w:p w14:paraId="15B956E8">
                  <w:pPr>
                    <w:keepNext w:val="0"/>
                    <w:keepLines w:val="0"/>
                    <w:pageBreakBefore w:val="0"/>
                    <w:widowControl w:val="0"/>
                    <w:kinsoku/>
                    <w:wordWrap/>
                    <w:overflowPunct/>
                    <w:topLinePunct w:val="0"/>
                    <w:bidi w:val="0"/>
                    <w:spacing w:line="240" w:lineRule="auto"/>
                    <w:ind w:left="0" w:leftChars="0"/>
                    <w:jc w:val="center"/>
                    <w:textAlignment w:val="auto"/>
                    <w:rPr>
                      <w:rFonts w:hint="default" w:eastAsia="宋体"/>
                      <w:color w:val="auto"/>
                      <w:sz w:val="21"/>
                      <w:szCs w:val="21"/>
                      <w:lang w:val="en-US" w:eastAsia="zh-CN"/>
                    </w:rPr>
                  </w:pPr>
                  <w:r>
                    <w:rPr>
                      <w:rFonts w:hint="eastAsia"/>
                      <w:color w:val="auto"/>
                      <w:sz w:val="21"/>
                      <w:szCs w:val="21"/>
                      <w:lang w:val="en-US" w:eastAsia="zh-CN"/>
                    </w:rPr>
                    <w:t>初期雨水池</w:t>
                  </w:r>
                </w:p>
              </w:tc>
              <w:tc>
                <w:tcPr>
                  <w:tcW w:w="2676" w:type="pct"/>
                  <w:gridSpan w:val="2"/>
                  <w:tcBorders>
                    <w:top w:val="single" w:color="auto" w:sz="4" w:space="0"/>
                    <w:bottom w:val="single" w:color="auto" w:sz="4" w:space="0"/>
                  </w:tcBorders>
                  <w:noWrap w:val="0"/>
                  <w:vAlign w:val="center"/>
                </w:tcPr>
                <w:p w14:paraId="0171AB5D">
                  <w:pPr>
                    <w:jc w:val="center"/>
                    <w:outlineLvl w:val="0"/>
                    <w:rPr>
                      <w:color w:val="auto"/>
                    </w:rPr>
                  </w:pPr>
                  <w:r>
                    <w:rPr>
                      <w:rFonts w:hint="eastAsia"/>
                      <w:color w:val="auto"/>
                      <w:lang w:val="en-US" w:eastAsia="zh-CN"/>
                    </w:rPr>
                    <w:t>65m</w:t>
                  </w:r>
                  <w:r>
                    <w:rPr>
                      <w:rFonts w:hint="eastAsia"/>
                      <w:color w:val="auto"/>
                      <w:vertAlign w:val="superscript"/>
                      <w:lang w:val="en-US" w:eastAsia="zh-CN"/>
                    </w:rPr>
                    <w:t>3</w:t>
                  </w:r>
                </w:p>
              </w:tc>
              <w:tc>
                <w:tcPr>
                  <w:tcW w:w="1108" w:type="pct"/>
                  <w:tcBorders>
                    <w:top w:val="single" w:color="auto" w:sz="4" w:space="0"/>
                    <w:bottom w:val="single" w:color="auto" w:sz="4" w:space="0"/>
                  </w:tcBorders>
                  <w:noWrap w:val="0"/>
                  <w:vAlign w:val="center"/>
                </w:tcPr>
                <w:p w14:paraId="78910010">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color w:val="auto"/>
                      <w:szCs w:val="21"/>
                    </w:rPr>
                  </w:pPr>
                  <w:r>
                    <w:rPr>
                      <w:rFonts w:hint="eastAsia"/>
                      <w:color w:val="auto"/>
                      <w:szCs w:val="21"/>
                    </w:rPr>
                    <w:t>已建，依托原有</w:t>
                  </w:r>
                </w:p>
              </w:tc>
            </w:tr>
            <w:tr w14:paraId="6CAF20F8">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86" w:hRule="atLeast"/>
              </w:trPr>
              <w:tc>
                <w:tcPr>
                  <w:tcW w:w="480" w:type="pct"/>
                  <w:vMerge w:val="continue"/>
                  <w:noWrap w:val="0"/>
                  <w:vAlign w:val="center"/>
                </w:tcPr>
                <w:p w14:paraId="49D242D1">
                  <w:pPr>
                    <w:jc w:val="center"/>
                    <w:outlineLvl w:val="0"/>
                    <w:rPr>
                      <w:color w:val="auto"/>
                      <w:sz w:val="21"/>
                      <w:szCs w:val="21"/>
                    </w:rPr>
                  </w:pPr>
                </w:p>
              </w:tc>
              <w:tc>
                <w:tcPr>
                  <w:tcW w:w="734" w:type="pct"/>
                  <w:noWrap w:val="0"/>
                  <w:vAlign w:val="center"/>
                </w:tcPr>
                <w:p w14:paraId="3E621214">
                  <w:pPr>
                    <w:jc w:val="center"/>
                    <w:outlineLvl w:val="0"/>
                    <w:rPr>
                      <w:color w:val="auto"/>
                      <w:sz w:val="21"/>
                      <w:szCs w:val="21"/>
                    </w:rPr>
                  </w:pPr>
                  <w:r>
                    <w:rPr>
                      <w:color w:val="auto"/>
                      <w:sz w:val="21"/>
                      <w:szCs w:val="21"/>
                    </w:rPr>
                    <w:t>噪声防治</w:t>
                  </w:r>
                </w:p>
              </w:tc>
              <w:tc>
                <w:tcPr>
                  <w:tcW w:w="2676" w:type="pct"/>
                  <w:gridSpan w:val="2"/>
                  <w:noWrap w:val="0"/>
                  <w:vAlign w:val="center"/>
                </w:tcPr>
                <w:p w14:paraId="26B341CD">
                  <w:pPr>
                    <w:jc w:val="center"/>
                    <w:outlineLvl w:val="0"/>
                    <w:rPr>
                      <w:color w:val="auto"/>
                      <w:sz w:val="21"/>
                      <w:szCs w:val="21"/>
                    </w:rPr>
                  </w:pPr>
                  <w:r>
                    <w:rPr>
                      <w:color w:val="auto"/>
                      <w:sz w:val="21"/>
                      <w:szCs w:val="21"/>
                    </w:rPr>
                    <w:t>厂房隔声、选用低噪声设备，高噪声设备应采取隔声、消声、减振和基础固定等措施</w:t>
                  </w:r>
                </w:p>
              </w:tc>
              <w:tc>
                <w:tcPr>
                  <w:tcW w:w="1108" w:type="pct"/>
                  <w:noWrap w:val="0"/>
                  <w:vAlign w:val="center"/>
                </w:tcPr>
                <w:p w14:paraId="4D663C27">
                  <w:pPr>
                    <w:jc w:val="center"/>
                    <w:outlineLvl w:val="0"/>
                    <w:rPr>
                      <w:color w:val="auto"/>
                      <w:sz w:val="21"/>
                      <w:szCs w:val="21"/>
                    </w:rPr>
                  </w:pPr>
                  <w:r>
                    <w:rPr>
                      <w:color w:val="auto"/>
                      <w:sz w:val="21"/>
                      <w:szCs w:val="21"/>
                    </w:rPr>
                    <w:t>厂界达标</w:t>
                  </w:r>
                </w:p>
              </w:tc>
            </w:tr>
          </w:tbl>
          <w:p w14:paraId="110E5CA8">
            <w:pPr>
              <w:adjustRightInd w:val="0"/>
              <w:snapToGrid w:val="0"/>
              <w:spacing w:line="360" w:lineRule="auto"/>
              <w:ind w:firstLine="420" w:firstLineChars="200"/>
              <w:rPr>
                <w:color w:val="auto"/>
                <w:szCs w:val="21"/>
              </w:rPr>
            </w:pPr>
            <w:r>
              <w:rPr>
                <w:color w:val="auto"/>
                <w:szCs w:val="21"/>
              </w:rPr>
              <w:t>本项目</w:t>
            </w:r>
            <w:r>
              <w:rPr>
                <w:rFonts w:hint="eastAsia"/>
                <w:color w:val="auto"/>
                <w:szCs w:val="21"/>
                <w:lang w:val="en-US" w:eastAsia="zh-CN"/>
              </w:rPr>
              <w:t>利用自有土地进行生产，全厂占地面积26667平方米，未新增用地，未新建厂房</w:t>
            </w:r>
            <w:r>
              <w:rPr>
                <w:color w:val="auto"/>
                <w:szCs w:val="21"/>
              </w:rPr>
              <w:t>。本项目废气、</w:t>
            </w:r>
            <w:r>
              <w:rPr>
                <w:rFonts w:hint="eastAsia"/>
                <w:color w:val="auto"/>
                <w:szCs w:val="21"/>
              </w:rPr>
              <w:t>废水、</w:t>
            </w:r>
            <w:r>
              <w:rPr>
                <w:color w:val="auto"/>
                <w:szCs w:val="21"/>
              </w:rPr>
              <w:t>噪声责任主体</w:t>
            </w:r>
            <w:r>
              <w:rPr>
                <w:rFonts w:hint="eastAsia"/>
                <w:color w:val="auto"/>
                <w:szCs w:val="21"/>
              </w:rPr>
              <w:t>均</w:t>
            </w:r>
            <w:r>
              <w:rPr>
                <w:color w:val="auto"/>
                <w:szCs w:val="21"/>
              </w:rPr>
              <w:t>为</w:t>
            </w:r>
            <w:r>
              <w:rPr>
                <w:rFonts w:hint="eastAsia"/>
                <w:color w:val="auto"/>
                <w:szCs w:val="21"/>
              </w:rPr>
              <w:t>江苏一重锻造有限公司</w:t>
            </w:r>
            <w:r>
              <w:rPr>
                <w:color w:val="auto"/>
                <w:szCs w:val="21"/>
              </w:rPr>
              <w:t>。</w:t>
            </w:r>
          </w:p>
          <w:p w14:paraId="065DD2E8">
            <w:pPr>
              <w:adjustRightInd w:val="0"/>
              <w:snapToGrid w:val="0"/>
              <w:spacing w:line="360" w:lineRule="auto"/>
              <w:ind w:firstLine="422" w:firstLineChars="200"/>
              <w:rPr>
                <w:rFonts w:hint="eastAsia" w:eastAsia="宋体"/>
                <w:b/>
                <w:bCs/>
                <w:color w:val="auto"/>
                <w:sz w:val="21"/>
                <w:szCs w:val="21"/>
                <w:lang w:eastAsia="zh-CN"/>
              </w:rPr>
            </w:pPr>
            <w:r>
              <w:rPr>
                <w:rFonts w:hint="eastAsia"/>
                <w:b/>
                <w:bCs/>
                <w:color w:val="auto"/>
                <w:sz w:val="21"/>
                <w:szCs w:val="21"/>
                <w:lang w:val="en-US" w:eastAsia="zh-CN"/>
              </w:rPr>
              <w:t>3、</w:t>
            </w:r>
            <w:r>
              <w:rPr>
                <w:rFonts w:hint="eastAsia"/>
                <w:b/>
                <w:bCs/>
                <w:color w:val="auto"/>
                <w:sz w:val="21"/>
                <w:szCs w:val="21"/>
              </w:rPr>
              <w:t>产品</w:t>
            </w:r>
            <w:r>
              <w:rPr>
                <w:rFonts w:hint="eastAsia"/>
                <w:b/>
                <w:bCs/>
                <w:color w:val="auto"/>
                <w:sz w:val="21"/>
                <w:szCs w:val="21"/>
                <w:lang w:val="en-US" w:eastAsia="zh-CN"/>
              </w:rPr>
              <w:t>方案</w:t>
            </w:r>
          </w:p>
          <w:p w14:paraId="4CB66459">
            <w:pPr>
              <w:adjustRightInd w:val="0"/>
              <w:snapToGrid w:val="0"/>
              <w:jc w:val="center"/>
              <w:rPr>
                <w:b/>
                <w:bCs/>
                <w:color w:val="auto"/>
                <w:sz w:val="21"/>
                <w:szCs w:val="21"/>
              </w:rPr>
            </w:pPr>
            <w:r>
              <w:rPr>
                <w:b/>
                <w:bCs/>
                <w:color w:val="auto"/>
                <w:sz w:val="21"/>
                <w:szCs w:val="21"/>
              </w:rPr>
              <w:t>表2-</w:t>
            </w:r>
            <w:r>
              <w:rPr>
                <w:rFonts w:hint="eastAsia"/>
                <w:b/>
                <w:bCs/>
                <w:color w:val="auto"/>
                <w:sz w:val="21"/>
                <w:szCs w:val="21"/>
                <w:lang w:val="en-US" w:eastAsia="zh-CN"/>
              </w:rPr>
              <w:t>2</w:t>
            </w:r>
            <w:r>
              <w:rPr>
                <w:b/>
                <w:bCs/>
                <w:color w:val="auto"/>
                <w:sz w:val="21"/>
                <w:szCs w:val="21"/>
              </w:rPr>
              <w:t xml:space="preserve"> </w:t>
            </w:r>
            <w:r>
              <w:rPr>
                <w:rFonts w:hint="eastAsia"/>
                <w:b/>
                <w:bCs/>
                <w:color w:val="auto"/>
                <w:sz w:val="21"/>
                <w:szCs w:val="21"/>
                <w:lang w:val="en-US" w:eastAsia="zh-CN"/>
              </w:rPr>
              <w:t>建设项目</w:t>
            </w:r>
            <w:r>
              <w:rPr>
                <w:b/>
                <w:bCs/>
                <w:color w:val="auto"/>
                <w:sz w:val="21"/>
                <w:szCs w:val="21"/>
              </w:rPr>
              <w:t>产品方案表</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238"/>
              <w:gridCol w:w="1776"/>
              <w:gridCol w:w="1140"/>
              <w:gridCol w:w="840"/>
              <w:gridCol w:w="810"/>
              <w:gridCol w:w="795"/>
              <w:gridCol w:w="1084"/>
            </w:tblGrid>
            <w:tr w14:paraId="71E8A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56" w:type="pct"/>
                  <w:vMerge w:val="restart"/>
                  <w:noWrap w:val="0"/>
                  <w:vAlign w:val="center"/>
                </w:tcPr>
                <w:p w14:paraId="3BD5CB3F">
                  <w:pPr>
                    <w:jc w:val="center"/>
                    <w:outlineLvl w:val="0"/>
                    <w:rPr>
                      <w:rFonts w:hint="eastAsia" w:eastAsia="宋体"/>
                      <w:b/>
                      <w:bCs/>
                      <w:color w:val="auto"/>
                      <w:sz w:val="21"/>
                      <w:szCs w:val="21"/>
                      <w:lang w:eastAsia="zh-CN"/>
                    </w:rPr>
                  </w:pPr>
                  <w:r>
                    <w:rPr>
                      <w:rFonts w:hint="eastAsia"/>
                      <w:b/>
                      <w:bCs/>
                      <w:color w:val="auto"/>
                      <w:sz w:val="21"/>
                      <w:szCs w:val="21"/>
                      <w:lang w:val="en-US" w:eastAsia="zh-CN"/>
                    </w:rPr>
                    <w:t>序号</w:t>
                  </w:r>
                </w:p>
              </w:tc>
              <w:tc>
                <w:tcPr>
                  <w:tcW w:w="748" w:type="pct"/>
                  <w:vMerge w:val="restart"/>
                  <w:noWrap w:val="0"/>
                  <w:vAlign w:val="center"/>
                </w:tcPr>
                <w:p w14:paraId="69B76016">
                  <w:pPr>
                    <w:jc w:val="center"/>
                    <w:outlineLvl w:val="0"/>
                    <w:rPr>
                      <w:rFonts w:hint="default" w:eastAsia="宋体"/>
                      <w:b/>
                      <w:bCs/>
                      <w:color w:val="auto"/>
                      <w:sz w:val="21"/>
                      <w:szCs w:val="21"/>
                      <w:lang w:val="en-US" w:eastAsia="zh-CN"/>
                    </w:rPr>
                  </w:pPr>
                  <w:r>
                    <w:rPr>
                      <w:rFonts w:hint="eastAsia"/>
                      <w:b/>
                      <w:bCs/>
                      <w:color w:val="auto"/>
                      <w:sz w:val="21"/>
                      <w:szCs w:val="21"/>
                      <w:lang w:val="en-US" w:eastAsia="zh-CN"/>
                    </w:rPr>
                    <w:t>生产线名称</w:t>
                  </w:r>
                </w:p>
              </w:tc>
              <w:tc>
                <w:tcPr>
                  <w:tcW w:w="1073" w:type="pct"/>
                  <w:vMerge w:val="restart"/>
                  <w:noWrap w:val="0"/>
                  <w:vAlign w:val="center"/>
                </w:tcPr>
                <w:p w14:paraId="4933926E">
                  <w:pPr>
                    <w:jc w:val="center"/>
                    <w:outlineLvl w:val="0"/>
                    <w:rPr>
                      <w:b/>
                      <w:bCs/>
                      <w:color w:val="auto"/>
                      <w:sz w:val="21"/>
                      <w:szCs w:val="21"/>
                    </w:rPr>
                  </w:pPr>
                  <w:r>
                    <w:rPr>
                      <w:b/>
                      <w:bCs/>
                      <w:color w:val="auto"/>
                      <w:sz w:val="21"/>
                      <w:szCs w:val="21"/>
                    </w:rPr>
                    <w:t>产品名称</w:t>
                  </w:r>
                </w:p>
              </w:tc>
              <w:tc>
                <w:tcPr>
                  <w:tcW w:w="689" w:type="pct"/>
                  <w:vMerge w:val="restart"/>
                  <w:noWrap w:val="0"/>
                  <w:vAlign w:val="center"/>
                </w:tcPr>
                <w:p w14:paraId="2F573D62">
                  <w:pPr>
                    <w:jc w:val="center"/>
                    <w:outlineLvl w:val="0"/>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b/>
                      <w:bCs/>
                      <w:color w:val="auto"/>
                      <w:sz w:val="21"/>
                      <w:szCs w:val="21"/>
                      <w:lang w:val="en-US" w:eastAsia="zh-CN"/>
                    </w:rPr>
                    <w:t>规格</w:t>
                  </w:r>
                  <w:r>
                    <w:rPr>
                      <w:rFonts w:hint="eastAsia" w:ascii="Times New Roman" w:hAnsi="Times New Roman" w:cs="Times New Roman"/>
                      <w:b/>
                      <w:bCs/>
                      <w:color w:val="auto"/>
                      <w:sz w:val="21"/>
                      <w:szCs w:val="21"/>
                      <w:lang w:val="en-US" w:eastAsia="zh-CN"/>
                    </w:rPr>
                    <w:t>/型号</w:t>
                  </w:r>
                </w:p>
              </w:tc>
              <w:tc>
                <w:tcPr>
                  <w:tcW w:w="1477" w:type="pct"/>
                  <w:gridSpan w:val="3"/>
                  <w:noWrap w:val="0"/>
                  <w:vAlign w:val="center"/>
                </w:tcPr>
                <w:p w14:paraId="5B12CAB3">
                  <w:pPr>
                    <w:jc w:val="center"/>
                    <w:outlineLvl w:val="0"/>
                    <w:rPr>
                      <w:rFonts w:hint="eastAsia" w:eastAsia="宋体"/>
                      <w:b/>
                      <w:bCs/>
                      <w:color w:val="auto"/>
                      <w:sz w:val="21"/>
                      <w:szCs w:val="21"/>
                      <w:lang w:eastAsia="zh-CN"/>
                    </w:rPr>
                  </w:pPr>
                  <w:r>
                    <w:rPr>
                      <w:b/>
                      <w:bCs/>
                      <w:color w:val="auto"/>
                      <w:sz w:val="21"/>
                      <w:szCs w:val="21"/>
                    </w:rPr>
                    <w:t>设计能力</w:t>
                  </w:r>
                  <w:r>
                    <w:rPr>
                      <w:rFonts w:hint="eastAsia"/>
                      <w:b/>
                      <w:bCs/>
                      <w:color w:val="auto"/>
                      <w:sz w:val="21"/>
                      <w:szCs w:val="21"/>
                      <w:lang w:eastAsia="zh-CN"/>
                    </w:rPr>
                    <w:t>（</w:t>
                  </w:r>
                  <w:r>
                    <w:rPr>
                      <w:rFonts w:hint="eastAsia"/>
                      <w:b/>
                      <w:bCs/>
                      <w:color w:val="auto"/>
                      <w:sz w:val="21"/>
                      <w:szCs w:val="21"/>
                      <w:lang w:val="en-US" w:eastAsia="zh-CN"/>
                    </w:rPr>
                    <w:t>t</w:t>
                  </w:r>
                  <w:r>
                    <w:rPr>
                      <w:rFonts w:hint="eastAsia" w:cs="Times New Roman"/>
                      <w:b/>
                      <w:bCs/>
                      <w:color w:val="auto"/>
                      <w:sz w:val="21"/>
                      <w:szCs w:val="21"/>
                      <w:vertAlign w:val="baseline"/>
                      <w:lang w:val="en-US" w:eastAsia="zh-CN"/>
                    </w:rPr>
                    <w:t>/a</w:t>
                  </w:r>
                  <w:r>
                    <w:rPr>
                      <w:rFonts w:hint="eastAsia"/>
                      <w:b/>
                      <w:bCs/>
                      <w:color w:val="auto"/>
                      <w:sz w:val="21"/>
                      <w:szCs w:val="21"/>
                      <w:lang w:eastAsia="zh-CN"/>
                    </w:rPr>
                    <w:t>）</w:t>
                  </w:r>
                </w:p>
              </w:tc>
              <w:tc>
                <w:tcPr>
                  <w:tcW w:w="655" w:type="pct"/>
                  <w:vMerge w:val="restart"/>
                  <w:noWrap w:val="0"/>
                  <w:vAlign w:val="center"/>
                </w:tcPr>
                <w:p w14:paraId="00C76155">
                  <w:pPr>
                    <w:jc w:val="center"/>
                    <w:outlineLvl w:val="0"/>
                    <w:rPr>
                      <w:b/>
                      <w:bCs/>
                      <w:color w:val="auto"/>
                      <w:sz w:val="21"/>
                      <w:szCs w:val="21"/>
                    </w:rPr>
                  </w:pPr>
                  <w:r>
                    <w:rPr>
                      <w:b/>
                      <w:bCs/>
                      <w:color w:val="auto"/>
                      <w:sz w:val="21"/>
                      <w:szCs w:val="21"/>
                    </w:rPr>
                    <w:t>年运行时间</w:t>
                  </w:r>
                </w:p>
              </w:tc>
            </w:tr>
            <w:tr w14:paraId="15217F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56" w:type="pct"/>
                  <w:vMerge w:val="continue"/>
                  <w:noWrap w:val="0"/>
                  <w:vAlign w:val="center"/>
                </w:tcPr>
                <w:p w14:paraId="36A74864">
                  <w:pPr>
                    <w:jc w:val="center"/>
                    <w:outlineLvl w:val="0"/>
                    <w:rPr>
                      <w:color w:val="auto"/>
                      <w:sz w:val="21"/>
                      <w:szCs w:val="21"/>
                    </w:rPr>
                  </w:pPr>
                </w:p>
              </w:tc>
              <w:tc>
                <w:tcPr>
                  <w:tcW w:w="748" w:type="pct"/>
                  <w:vMerge w:val="continue"/>
                  <w:noWrap w:val="0"/>
                  <w:vAlign w:val="center"/>
                </w:tcPr>
                <w:p w14:paraId="19B94102">
                  <w:pPr>
                    <w:jc w:val="center"/>
                    <w:outlineLvl w:val="0"/>
                    <w:rPr>
                      <w:color w:val="auto"/>
                      <w:sz w:val="21"/>
                      <w:szCs w:val="21"/>
                    </w:rPr>
                  </w:pPr>
                </w:p>
              </w:tc>
              <w:tc>
                <w:tcPr>
                  <w:tcW w:w="1073" w:type="pct"/>
                  <w:vMerge w:val="continue"/>
                  <w:noWrap w:val="0"/>
                  <w:vAlign w:val="center"/>
                </w:tcPr>
                <w:p w14:paraId="321359CA">
                  <w:pPr>
                    <w:jc w:val="center"/>
                    <w:outlineLvl w:val="0"/>
                    <w:rPr>
                      <w:color w:val="auto"/>
                      <w:sz w:val="21"/>
                      <w:szCs w:val="21"/>
                    </w:rPr>
                  </w:pPr>
                </w:p>
              </w:tc>
              <w:tc>
                <w:tcPr>
                  <w:tcW w:w="689" w:type="pct"/>
                  <w:vMerge w:val="continue"/>
                  <w:noWrap w:val="0"/>
                  <w:vAlign w:val="center"/>
                </w:tcPr>
                <w:p w14:paraId="1BDF1A76">
                  <w:pPr>
                    <w:jc w:val="center"/>
                    <w:outlineLvl w:val="0"/>
                    <w:rPr>
                      <w:rFonts w:hint="eastAsia" w:ascii="Times New Roman" w:hAnsi="Times New Roman" w:eastAsia="宋体" w:cs="Times New Roman"/>
                      <w:color w:val="auto"/>
                      <w:kern w:val="2"/>
                      <w:sz w:val="21"/>
                      <w:szCs w:val="21"/>
                      <w:lang w:val="en-US" w:eastAsia="zh-CN" w:bidi="ar-SA"/>
                    </w:rPr>
                  </w:pPr>
                </w:p>
              </w:tc>
              <w:tc>
                <w:tcPr>
                  <w:tcW w:w="507" w:type="pct"/>
                  <w:noWrap w:val="0"/>
                  <w:vAlign w:val="center"/>
                </w:tcPr>
                <w:p w14:paraId="6F1D0BF7">
                  <w:pPr>
                    <w:jc w:val="center"/>
                    <w:outlineLvl w:val="0"/>
                    <w:rPr>
                      <w:b/>
                      <w:bCs/>
                      <w:color w:val="auto"/>
                      <w:sz w:val="21"/>
                      <w:szCs w:val="21"/>
                    </w:rPr>
                  </w:pPr>
                  <w:r>
                    <w:rPr>
                      <w:rFonts w:hint="eastAsia"/>
                      <w:b/>
                      <w:bCs/>
                      <w:color w:val="auto"/>
                      <w:sz w:val="21"/>
                      <w:szCs w:val="21"/>
                      <w:lang w:val="en-US" w:eastAsia="zh-CN"/>
                    </w:rPr>
                    <w:t>扩建</w:t>
                  </w:r>
                  <w:r>
                    <w:rPr>
                      <w:b/>
                      <w:bCs/>
                      <w:color w:val="auto"/>
                      <w:sz w:val="21"/>
                      <w:szCs w:val="21"/>
                    </w:rPr>
                    <w:t>前</w:t>
                  </w:r>
                </w:p>
              </w:tc>
              <w:tc>
                <w:tcPr>
                  <w:tcW w:w="489" w:type="pct"/>
                  <w:noWrap w:val="0"/>
                  <w:vAlign w:val="center"/>
                </w:tcPr>
                <w:p w14:paraId="509721AD">
                  <w:pPr>
                    <w:jc w:val="center"/>
                    <w:outlineLvl w:val="0"/>
                    <w:rPr>
                      <w:b/>
                      <w:bCs/>
                      <w:color w:val="auto"/>
                      <w:sz w:val="21"/>
                      <w:szCs w:val="21"/>
                    </w:rPr>
                  </w:pPr>
                  <w:r>
                    <w:rPr>
                      <w:rFonts w:hint="eastAsia"/>
                      <w:b/>
                      <w:bCs/>
                      <w:color w:val="auto"/>
                      <w:sz w:val="21"/>
                      <w:szCs w:val="21"/>
                      <w:lang w:val="en-US" w:eastAsia="zh-CN"/>
                    </w:rPr>
                    <w:t>扩建</w:t>
                  </w:r>
                  <w:r>
                    <w:rPr>
                      <w:b/>
                      <w:bCs/>
                      <w:color w:val="auto"/>
                      <w:sz w:val="21"/>
                      <w:szCs w:val="21"/>
                    </w:rPr>
                    <w:t>后</w:t>
                  </w:r>
                </w:p>
              </w:tc>
              <w:tc>
                <w:tcPr>
                  <w:tcW w:w="480" w:type="pct"/>
                  <w:noWrap w:val="0"/>
                  <w:vAlign w:val="center"/>
                </w:tcPr>
                <w:p w14:paraId="7004F5DF">
                  <w:pPr>
                    <w:jc w:val="center"/>
                    <w:outlineLvl w:val="0"/>
                    <w:rPr>
                      <w:b/>
                      <w:bCs/>
                      <w:color w:val="auto"/>
                      <w:sz w:val="21"/>
                      <w:szCs w:val="21"/>
                    </w:rPr>
                  </w:pPr>
                  <w:r>
                    <w:rPr>
                      <w:b/>
                      <w:bCs/>
                      <w:color w:val="auto"/>
                      <w:sz w:val="21"/>
                      <w:szCs w:val="21"/>
                    </w:rPr>
                    <w:t>增减量</w:t>
                  </w:r>
                </w:p>
              </w:tc>
              <w:tc>
                <w:tcPr>
                  <w:tcW w:w="655" w:type="pct"/>
                  <w:vMerge w:val="continue"/>
                  <w:noWrap w:val="0"/>
                  <w:vAlign w:val="center"/>
                </w:tcPr>
                <w:p w14:paraId="08688EE6">
                  <w:pPr>
                    <w:jc w:val="center"/>
                    <w:outlineLvl w:val="0"/>
                    <w:rPr>
                      <w:color w:val="auto"/>
                      <w:sz w:val="21"/>
                      <w:szCs w:val="21"/>
                    </w:rPr>
                  </w:pPr>
                </w:p>
              </w:tc>
            </w:tr>
            <w:tr w14:paraId="0993A6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6" w:type="pct"/>
                  <w:vMerge w:val="restart"/>
                  <w:noWrap w:val="0"/>
                  <w:vAlign w:val="center"/>
                </w:tcPr>
                <w:p w14:paraId="5A557218">
                  <w:pPr>
                    <w:jc w:val="center"/>
                    <w:outlineLvl w:val="0"/>
                    <w:rPr>
                      <w:rFonts w:hint="default" w:eastAsia="宋体"/>
                      <w:color w:val="auto"/>
                      <w:sz w:val="21"/>
                      <w:szCs w:val="21"/>
                      <w:lang w:val="en-US" w:eastAsia="zh-CN"/>
                    </w:rPr>
                  </w:pPr>
                  <w:r>
                    <w:rPr>
                      <w:rFonts w:hint="eastAsia"/>
                      <w:color w:val="auto"/>
                      <w:sz w:val="21"/>
                      <w:szCs w:val="21"/>
                      <w:lang w:val="en-US" w:eastAsia="zh-CN"/>
                    </w:rPr>
                    <w:t>1</w:t>
                  </w:r>
                </w:p>
              </w:tc>
              <w:tc>
                <w:tcPr>
                  <w:tcW w:w="748" w:type="pct"/>
                  <w:vMerge w:val="restart"/>
                  <w:noWrap w:val="0"/>
                  <w:vAlign w:val="center"/>
                </w:tcPr>
                <w:p w14:paraId="3D7DC73F">
                  <w:pPr>
                    <w:jc w:val="center"/>
                    <w:outlineLvl w:val="0"/>
                    <w:rPr>
                      <w:rFonts w:hint="default" w:eastAsia="宋体"/>
                      <w:color w:val="auto"/>
                      <w:sz w:val="21"/>
                      <w:szCs w:val="21"/>
                      <w:lang w:val="en-US" w:eastAsia="zh-CN"/>
                    </w:rPr>
                  </w:pPr>
                  <w:r>
                    <w:rPr>
                      <w:rFonts w:hint="eastAsia"/>
                      <w:color w:val="auto"/>
                      <w:sz w:val="21"/>
                      <w:szCs w:val="21"/>
                      <w:lang w:val="en-US" w:eastAsia="zh-CN"/>
                    </w:rPr>
                    <w:t>模锻生产线</w:t>
                  </w:r>
                </w:p>
              </w:tc>
              <w:tc>
                <w:tcPr>
                  <w:tcW w:w="1073" w:type="pct"/>
                  <w:noWrap w:val="0"/>
                  <w:vAlign w:val="center"/>
                </w:tcPr>
                <w:p w14:paraId="53BD908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rPr>
                    <w:t>模锻方块</w:t>
                  </w:r>
                </w:p>
              </w:tc>
              <w:tc>
                <w:tcPr>
                  <w:tcW w:w="689" w:type="pct"/>
                  <w:noWrap w:val="0"/>
                  <w:vAlign w:val="center"/>
                </w:tcPr>
                <w:p w14:paraId="59C0F499">
                  <w:pPr>
                    <w:jc w:val="center"/>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定制</w:t>
                  </w:r>
                </w:p>
              </w:tc>
              <w:tc>
                <w:tcPr>
                  <w:tcW w:w="507" w:type="pct"/>
                  <w:vMerge w:val="restart"/>
                  <w:noWrap w:val="0"/>
                  <w:vAlign w:val="center"/>
                </w:tcPr>
                <w:p w14:paraId="58D2A68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Cs w:val="21"/>
                    </w:rPr>
                    <w:t>1000</w:t>
                  </w:r>
                </w:p>
              </w:tc>
              <w:tc>
                <w:tcPr>
                  <w:tcW w:w="489" w:type="pct"/>
                  <w:vMerge w:val="restart"/>
                  <w:noWrap w:val="0"/>
                  <w:vAlign w:val="center"/>
                </w:tcPr>
                <w:p w14:paraId="68C6B61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rPr>
                    <w:t>3</w:t>
                  </w:r>
                  <w:r>
                    <w:rPr>
                      <w:rFonts w:hint="eastAsia"/>
                      <w:color w:val="auto"/>
                      <w:kern w:val="0"/>
                      <w:szCs w:val="21"/>
                    </w:rPr>
                    <w:t>000</w:t>
                  </w:r>
                </w:p>
              </w:tc>
              <w:tc>
                <w:tcPr>
                  <w:tcW w:w="480" w:type="pct"/>
                  <w:vMerge w:val="restart"/>
                  <w:noWrap w:val="0"/>
                  <w:vAlign w:val="center"/>
                </w:tcPr>
                <w:p w14:paraId="24944FA9">
                  <w:pPr>
                    <w:jc w:val="center"/>
                    <w:outlineLvl w:val="0"/>
                    <w:rPr>
                      <w:rFonts w:hint="default" w:eastAsia="宋体"/>
                      <w:color w:val="auto"/>
                      <w:sz w:val="21"/>
                      <w:szCs w:val="21"/>
                      <w:lang w:val="en-US" w:eastAsia="zh-CN"/>
                    </w:rPr>
                  </w:pPr>
                  <w:r>
                    <w:rPr>
                      <w:rFonts w:hint="eastAsia"/>
                      <w:color w:val="auto"/>
                      <w:sz w:val="21"/>
                      <w:szCs w:val="21"/>
                      <w:lang w:val="en-US" w:eastAsia="zh-CN"/>
                    </w:rPr>
                    <w:t>2000</w:t>
                  </w:r>
                </w:p>
              </w:tc>
              <w:tc>
                <w:tcPr>
                  <w:tcW w:w="655" w:type="pct"/>
                  <w:vMerge w:val="restart"/>
                  <w:noWrap w:val="0"/>
                  <w:vAlign w:val="center"/>
                </w:tcPr>
                <w:p w14:paraId="6EDCDC5D">
                  <w:pPr>
                    <w:jc w:val="center"/>
                    <w:outlineLvl w:val="0"/>
                    <w:rPr>
                      <w:rFonts w:hint="default" w:eastAsia="宋体"/>
                      <w:color w:val="auto"/>
                      <w:sz w:val="21"/>
                      <w:szCs w:val="21"/>
                      <w:lang w:val="en-US" w:eastAsia="zh-CN"/>
                    </w:rPr>
                  </w:pPr>
                  <w:r>
                    <w:rPr>
                      <w:rFonts w:hint="eastAsia"/>
                      <w:color w:val="auto"/>
                      <w:sz w:val="21"/>
                      <w:szCs w:val="21"/>
                      <w:lang w:val="en-US" w:eastAsia="zh-CN"/>
                    </w:rPr>
                    <w:t>8h*320d=2560h</w:t>
                  </w:r>
                </w:p>
              </w:tc>
            </w:tr>
            <w:tr w14:paraId="69B78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6" w:type="pct"/>
                  <w:vMerge w:val="continue"/>
                  <w:noWrap w:val="0"/>
                  <w:vAlign w:val="center"/>
                </w:tcPr>
                <w:p w14:paraId="487F47BF">
                  <w:pPr>
                    <w:jc w:val="center"/>
                    <w:outlineLvl w:val="0"/>
                    <w:rPr>
                      <w:rFonts w:hint="eastAsia"/>
                      <w:color w:val="auto"/>
                      <w:sz w:val="21"/>
                      <w:szCs w:val="21"/>
                      <w:lang w:val="en-US" w:eastAsia="zh-CN"/>
                    </w:rPr>
                  </w:pPr>
                </w:p>
              </w:tc>
              <w:tc>
                <w:tcPr>
                  <w:tcW w:w="748" w:type="pct"/>
                  <w:vMerge w:val="continue"/>
                  <w:noWrap w:val="0"/>
                  <w:vAlign w:val="center"/>
                </w:tcPr>
                <w:p w14:paraId="63B3C908">
                  <w:pPr>
                    <w:jc w:val="center"/>
                    <w:outlineLvl w:val="0"/>
                    <w:rPr>
                      <w:rFonts w:hint="eastAsia"/>
                      <w:color w:val="auto"/>
                      <w:sz w:val="21"/>
                      <w:szCs w:val="21"/>
                      <w:lang w:val="en-US" w:eastAsia="zh-CN"/>
                    </w:rPr>
                  </w:pPr>
                </w:p>
              </w:tc>
              <w:tc>
                <w:tcPr>
                  <w:tcW w:w="1073" w:type="pct"/>
                  <w:noWrap w:val="0"/>
                  <w:vAlign w:val="center"/>
                </w:tcPr>
                <w:p w14:paraId="05BA75F0">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模锻管板</w:t>
                  </w:r>
                </w:p>
              </w:tc>
              <w:tc>
                <w:tcPr>
                  <w:tcW w:w="689" w:type="pct"/>
                  <w:noWrap w:val="0"/>
                  <w:vAlign w:val="center"/>
                </w:tcPr>
                <w:p w14:paraId="0A02E20B">
                  <w:pPr>
                    <w:jc w:val="center"/>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定制</w:t>
                  </w:r>
                </w:p>
              </w:tc>
              <w:tc>
                <w:tcPr>
                  <w:tcW w:w="507" w:type="pct"/>
                  <w:vMerge w:val="continue"/>
                  <w:noWrap w:val="0"/>
                  <w:vAlign w:val="center"/>
                </w:tcPr>
                <w:p w14:paraId="5C2909D7">
                  <w:pPr>
                    <w:adjustRightInd w:val="0"/>
                    <w:snapToGrid w:val="0"/>
                    <w:jc w:val="center"/>
                    <w:rPr>
                      <w:rFonts w:hint="eastAsia"/>
                      <w:color w:val="auto"/>
                      <w:kern w:val="0"/>
                      <w:szCs w:val="21"/>
                    </w:rPr>
                  </w:pPr>
                </w:p>
              </w:tc>
              <w:tc>
                <w:tcPr>
                  <w:tcW w:w="489" w:type="pct"/>
                  <w:vMerge w:val="continue"/>
                  <w:noWrap w:val="0"/>
                  <w:vAlign w:val="center"/>
                </w:tcPr>
                <w:p w14:paraId="1C507FAE">
                  <w:pPr>
                    <w:adjustRightInd w:val="0"/>
                    <w:snapToGrid w:val="0"/>
                    <w:jc w:val="center"/>
                    <w:rPr>
                      <w:rFonts w:hint="eastAsia"/>
                      <w:color w:val="auto"/>
                      <w:kern w:val="0"/>
                      <w:szCs w:val="21"/>
                    </w:rPr>
                  </w:pPr>
                </w:p>
              </w:tc>
              <w:tc>
                <w:tcPr>
                  <w:tcW w:w="480" w:type="pct"/>
                  <w:vMerge w:val="continue"/>
                  <w:noWrap w:val="0"/>
                  <w:vAlign w:val="center"/>
                </w:tcPr>
                <w:p w14:paraId="6A6C79EA">
                  <w:pPr>
                    <w:jc w:val="center"/>
                    <w:outlineLvl w:val="0"/>
                    <w:rPr>
                      <w:rFonts w:hint="eastAsia"/>
                      <w:color w:val="auto"/>
                      <w:sz w:val="21"/>
                      <w:szCs w:val="21"/>
                      <w:lang w:val="en-US" w:eastAsia="zh-CN"/>
                    </w:rPr>
                  </w:pPr>
                </w:p>
              </w:tc>
              <w:tc>
                <w:tcPr>
                  <w:tcW w:w="655" w:type="pct"/>
                  <w:vMerge w:val="continue"/>
                  <w:noWrap w:val="0"/>
                  <w:vAlign w:val="center"/>
                </w:tcPr>
                <w:p w14:paraId="2FB5F213">
                  <w:pPr>
                    <w:jc w:val="center"/>
                    <w:outlineLvl w:val="0"/>
                    <w:rPr>
                      <w:rFonts w:hint="eastAsia"/>
                      <w:color w:val="auto"/>
                      <w:sz w:val="21"/>
                      <w:szCs w:val="21"/>
                      <w:lang w:val="en-US" w:eastAsia="zh-CN"/>
                    </w:rPr>
                  </w:pPr>
                </w:p>
              </w:tc>
            </w:tr>
            <w:tr w14:paraId="387A35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6" w:type="pct"/>
                  <w:vMerge w:val="restart"/>
                  <w:noWrap w:val="0"/>
                  <w:vAlign w:val="center"/>
                </w:tcPr>
                <w:p w14:paraId="0EE001B8">
                  <w:pPr>
                    <w:jc w:val="center"/>
                    <w:outlineLvl w:val="0"/>
                    <w:rPr>
                      <w:rFonts w:hint="eastAsia" w:eastAsia="宋体"/>
                      <w:color w:val="auto"/>
                      <w:sz w:val="21"/>
                      <w:szCs w:val="21"/>
                      <w:lang w:val="en-US" w:eastAsia="zh-CN"/>
                    </w:rPr>
                  </w:pPr>
                  <w:r>
                    <w:rPr>
                      <w:rFonts w:hint="eastAsia"/>
                      <w:color w:val="auto"/>
                      <w:sz w:val="21"/>
                      <w:szCs w:val="21"/>
                      <w:lang w:val="en-US" w:eastAsia="zh-CN"/>
                    </w:rPr>
                    <w:t>2</w:t>
                  </w:r>
                </w:p>
              </w:tc>
              <w:tc>
                <w:tcPr>
                  <w:tcW w:w="748" w:type="pct"/>
                  <w:vMerge w:val="restart"/>
                  <w:noWrap w:val="0"/>
                  <w:vAlign w:val="center"/>
                </w:tcPr>
                <w:p w14:paraId="2F693528">
                  <w:pPr>
                    <w:jc w:val="center"/>
                    <w:outlineLvl w:val="0"/>
                    <w:rPr>
                      <w:rFonts w:hint="default"/>
                      <w:color w:val="auto"/>
                      <w:sz w:val="21"/>
                      <w:szCs w:val="21"/>
                      <w:lang w:val="en-US" w:eastAsia="zh-CN"/>
                    </w:rPr>
                  </w:pPr>
                  <w:r>
                    <w:rPr>
                      <w:rFonts w:hint="eastAsia"/>
                      <w:color w:val="auto"/>
                      <w:sz w:val="21"/>
                      <w:szCs w:val="21"/>
                      <w:lang w:val="en-US" w:eastAsia="zh-CN"/>
                    </w:rPr>
                    <w:t>自由锻生产线</w:t>
                  </w:r>
                </w:p>
              </w:tc>
              <w:tc>
                <w:tcPr>
                  <w:tcW w:w="1073" w:type="pct"/>
                  <w:noWrap w:val="0"/>
                  <w:vAlign w:val="center"/>
                </w:tcPr>
                <w:p w14:paraId="4036122C">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自由锻台阶轴</w:t>
                  </w:r>
                </w:p>
              </w:tc>
              <w:tc>
                <w:tcPr>
                  <w:tcW w:w="689" w:type="pct"/>
                  <w:noWrap w:val="0"/>
                  <w:vAlign w:val="center"/>
                </w:tcPr>
                <w:p w14:paraId="43B2426B">
                  <w:pPr>
                    <w:jc w:val="center"/>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定制</w:t>
                  </w:r>
                </w:p>
              </w:tc>
              <w:tc>
                <w:tcPr>
                  <w:tcW w:w="507" w:type="pct"/>
                  <w:vMerge w:val="restart"/>
                  <w:noWrap w:val="0"/>
                  <w:vAlign w:val="center"/>
                </w:tcPr>
                <w:p w14:paraId="058D25B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rPr>
                    <w:t>8000</w:t>
                  </w:r>
                </w:p>
              </w:tc>
              <w:tc>
                <w:tcPr>
                  <w:tcW w:w="489" w:type="pct"/>
                  <w:vMerge w:val="restart"/>
                  <w:noWrap w:val="0"/>
                  <w:vAlign w:val="center"/>
                </w:tcPr>
                <w:p w14:paraId="42EA4D8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rPr>
                    <w:t>24000</w:t>
                  </w:r>
                </w:p>
              </w:tc>
              <w:tc>
                <w:tcPr>
                  <w:tcW w:w="480" w:type="pct"/>
                  <w:vMerge w:val="restart"/>
                  <w:noWrap w:val="0"/>
                  <w:vAlign w:val="center"/>
                </w:tcPr>
                <w:p w14:paraId="40284EE3">
                  <w:pPr>
                    <w:jc w:val="center"/>
                    <w:outlineLvl w:val="0"/>
                    <w:rPr>
                      <w:rFonts w:hint="default"/>
                      <w:color w:val="auto"/>
                      <w:sz w:val="21"/>
                      <w:szCs w:val="21"/>
                      <w:lang w:val="en-US" w:eastAsia="zh-CN"/>
                    </w:rPr>
                  </w:pPr>
                  <w:r>
                    <w:rPr>
                      <w:rFonts w:hint="eastAsia"/>
                      <w:color w:val="auto"/>
                      <w:sz w:val="21"/>
                      <w:szCs w:val="21"/>
                      <w:lang w:val="en-US" w:eastAsia="zh-CN"/>
                    </w:rPr>
                    <w:t>16000</w:t>
                  </w:r>
                </w:p>
              </w:tc>
              <w:tc>
                <w:tcPr>
                  <w:tcW w:w="655" w:type="pct"/>
                  <w:vMerge w:val="continue"/>
                  <w:noWrap w:val="0"/>
                  <w:vAlign w:val="center"/>
                </w:tcPr>
                <w:p w14:paraId="776C5EEE">
                  <w:pPr>
                    <w:jc w:val="center"/>
                    <w:outlineLvl w:val="0"/>
                    <w:rPr>
                      <w:rFonts w:hint="eastAsia"/>
                      <w:color w:val="auto"/>
                      <w:sz w:val="21"/>
                      <w:szCs w:val="21"/>
                      <w:lang w:val="en-US" w:eastAsia="zh-CN"/>
                    </w:rPr>
                  </w:pPr>
                </w:p>
              </w:tc>
            </w:tr>
            <w:tr w14:paraId="6279C1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6" w:type="pct"/>
                  <w:vMerge w:val="continue"/>
                  <w:noWrap w:val="0"/>
                  <w:vAlign w:val="center"/>
                </w:tcPr>
                <w:p w14:paraId="3C76B7DB">
                  <w:pPr>
                    <w:jc w:val="center"/>
                    <w:outlineLvl w:val="0"/>
                    <w:rPr>
                      <w:rFonts w:hint="eastAsia"/>
                      <w:color w:val="auto"/>
                      <w:sz w:val="21"/>
                      <w:szCs w:val="21"/>
                      <w:lang w:val="en-US" w:eastAsia="zh-CN"/>
                    </w:rPr>
                  </w:pPr>
                </w:p>
              </w:tc>
              <w:tc>
                <w:tcPr>
                  <w:tcW w:w="748" w:type="pct"/>
                  <w:vMerge w:val="continue"/>
                  <w:noWrap w:val="0"/>
                  <w:vAlign w:val="center"/>
                </w:tcPr>
                <w:p w14:paraId="26E4179F">
                  <w:pPr>
                    <w:jc w:val="center"/>
                    <w:outlineLvl w:val="0"/>
                    <w:rPr>
                      <w:rFonts w:hint="eastAsia"/>
                      <w:color w:val="auto"/>
                      <w:sz w:val="21"/>
                      <w:szCs w:val="21"/>
                      <w:lang w:val="en-US" w:eastAsia="zh-CN"/>
                    </w:rPr>
                  </w:pPr>
                </w:p>
              </w:tc>
              <w:tc>
                <w:tcPr>
                  <w:tcW w:w="1073" w:type="pct"/>
                  <w:noWrap w:val="0"/>
                  <w:vAlign w:val="center"/>
                </w:tcPr>
                <w:p w14:paraId="3F7C5317">
                  <w:pPr>
                    <w:spacing w:line="4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自由锻齿轮坯</w:t>
                  </w:r>
                </w:p>
              </w:tc>
              <w:tc>
                <w:tcPr>
                  <w:tcW w:w="689" w:type="pct"/>
                  <w:noWrap w:val="0"/>
                  <w:vAlign w:val="center"/>
                </w:tcPr>
                <w:p w14:paraId="280F997B">
                  <w:pPr>
                    <w:jc w:val="center"/>
                    <w:rPr>
                      <w:rFonts w:hint="eastAsia" w:eastAsia="宋体"/>
                      <w:color w:val="auto"/>
                      <w:kern w:val="0"/>
                      <w:sz w:val="21"/>
                      <w:szCs w:val="22"/>
                      <w:lang w:val="en-US" w:eastAsia="zh-CN"/>
                    </w:rPr>
                  </w:pPr>
                  <w:r>
                    <w:rPr>
                      <w:rFonts w:hint="eastAsia"/>
                      <w:color w:val="auto"/>
                      <w:kern w:val="0"/>
                      <w:sz w:val="21"/>
                      <w:szCs w:val="22"/>
                      <w:lang w:val="en-US" w:eastAsia="zh-CN"/>
                    </w:rPr>
                    <w:t>定制</w:t>
                  </w:r>
                </w:p>
              </w:tc>
              <w:tc>
                <w:tcPr>
                  <w:tcW w:w="507" w:type="pct"/>
                  <w:vMerge w:val="continue"/>
                  <w:noWrap w:val="0"/>
                  <w:vAlign w:val="center"/>
                </w:tcPr>
                <w:p w14:paraId="66260C61">
                  <w:pPr>
                    <w:adjustRightInd w:val="0"/>
                    <w:snapToGrid w:val="0"/>
                    <w:jc w:val="center"/>
                    <w:rPr>
                      <w:rFonts w:hint="eastAsia"/>
                      <w:color w:val="auto"/>
                      <w:kern w:val="0"/>
                      <w:szCs w:val="21"/>
                    </w:rPr>
                  </w:pPr>
                </w:p>
              </w:tc>
              <w:tc>
                <w:tcPr>
                  <w:tcW w:w="489" w:type="pct"/>
                  <w:vMerge w:val="continue"/>
                  <w:noWrap w:val="0"/>
                  <w:vAlign w:val="center"/>
                </w:tcPr>
                <w:p w14:paraId="40971842">
                  <w:pPr>
                    <w:adjustRightInd w:val="0"/>
                    <w:snapToGrid w:val="0"/>
                    <w:jc w:val="center"/>
                    <w:rPr>
                      <w:rFonts w:hint="eastAsia"/>
                      <w:color w:val="auto"/>
                      <w:kern w:val="0"/>
                      <w:szCs w:val="21"/>
                    </w:rPr>
                  </w:pPr>
                </w:p>
              </w:tc>
              <w:tc>
                <w:tcPr>
                  <w:tcW w:w="480" w:type="pct"/>
                  <w:vMerge w:val="continue"/>
                  <w:noWrap w:val="0"/>
                  <w:vAlign w:val="center"/>
                </w:tcPr>
                <w:p w14:paraId="29D1CB36">
                  <w:pPr>
                    <w:jc w:val="center"/>
                    <w:outlineLvl w:val="0"/>
                    <w:rPr>
                      <w:rFonts w:hint="eastAsia"/>
                      <w:color w:val="auto"/>
                      <w:sz w:val="21"/>
                      <w:szCs w:val="21"/>
                      <w:lang w:val="en-US" w:eastAsia="zh-CN"/>
                    </w:rPr>
                  </w:pPr>
                </w:p>
              </w:tc>
              <w:tc>
                <w:tcPr>
                  <w:tcW w:w="655" w:type="pct"/>
                  <w:vMerge w:val="continue"/>
                  <w:noWrap w:val="0"/>
                  <w:vAlign w:val="center"/>
                </w:tcPr>
                <w:p w14:paraId="1F526FE2">
                  <w:pPr>
                    <w:jc w:val="center"/>
                    <w:outlineLvl w:val="0"/>
                    <w:rPr>
                      <w:rFonts w:hint="eastAsia"/>
                      <w:color w:val="auto"/>
                      <w:sz w:val="21"/>
                      <w:szCs w:val="21"/>
                      <w:lang w:val="en-US" w:eastAsia="zh-CN"/>
                    </w:rPr>
                  </w:pPr>
                </w:p>
              </w:tc>
            </w:tr>
            <w:tr w14:paraId="1444FB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8"/>
                  <w:noWrap w:val="0"/>
                  <w:vAlign w:val="center"/>
                </w:tcPr>
                <w:p w14:paraId="24364C8A">
                  <w:pPr>
                    <w:jc w:val="both"/>
                    <w:outlineLvl w:val="0"/>
                    <w:rPr>
                      <w:rFonts w:hint="default"/>
                      <w:color w:val="auto"/>
                      <w:sz w:val="21"/>
                      <w:szCs w:val="21"/>
                      <w:lang w:val="en-US" w:eastAsia="zh-CN"/>
                    </w:rPr>
                  </w:pPr>
                  <w:r>
                    <w:rPr>
                      <w:rFonts w:hint="eastAsia"/>
                      <w:color w:val="auto"/>
                      <w:sz w:val="21"/>
                      <w:szCs w:val="21"/>
                      <w:lang w:val="en-US" w:eastAsia="zh-CN"/>
                    </w:rPr>
                    <w:t>备注：企业的产品规格及加工参数均由客户提供，无固定规格，为客户定制。</w:t>
                  </w:r>
                </w:p>
              </w:tc>
            </w:tr>
          </w:tbl>
          <w:p w14:paraId="014C1B54">
            <w:pPr>
              <w:snapToGrid w:val="0"/>
              <w:spacing w:line="360" w:lineRule="auto"/>
              <w:ind w:firstLine="422" w:firstLineChars="200"/>
              <w:rPr>
                <w:b/>
                <w:bCs/>
                <w:color w:val="auto"/>
                <w:sz w:val="21"/>
                <w:szCs w:val="21"/>
              </w:rPr>
            </w:pPr>
            <w:r>
              <w:rPr>
                <w:rFonts w:hint="eastAsia"/>
                <w:b/>
                <w:bCs/>
                <w:color w:val="auto"/>
                <w:sz w:val="21"/>
                <w:szCs w:val="21"/>
              </w:rPr>
              <w:t>4</w:t>
            </w:r>
            <w:r>
              <w:rPr>
                <w:b/>
                <w:bCs/>
                <w:color w:val="auto"/>
                <w:sz w:val="21"/>
                <w:szCs w:val="21"/>
              </w:rPr>
              <w:t>、主要生产设施</w:t>
            </w:r>
          </w:p>
          <w:p w14:paraId="4CF9D91A">
            <w:pPr>
              <w:adjustRightInd w:val="0"/>
              <w:snapToGrid w:val="0"/>
              <w:spacing w:line="360" w:lineRule="auto"/>
              <w:jc w:val="center"/>
              <w:rPr>
                <w:rFonts w:hint="eastAsia"/>
                <w:b/>
                <w:bCs/>
                <w:color w:val="auto"/>
                <w:sz w:val="21"/>
                <w:szCs w:val="21"/>
              </w:rPr>
            </w:pPr>
            <w:r>
              <w:rPr>
                <w:b/>
                <w:bCs/>
                <w:color w:val="auto"/>
                <w:sz w:val="21"/>
                <w:szCs w:val="21"/>
              </w:rPr>
              <w:t>表2-</w:t>
            </w:r>
            <w:r>
              <w:rPr>
                <w:rFonts w:hint="eastAsia"/>
                <w:b/>
                <w:bCs/>
                <w:color w:val="auto"/>
                <w:sz w:val="21"/>
                <w:szCs w:val="21"/>
                <w:lang w:val="en-US" w:eastAsia="zh-CN"/>
              </w:rPr>
              <w:t>3</w:t>
            </w:r>
            <w:r>
              <w:rPr>
                <w:b/>
                <w:bCs/>
                <w:color w:val="auto"/>
                <w:sz w:val="21"/>
                <w:szCs w:val="21"/>
              </w:rPr>
              <w:t xml:space="preserve">  </w:t>
            </w:r>
            <w:r>
              <w:rPr>
                <w:rFonts w:hint="eastAsia"/>
                <w:b/>
                <w:bCs/>
                <w:color w:val="auto"/>
                <w:sz w:val="21"/>
                <w:szCs w:val="21"/>
                <w:lang w:eastAsia="zh-CN"/>
              </w:rPr>
              <w:t>本</w:t>
            </w:r>
            <w:r>
              <w:rPr>
                <w:b/>
                <w:bCs/>
                <w:color w:val="auto"/>
                <w:sz w:val="21"/>
                <w:szCs w:val="21"/>
              </w:rPr>
              <w:t>项目主要生产</w:t>
            </w:r>
            <w:r>
              <w:rPr>
                <w:rFonts w:hint="eastAsia"/>
                <w:b/>
                <w:bCs/>
                <w:color w:val="auto"/>
                <w:sz w:val="21"/>
                <w:szCs w:val="21"/>
              </w:rPr>
              <w:t>设</w:t>
            </w:r>
            <w:r>
              <w:rPr>
                <w:b/>
                <w:bCs/>
                <w:color w:val="auto"/>
                <w:sz w:val="21"/>
                <w:szCs w:val="21"/>
              </w:rPr>
              <w:t>施一览表</w:t>
            </w:r>
          </w:p>
          <w:tbl>
            <w:tblPr>
              <w:tblStyle w:val="42"/>
              <w:tblW w:w="82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835"/>
              <w:gridCol w:w="1924"/>
              <w:gridCol w:w="1051"/>
              <w:gridCol w:w="1066"/>
              <w:gridCol w:w="915"/>
              <w:gridCol w:w="911"/>
            </w:tblGrid>
            <w:tr w14:paraId="4622B5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14:paraId="268207C7">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1108" w:type="pct"/>
                  <w:vMerge w:val="restart"/>
                  <w:noWrap/>
                  <w:vAlign w:val="center"/>
                </w:tcPr>
                <w:p w14:paraId="4ADB4DC3">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设备名称</w:t>
                  </w:r>
                </w:p>
              </w:tc>
              <w:tc>
                <w:tcPr>
                  <w:tcW w:w="1162" w:type="pct"/>
                  <w:vMerge w:val="restart"/>
                  <w:noWrap/>
                  <w:vAlign w:val="center"/>
                </w:tcPr>
                <w:p w14:paraId="60C3DCEB">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型号</w:t>
                  </w:r>
                </w:p>
              </w:tc>
              <w:tc>
                <w:tcPr>
                  <w:tcW w:w="1831" w:type="pct"/>
                  <w:gridSpan w:val="3"/>
                  <w:noWrap/>
                  <w:vAlign w:val="center"/>
                </w:tcPr>
                <w:p w14:paraId="0965778E">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数量（台/套）</w:t>
                  </w:r>
                </w:p>
              </w:tc>
              <w:tc>
                <w:tcPr>
                  <w:tcW w:w="550" w:type="pct"/>
                  <w:vMerge w:val="restart"/>
                  <w:noWrap/>
                  <w:vAlign w:val="center"/>
                </w:tcPr>
                <w:p w14:paraId="04C64531">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备注</w:t>
                  </w:r>
                </w:p>
              </w:tc>
            </w:tr>
            <w:tr w14:paraId="39E5AF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65C9F7E4">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p>
              </w:tc>
              <w:tc>
                <w:tcPr>
                  <w:tcW w:w="1108" w:type="pct"/>
                  <w:vMerge w:val="continue"/>
                  <w:noWrap/>
                  <w:vAlign w:val="center"/>
                </w:tcPr>
                <w:p w14:paraId="3D594FFA">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p>
              </w:tc>
              <w:tc>
                <w:tcPr>
                  <w:tcW w:w="1162" w:type="pct"/>
                  <w:vMerge w:val="continue"/>
                  <w:noWrap/>
                  <w:vAlign w:val="center"/>
                </w:tcPr>
                <w:p w14:paraId="301898AC">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p>
              </w:tc>
              <w:tc>
                <w:tcPr>
                  <w:tcW w:w="634" w:type="pct"/>
                  <w:noWrap/>
                  <w:vAlign w:val="center"/>
                </w:tcPr>
                <w:p w14:paraId="654539BC">
                  <w:pPr>
                    <w:jc w:val="center"/>
                    <w:outlineLvl w:val="0"/>
                    <w:rPr>
                      <w:rFonts w:hint="default" w:ascii="Times New Roman" w:hAnsi="Times New Roman" w:eastAsia="宋体" w:cs="Times New Roman"/>
                      <w:b/>
                      <w:bCs/>
                      <w:color w:val="auto"/>
                      <w:kern w:val="2"/>
                      <w:sz w:val="21"/>
                      <w:szCs w:val="21"/>
                      <w:lang w:val="en-US" w:eastAsia="zh-CN" w:bidi="ar-SA"/>
                    </w:rPr>
                  </w:pPr>
                  <w:r>
                    <w:rPr>
                      <w:rFonts w:hint="eastAsia"/>
                      <w:b/>
                      <w:bCs/>
                      <w:color w:val="auto"/>
                      <w:sz w:val="21"/>
                      <w:szCs w:val="21"/>
                      <w:lang w:val="en-US" w:eastAsia="zh-CN"/>
                    </w:rPr>
                    <w:t>扩建</w:t>
                  </w:r>
                  <w:r>
                    <w:rPr>
                      <w:b/>
                      <w:bCs/>
                      <w:color w:val="auto"/>
                      <w:sz w:val="21"/>
                      <w:szCs w:val="21"/>
                    </w:rPr>
                    <w:t>前</w:t>
                  </w:r>
                </w:p>
              </w:tc>
              <w:tc>
                <w:tcPr>
                  <w:tcW w:w="644" w:type="pct"/>
                  <w:noWrap/>
                  <w:vAlign w:val="center"/>
                </w:tcPr>
                <w:p w14:paraId="6BE35C9C">
                  <w:pPr>
                    <w:jc w:val="center"/>
                    <w:outlineLvl w:val="0"/>
                    <w:rPr>
                      <w:rFonts w:hint="default" w:ascii="Times New Roman" w:hAnsi="Times New Roman" w:eastAsia="宋体" w:cs="Times New Roman"/>
                      <w:b/>
                      <w:bCs/>
                      <w:color w:val="auto"/>
                      <w:kern w:val="2"/>
                      <w:sz w:val="21"/>
                      <w:szCs w:val="21"/>
                      <w:lang w:val="en-US" w:eastAsia="zh-CN" w:bidi="ar-SA"/>
                    </w:rPr>
                  </w:pPr>
                  <w:r>
                    <w:rPr>
                      <w:rFonts w:hint="eastAsia"/>
                      <w:b/>
                      <w:bCs/>
                      <w:color w:val="auto"/>
                      <w:sz w:val="21"/>
                      <w:szCs w:val="21"/>
                      <w:lang w:val="en-US" w:eastAsia="zh-CN"/>
                    </w:rPr>
                    <w:t>扩建</w:t>
                  </w:r>
                  <w:r>
                    <w:rPr>
                      <w:b/>
                      <w:bCs/>
                      <w:color w:val="auto"/>
                      <w:sz w:val="21"/>
                      <w:szCs w:val="21"/>
                    </w:rPr>
                    <w:t>后</w:t>
                  </w:r>
                </w:p>
              </w:tc>
              <w:tc>
                <w:tcPr>
                  <w:tcW w:w="552" w:type="pct"/>
                  <w:noWrap/>
                  <w:vAlign w:val="center"/>
                </w:tcPr>
                <w:p w14:paraId="2836BFE5">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变化量</w:t>
                  </w:r>
                </w:p>
              </w:tc>
              <w:tc>
                <w:tcPr>
                  <w:tcW w:w="550" w:type="pct"/>
                  <w:vMerge w:val="continue"/>
                  <w:noWrap/>
                  <w:vAlign w:val="center"/>
                </w:tcPr>
                <w:p w14:paraId="3F506232">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auto"/>
                      <w:sz w:val="21"/>
                      <w:szCs w:val="21"/>
                    </w:rPr>
                  </w:pPr>
                </w:p>
              </w:tc>
            </w:tr>
            <w:tr w14:paraId="068BFC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250E7AF9">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w:t>
                  </w:r>
                </w:p>
              </w:tc>
              <w:tc>
                <w:tcPr>
                  <w:tcW w:w="1108" w:type="pct"/>
                  <w:noWrap/>
                  <w:vAlign w:val="center"/>
                </w:tcPr>
                <w:p w14:paraId="70B26754">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反射炉</w:t>
                  </w:r>
                </w:p>
                <w:p w14:paraId="696D9A4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（燃煤锅炉）</w:t>
                  </w:r>
                </w:p>
              </w:tc>
              <w:tc>
                <w:tcPr>
                  <w:tcW w:w="1162" w:type="pct"/>
                  <w:noWrap/>
                  <w:vAlign w:val="center"/>
                </w:tcPr>
                <w:p w14:paraId="45276AC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634" w:type="pct"/>
                  <w:noWrap/>
                  <w:vAlign w:val="center"/>
                </w:tcPr>
                <w:p w14:paraId="2CD6785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w:t>
                  </w:r>
                </w:p>
              </w:tc>
              <w:tc>
                <w:tcPr>
                  <w:tcW w:w="644" w:type="pct"/>
                  <w:noWrap/>
                  <w:vAlign w:val="center"/>
                </w:tcPr>
                <w:p w14:paraId="7C68C9E4">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52" w:type="pct"/>
                  <w:noWrap/>
                  <w:vAlign w:val="center"/>
                </w:tcPr>
                <w:p w14:paraId="2C3A014E">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w:t>
                  </w:r>
                </w:p>
              </w:tc>
              <w:tc>
                <w:tcPr>
                  <w:tcW w:w="550" w:type="pct"/>
                  <w:noWrap/>
                  <w:vAlign w:val="center"/>
                </w:tcPr>
                <w:p w14:paraId="11EB65A3">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加热</w:t>
                  </w:r>
                </w:p>
              </w:tc>
            </w:tr>
            <w:tr w14:paraId="1C833E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0BE0A2C3">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2</w:t>
                  </w:r>
                </w:p>
              </w:tc>
              <w:tc>
                <w:tcPr>
                  <w:tcW w:w="1108" w:type="pct"/>
                  <w:noWrap/>
                  <w:vAlign w:val="center"/>
                </w:tcPr>
                <w:p w14:paraId="19263CE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自动带锯</w:t>
                  </w:r>
                </w:p>
              </w:tc>
              <w:tc>
                <w:tcPr>
                  <w:tcW w:w="1162" w:type="pct"/>
                  <w:noWrap/>
                  <w:vAlign w:val="center"/>
                </w:tcPr>
                <w:p w14:paraId="589D2FE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MF1107</w:t>
                  </w:r>
                </w:p>
              </w:tc>
              <w:tc>
                <w:tcPr>
                  <w:tcW w:w="634" w:type="pct"/>
                  <w:noWrap/>
                  <w:vAlign w:val="center"/>
                </w:tcPr>
                <w:p w14:paraId="359CC4A6">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644" w:type="pct"/>
                  <w:noWrap/>
                  <w:vAlign w:val="center"/>
                </w:tcPr>
                <w:p w14:paraId="4631620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552" w:type="pct"/>
                  <w:noWrap/>
                  <w:vAlign w:val="center"/>
                </w:tcPr>
                <w:p w14:paraId="4A86A003">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noWrap/>
                  <w:vAlign w:val="center"/>
                </w:tcPr>
                <w:p w14:paraId="19DE47F8">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下料</w:t>
                  </w:r>
                </w:p>
              </w:tc>
            </w:tr>
            <w:tr w14:paraId="2C16EF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14:paraId="285D6CFD">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w:t>
                  </w:r>
                </w:p>
              </w:tc>
              <w:tc>
                <w:tcPr>
                  <w:tcW w:w="1108" w:type="pct"/>
                  <w:vMerge w:val="restart"/>
                  <w:noWrap/>
                  <w:vAlign w:val="center"/>
                </w:tcPr>
                <w:p w14:paraId="25D070D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电液锤</w:t>
                  </w:r>
                </w:p>
              </w:tc>
              <w:tc>
                <w:tcPr>
                  <w:tcW w:w="1162" w:type="pct"/>
                  <w:noWrap/>
                  <w:vAlign w:val="center"/>
                </w:tcPr>
                <w:p w14:paraId="0D9CD55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8t</w:t>
                  </w:r>
                </w:p>
              </w:tc>
              <w:tc>
                <w:tcPr>
                  <w:tcW w:w="634" w:type="pct"/>
                  <w:noWrap/>
                  <w:vAlign w:val="center"/>
                </w:tcPr>
                <w:p w14:paraId="0503E86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2F705EB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38587028">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restart"/>
                  <w:noWrap/>
                  <w:vAlign w:val="center"/>
                </w:tcPr>
                <w:p w14:paraId="4BC1892E">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锻造</w:t>
                  </w:r>
                </w:p>
              </w:tc>
            </w:tr>
            <w:tr w14:paraId="6D40B6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192D59F1">
                  <w:pPr>
                    <w:jc w:val="center"/>
                    <w:outlineLvl w:val="0"/>
                    <w:rPr>
                      <w:rFonts w:hint="default" w:ascii="Times New Roman" w:hAnsi="Times New Roman" w:cs="Times New Roman"/>
                      <w:color w:val="auto"/>
                      <w:sz w:val="21"/>
                      <w:szCs w:val="21"/>
                    </w:rPr>
                  </w:pPr>
                </w:p>
              </w:tc>
              <w:tc>
                <w:tcPr>
                  <w:tcW w:w="1108" w:type="pct"/>
                  <w:vMerge w:val="continue"/>
                  <w:noWrap/>
                  <w:vAlign w:val="center"/>
                </w:tcPr>
                <w:p w14:paraId="4F4B8799">
                  <w:pPr>
                    <w:jc w:val="center"/>
                    <w:rPr>
                      <w:rFonts w:hint="default" w:ascii="Times New Roman" w:hAnsi="Times New Roman" w:cs="Times New Roman"/>
                      <w:color w:val="auto"/>
                      <w:kern w:val="2"/>
                      <w:sz w:val="21"/>
                      <w:szCs w:val="21"/>
                      <w:lang w:val="en-US" w:eastAsia="zh-CN" w:bidi="ar-SA"/>
                    </w:rPr>
                  </w:pPr>
                </w:p>
              </w:tc>
              <w:tc>
                <w:tcPr>
                  <w:tcW w:w="1162" w:type="pct"/>
                  <w:noWrap/>
                  <w:vAlign w:val="center"/>
                </w:tcPr>
                <w:p w14:paraId="4A25789D">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3t</w:t>
                  </w:r>
                </w:p>
              </w:tc>
              <w:tc>
                <w:tcPr>
                  <w:tcW w:w="634" w:type="pct"/>
                  <w:noWrap/>
                  <w:vAlign w:val="center"/>
                </w:tcPr>
                <w:p w14:paraId="2EFEFEF3">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143570F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44BF26B8">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continue"/>
                  <w:noWrap/>
                  <w:vAlign w:val="center"/>
                </w:tcPr>
                <w:p w14:paraId="17D19124">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146119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14:paraId="679DCD90">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w:t>
                  </w:r>
                </w:p>
              </w:tc>
              <w:tc>
                <w:tcPr>
                  <w:tcW w:w="1108" w:type="pct"/>
                  <w:vMerge w:val="restart"/>
                  <w:noWrap/>
                  <w:vAlign w:val="center"/>
                </w:tcPr>
                <w:p w14:paraId="3B6A7B1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行车</w:t>
                  </w:r>
                </w:p>
              </w:tc>
              <w:tc>
                <w:tcPr>
                  <w:tcW w:w="1162" w:type="pct"/>
                  <w:noWrap/>
                  <w:vAlign w:val="center"/>
                </w:tcPr>
                <w:p w14:paraId="4D19AEA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20t</w:t>
                  </w:r>
                </w:p>
              </w:tc>
              <w:tc>
                <w:tcPr>
                  <w:tcW w:w="634" w:type="pct"/>
                  <w:noWrap/>
                  <w:vAlign w:val="center"/>
                </w:tcPr>
                <w:p w14:paraId="4439F9B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24B9CBF0">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493F999E">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restart"/>
                  <w:noWrap/>
                  <w:vAlign w:val="center"/>
                </w:tcPr>
                <w:p w14:paraId="6EFA6922">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机加工</w:t>
                  </w:r>
                </w:p>
              </w:tc>
            </w:tr>
            <w:tr w14:paraId="03B850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79D04B0A">
                  <w:pPr>
                    <w:jc w:val="center"/>
                    <w:outlineLvl w:val="0"/>
                    <w:rPr>
                      <w:rFonts w:hint="default" w:ascii="Times New Roman" w:hAnsi="Times New Roman" w:cs="Times New Roman"/>
                      <w:color w:val="auto"/>
                      <w:sz w:val="21"/>
                      <w:szCs w:val="21"/>
                    </w:rPr>
                  </w:pPr>
                </w:p>
              </w:tc>
              <w:tc>
                <w:tcPr>
                  <w:tcW w:w="1108" w:type="pct"/>
                  <w:vMerge w:val="continue"/>
                  <w:noWrap/>
                  <w:vAlign w:val="center"/>
                </w:tcPr>
                <w:p w14:paraId="6DB26677">
                  <w:pPr>
                    <w:jc w:val="center"/>
                    <w:rPr>
                      <w:rFonts w:hint="default" w:ascii="Times New Roman" w:hAnsi="Times New Roman" w:cs="Times New Roman"/>
                      <w:color w:val="auto"/>
                      <w:kern w:val="2"/>
                      <w:sz w:val="21"/>
                      <w:szCs w:val="21"/>
                      <w:lang w:val="en-US" w:eastAsia="zh-CN" w:bidi="ar-SA"/>
                    </w:rPr>
                  </w:pPr>
                </w:p>
              </w:tc>
              <w:tc>
                <w:tcPr>
                  <w:tcW w:w="1162" w:type="pct"/>
                  <w:noWrap/>
                  <w:vAlign w:val="center"/>
                </w:tcPr>
                <w:p w14:paraId="2E4690C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10t</w:t>
                  </w:r>
                </w:p>
              </w:tc>
              <w:tc>
                <w:tcPr>
                  <w:tcW w:w="634" w:type="pct"/>
                  <w:noWrap/>
                  <w:vAlign w:val="center"/>
                </w:tcPr>
                <w:p w14:paraId="11C498C2">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20C0F9E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77A4F774">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continue"/>
                  <w:noWrap/>
                  <w:vAlign w:val="center"/>
                </w:tcPr>
                <w:p w14:paraId="45D668B9">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p>
              </w:tc>
            </w:tr>
            <w:tr w14:paraId="479098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67358C57">
                  <w:pPr>
                    <w:jc w:val="center"/>
                    <w:outlineLvl w:val="0"/>
                    <w:rPr>
                      <w:rFonts w:hint="default" w:ascii="Times New Roman" w:hAnsi="Times New Roman" w:cs="Times New Roman"/>
                      <w:color w:val="auto"/>
                      <w:sz w:val="21"/>
                      <w:szCs w:val="21"/>
                    </w:rPr>
                  </w:pPr>
                </w:p>
              </w:tc>
              <w:tc>
                <w:tcPr>
                  <w:tcW w:w="1108" w:type="pct"/>
                  <w:vMerge w:val="continue"/>
                  <w:noWrap/>
                  <w:vAlign w:val="center"/>
                </w:tcPr>
                <w:p w14:paraId="0262A4D2">
                  <w:pPr>
                    <w:jc w:val="center"/>
                    <w:rPr>
                      <w:rFonts w:hint="default" w:ascii="Times New Roman" w:hAnsi="Times New Roman" w:cs="Times New Roman"/>
                      <w:color w:val="auto"/>
                      <w:kern w:val="2"/>
                      <w:sz w:val="21"/>
                      <w:szCs w:val="21"/>
                      <w:lang w:val="en-US" w:eastAsia="zh-CN" w:bidi="ar-SA"/>
                    </w:rPr>
                  </w:pPr>
                </w:p>
              </w:tc>
              <w:tc>
                <w:tcPr>
                  <w:tcW w:w="1162" w:type="pct"/>
                  <w:noWrap/>
                  <w:vAlign w:val="center"/>
                </w:tcPr>
                <w:p w14:paraId="694E66B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16t</w:t>
                  </w:r>
                </w:p>
              </w:tc>
              <w:tc>
                <w:tcPr>
                  <w:tcW w:w="634" w:type="pct"/>
                  <w:noWrap/>
                  <w:vAlign w:val="center"/>
                </w:tcPr>
                <w:p w14:paraId="1036E945">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1D798C4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390ECA97">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continue"/>
                  <w:noWrap/>
                  <w:vAlign w:val="center"/>
                </w:tcPr>
                <w:p w14:paraId="00EE9EA0">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p>
              </w:tc>
            </w:tr>
            <w:tr w14:paraId="4AAF38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577203A4">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1108" w:type="pct"/>
                  <w:noWrap/>
                  <w:vAlign w:val="center"/>
                </w:tcPr>
                <w:p w14:paraId="6E5C038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车床</w:t>
                  </w:r>
                </w:p>
              </w:tc>
              <w:tc>
                <w:tcPr>
                  <w:tcW w:w="1162" w:type="pct"/>
                  <w:noWrap/>
                  <w:vAlign w:val="center"/>
                </w:tcPr>
                <w:p w14:paraId="2FE9FDD6">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1550T立式、C7212</w:t>
                  </w:r>
                </w:p>
              </w:tc>
              <w:tc>
                <w:tcPr>
                  <w:tcW w:w="634" w:type="pct"/>
                  <w:noWrap/>
                  <w:vAlign w:val="center"/>
                </w:tcPr>
                <w:p w14:paraId="2DE9D51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644" w:type="pct"/>
                  <w:noWrap/>
                  <w:vAlign w:val="center"/>
                </w:tcPr>
                <w:p w14:paraId="0D360350">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552" w:type="pct"/>
                  <w:noWrap/>
                  <w:vAlign w:val="center"/>
                </w:tcPr>
                <w:p w14:paraId="60335EEE">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vMerge w:val="continue"/>
                  <w:noWrap/>
                  <w:vAlign w:val="center"/>
                </w:tcPr>
                <w:p w14:paraId="4EC81EA9">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2494B6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7702CFCF">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w:t>
                  </w:r>
                </w:p>
              </w:tc>
              <w:tc>
                <w:tcPr>
                  <w:tcW w:w="1108" w:type="pct"/>
                  <w:noWrap/>
                  <w:vAlign w:val="center"/>
                </w:tcPr>
                <w:p w14:paraId="1160B39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高频电</w:t>
                  </w:r>
                  <w:r>
                    <w:rPr>
                      <w:rFonts w:hint="eastAsia" w:cs="Times New Roman"/>
                      <w:color w:val="auto"/>
                      <w:kern w:val="2"/>
                      <w:sz w:val="21"/>
                      <w:szCs w:val="21"/>
                      <w:lang w:val="en-US" w:eastAsia="zh-CN" w:bidi="ar-SA"/>
                    </w:rPr>
                    <w:t>阻</w:t>
                  </w:r>
                  <w:r>
                    <w:rPr>
                      <w:rFonts w:hint="default" w:ascii="Times New Roman" w:hAnsi="Times New Roman" w:cs="Times New Roman"/>
                      <w:color w:val="auto"/>
                      <w:kern w:val="2"/>
                      <w:sz w:val="21"/>
                      <w:szCs w:val="21"/>
                      <w:lang w:val="en-US" w:eastAsia="zh-CN" w:bidi="ar-SA"/>
                    </w:rPr>
                    <w:t>炉</w:t>
                  </w:r>
                </w:p>
              </w:tc>
              <w:tc>
                <w:tcPr>
                  <w:tcW w:w="1162" w:type="pct"/>
                  <w:noWrap/>
                  <w:vAlign w:val="center"/>
                </w:tcPr>
                <w:p w14:paraId="0B9769C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GGC</w:t>
                  </w:r>
                </w:p>
              </w:tc>
              <w:tc>
                <w:tcPr>
                  <w:tcW w:w="634" w:type="pct"/>
                  <w:noWrap/>
                  <w:vAlign w:val="center"/>
                </w:tcPr>
                <w:p w14:paraId="117E9F0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165502E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1F1D01FB">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noWrap/>
                  <w:vAlign w:val="center"/>
                </w:tcPr>
                <w:p w14:paraId="61B1A097">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热处理</w:t>
                  </w:r>
                </w:p>
              </w:tc>
            </w:tr>
            <w:tr w14:paraId="6565C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42BE7A5D">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w:t>
                  </w:r>
                </w:p>
              </w:tc>
              <w:tc>
                <w:tcPr>
                  <w:tcW w:w="1108" w:type="pct"/>
                  <w:noWrap/>
                  <w:vAlign w:val="center"/>
                </w:tcPr>
                <w:p w14:paraId="10F59B7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摩擦压力机</w:t>
                  </w:r>
                </w:p>
              </w:tc>
              <w:tc>
                <w:tcPr>
                  <w:tcW w:w="1162" w:type="pct"/>
                  <w:noWrap/>
                  <w:vAlign w:val="center"/>
                </w:tcPr>
                <w:p w14:paraId="26208BC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J93</w:t>
                  </w:r>
                </w:p>
              </w:tc>
              <w:tc>
                <w:tcPr>
                  <w:tcW w:w="634" w:type="pct"/>
                  <w:noWrap/>
                  <w:vAlign w:val="center"/>
                </w:tcPr>
                <w:p w14:paraId="268F08D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644" w:type="pct"/>
                  <w:noWrap/>
                  <w:vAlign w:val="center"/>
                </w:tcPr>
                <w:p w14:paraId="2C7B34B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52" w:type="pct"/>
                  <w:noWrap/>
                  <w:vAlign w:val="center"/>
                </w:tcPr>
                <w:p w14:paraId="49053E77">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noWrap/>
                  <w:vAlign w:val="center"/>
                </w:tcPr>
                <w:p w14:paraId="2CB3D1C5">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r>
            <w:tr w14:paraId="385E7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6DFFC61C">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8</w:t>
                  </w:r>
                </w:p>
              </w:tc>
              <w:tc>
                <w:tcPr>
                  <w:tcW w:w="1108" w:type="pct"/>
                  <w:noWrap/>
                  <w:vAlign w:val="center"/>
                </w:tcPr>
                <w:p w14:paraId="67A6E4A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电动机</w:t>
                  </w:r>
                </w:p>
              </w:tc>
              <w:tc>
                <w:tcPr>
                  <w:tcW w:w="1162" w:type="pct"/>
                  <w:noWrap/>
                  <w:vAlign w:val="center"/>
                </w:tcPr>
                <w:p w14:paraId="4F33DF14">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YCT</w:t>
                  </w:r>
                </w:p>
              </w:tc>
              <w:tc>
                <w:tcPr>
                  <w:tcW w:w="634" w:type="pct"/>
                  <w:noWrap/>
                  <w:vAlign w:val="center"/>
                </w:tcPr>
                <w:p w14:paraId="7BD6F89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644" w:type="pct"/>
                  <w:noWrap/>
                  <w:vAlign w:val="center"/>
                </w:tcPr>
                <w:p w14:paraId="460BC986">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552" w:type="pct"/>
                  <w:noWrap/>
                  <w:vAlign w:val="center"/>
                </w:tcPr>
                <w:p w14:paraId="13926BA2">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w:t>
                  </w:r>
                </w:p>
              </w:tc>
              <w:tc>
                <w:tcPr>
                  <w:tcW w:w="550" w:type="pct"/>
                  <w:noWrap/>
                  <w:vAlign w:val="center"/>
                </w:tcPr>
                <w:p w14:paraId="2A9D28DD">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提供大功率动力</w:t>
                  </w:r>
                </w:p>
              </w:tc>
            </w:tr>
            <w:tr w14:paraId="2860E6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3D3CFA6C">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w:t>
                  </w:r>
                </w:p>
              </w:tc>
              <w:tc>
                <w:tcPr>
                  <w:tcW w:w="1108" w:type="pct"/>
                  <w:noWrap/>
                  <w:vAlign w:val="center"/>
                </w:tcPr>
                <w:p w14:paraId="562F1A8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天然气加热炉</w:t>
                  </w:r>
                  <w:r>
                    <w:rPr>
                      <w:rFonts w:hint="eastAsia"/>
                      <w:color w:val="auto"/>
                      <w:szCs w:val="21"/>
                      <w:lang w:val="en-US" w:eastAsia="zh-CN"/>
                    </w:rPr>
                    <w:t xml:space="preserve"> </w:t>
                  </w:r>
                </w:p>
              </w:tc>
              <w:tc>
                <w:tcPr>
                  <w:tcW w:w="1162" w:type="pct"/>
                  <w:noWrap/>
                  <w:vAlign w:val="center"/>
                </w:tcPr>
                <w:p w14:paraId="15C0438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1.7t/h</w:t>
                  </w:r>
                </w:p>
              </w:tc>
              <w:tc>
                <w:tcPr>
                  <w:tcW w:w="634" w:type="pct"/>
                  <w:noWrap/>
                  <w:vAlign w:val="center"/>
                </w:tcPr>
                <w:p w14:paraId="33E2452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644" w:type="pct"/>
                  <w:noWrap/>
                  <w:vAlign w:val="center"/>
                </w:tcPr>
                <w:p w14:paraId="54539869">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w:t>
                  </w:r>
                </w:p>
              </w:tc>
              <w:tc>
                <w:tcPr>
                  <w:tcW w:w="552" w:type="pct"/>
                  <w:noWrap/>
                  <w:vAlign w:val="center"/>
                </w:tcPr>
                <w:p w14:paraId="6C617390">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+7</w:t>
                  </w:r>
                </w:p>
              </w:tc>
              <w:tc>
                <w:tcPr>
                  <w:tcW w:w="550" w:type="pct"/>
                  <w:noWrap/>
                  <w:vAlign w:val="center"/>
                </w:tcPr>
                <w:p w14:paraId="61471001">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加热</w:t>
                  </w:r>
                </w:p>
              </w:tc>
            </w:tr>
            <w:tr w14:paraId="64285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14:paraId="3D7C27D7">
                  <w:pPr>
                    <w:jc w:val="center"/>
                    <w:outlineLvl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10</w:t>
                  </w:r>
                </w:p>
              </w:tc>
              <w:tc>
                <w:tcPr>
                  <w:tcW w:w="1108" w:type="pct"/>
                  <w:vMerge w:val="restart"/>
                  <w:noWrap/>
                  <w:vAlign w:val="center"/>
                </w:tcPr>
                <w:p w14:paraId="3DEC94A5">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自动带锯</w:t>
                  </w:r>
                </w:p>
              </w:tc>
              <w:tc>
                <w:tcPr>
                  <w:tcW w:w="1162" w:type="pct"/>
                  <w:noWrap/>
                  <w:vAlign w:val="center"/>
                </w:tcPr>
                <w:p w14:paraId="22533AE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GB4240</w:t>
                  </w:r>
                </w:p>
              </w:tc>
              <w:tc>
                <w:tcPr>
                  <w:tcW w:w="634" w:type="pct"/>
                  <w:noWrap/>
                  <w:vAlign w:val="center"/>
                </w:tcPr>
                <w:p w14:paraId="2CD7F146">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0E260D5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552" w:type="pct"/>
                  <w:noWrap/>
                  <w:vAlign w:val="center"/>
                </w:tcPr>
                <w:p w14:paraId="354AE26B">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w:t>
                  </w:r>
                </w:p>
              </w:tc>
              <w:tc>
                <w:tcPr>
                  <w:tcW w:w="550" w:type="pct"/>
                  <w:vMerge w:val="restart"/>
                  <w:noWrap/>
                  <w:vAlign w:val="center"/>
                </w:tcPr>
                <w:p w14:paraId="6A4C125C">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下料</w:t>
                  </w:r>
                </w:p>
              </w:tc>
            </w:tr>
            <w:tr w14:paraId="026E82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63C8BEDF">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noWrap/>
                  <w:vAlign w:val="center"/>
                </w:tcPr>
                <w:p w14:paraId="1AFAEAA0">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1162" w:type="pct"/>
                  <w:noWrap/>
                  <w:vAlign w:val="center"/>
                </w:tcPr>
                <w:p w14:paraId="5AF2AE13">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GB4250</w:t>
                  </w:r>
                </w:p>
              </w:tc>
              <w:tc>
                <w:tcPr>
                  <w:tcW w:w="634" w:type="pct"/>
                  <w:noWrap/>
                  <w:vAlign w:val="center"/>
                </w:tcPr>
                <w:p w14:paraId="2D5C9C5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2E46865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552" w:type="pct"/>
                  <w:noWrap/>
                  <w:vAlign w:val="center"/>
                </w:tcPr>
                <w:p w14:paraId="3CC84867">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continue"/>
                  <w:noWrap/>
                  <w:vAlign w:val="center"/>
                </w:tcPr>
                <w:p w14:paraId="3BA5590E">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5AEE7D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35B7E653">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noWrap/>
                  <w:vAlign w:val="center"/>
                </w:tcPr>
                <w:p w14:paraId="746141F2">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1162" w:type="pct"/>
                  <w:noWrap/>
                  <w:vAlign w:val="center"/>
                </w:tcPr>
                <w:p w14:paraId="5E5BDC04">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H400</w:t>
                  </w:r>
                </w:p>
              </w:tc>
              <w:tc>
                <w:tcPr>
                  <w:tcW w:w="634" w:type="pct"/>
                  <w:noWrap/>
                  <w:vAlign w:val="center"/>
                </w:tcPr>
                <w:p w14:paraId="15EF7C1C">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43F485E6">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552" w:type="pct"/>
                  <w:noWrap/>
                  <w:vAlign w:val="center"/>
                </w:tcPr>
                <w:p w14:paraId="18A32B16">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w:t>
                  </w:r>
                </w:p>
              </w:tc>
              <w:tc>
                <w:tcPr>
                  <w:tcW w:w="550" w:type="pct"/>
                  <w:vMerge w:val="continue"/>
                  <w:noWrap/>
                  <w:vAlign w:val="center"/>
                </w:tcPr>
                <w:p w14:paraId="1BCFEDAD">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05EADC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29C2FCAD">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noWrap/>
                  <w:vAlign w:val="center"/>
                </w:tcPr>
                <w:p w14:paraId="130510FA">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1162" w:type="pct"/>
                  <w:noWrap/>
                  <w:vAlign w:val="center"/>
                </w:tcPr>
                <w:p w14:paraId="33B3B134">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GB4230</w:t>
                  </w:r>
                </w:p>
              </w:tc>
              <w:tc>
                <w:tcPr>
                  <w:tcW w:w="634" w:type="pct"/>
                  <w:noWrap/>
                  <w:vAlign w:val="center"/>
                </w:tcPr>
                <w:p w14:paraId="011C59E3">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3902A7F3">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552" w:type="pct"/>
                  <w:noWrap/>
                  <w:vAlign w:val="center"/>
                </w:tcPr>
                <w:p w14:paraId="33309E35">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continue"/>
                  <w:noWrap/>
                  <w:vAlign w:val="center"/>
                </w:tcPr>
                <w:p w14:paraId="7E7D6FE3">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086B62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14:paraId="33B87E85">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11</w:t>
                  </w:r>
                </w:p>
              </w:tc>
              <w:tc>
                <w:tcPr>
                  <w:tcW w:w="1108" w:type="pct"/>
                  <w:noWrap/>
                  <w:vAlign w:val="center"/>
                </w:tcPr>
                <w:p w14:paraId="1D36F54E">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空气锤</w:t>
                  </w:r>
                </w:p>
              </w:tc>
              <w:tc>
                <w:tcPr>
                  <w:tcW w:w="1162" w:type="pct"/>
                  <w:noWrap/>
                  <w:vAlign w:val="center"/>
                </w:tcPr>
                <w:p w14:paraId="756DCE0E">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2吨</w:t>
                  </w:r>
                </w:p>
              </w:tc>
              <w:tc>
                <w:tcPr>
                  <w:tcW w:w="634" w:type="pct"/>
                  <w:noWrap/>
                  <w:vAlign w:val="center"/>
                </w:tcPr>
                <w:p w14:paraId="31C41B94">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7765F9AE">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552" w:type="pct"/>
                  <w:noWrap/>
                  <w:vAlign w:val="center"/>
                </w:tcPr>
                <w:p w14:paraId="3E9D0D12">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+4</w:t>
                  </w:r>
                </w:p>
              </w:tc>
              <w:tc>
                <w:tcPr>
                  <w:tcW w:w="550" w:type="pct"/>
                  <w:noWrap/>
                  <w:vAlign w:val="center"/>
                </w:tcPr>
                <w:p w14:paraId="25E6BC7C">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锻造</w:t>
                  </w:r>
                </w:p>
              </w:tc>
            </w:tr>
            <w:tr w14:paraId="1A34C1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14:paraId="6084F475">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12</w:t>
                  </w:r>
                </w:p>
              </w:tc>
              <w:tc>
                <w:tcPr>
                  <w:tcW w:w="1108" w:type="pct"/>
                  <w:vMerge w:val="restart"/>
                  <w:noWrap/>
                  <w:vAlign w:val="center"/>
                </w:tcPr>
                <w:p w14:paraId="3D3715F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行车</w:t>
                  </w:r>
                </w:p>
              </w:tc>
              <w:tc>
                <w:tcPr>
                  <w:tcW w:w="1162" w:type="pct"/>
                  <w:noWrap/>
                  <w:vAlign w:val="center"/>
                </w:tcPr>
                <w:p w14:paraId="5DAFF6E8">
                  <w:pPr>
                    <w:tabs>
                      <w:tab w:val="left" w:pos="550"/>
                    </w:tabs>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5吨</w:t>
                  </w:r>
                </w:p>
              </w:tc>
              <w:tc>
                <w:tcPr>
                  <w:tcW w:w="634" w:type="pct"/>
                  <w:noWrap/>
                  <w:vAlign w:val="center"/>
                </w:tcPr>
                <w:p w14:paraId="2380C15E">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4F8FE80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552" w:type="pct"/>
                  <w:noWrap/>
                  <w:vAlign w:val="center"/>
                </w:tcPr>
                <w:p w14:paraId="46C7FD09">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restart"/>
                  <w:noWrap/>
                  <w:vAlign w:val="center"/>
                </w:tcPr>
                <w:p w14:paraId="39E3ADD6">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吊装/转运</w:t>
                  </w:r>
                </w:p>
              </w:tc>
            </w:tr>
            <w:tr w14:paraId="1D2CDE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14:paraId="275B3E4D">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noWrap/>
                  <w:vAlign w:val="center"/>
                </w:tcPr>
                <w:p w14:paraId="750DB7CD">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1162" w:type="pct"/>
                  <w:noWrap/>
                  <w:vAlign w:val="center"/>
                </w:tcPr>
                <w:p w14:paraId="3FA7E783">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3吨</w:t>
                  </w:r>
                </w:p>
              </w:tc>
              <w:tc>
                <w:tcPr>
                  <w:tcW w:w="634" w:type="pct"/>
                  <w:noWrap/>
                  <w:vAlign w:val="center"/>
                </w:tcPr>
                <w:p w14:paraId="17BB7337">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644" w:type="pct"/>
                  <w:noWrap/>
                  <w:vAlign w:val="center"/>
                </w:tcPr>
                <w:p w14:paraId="713EAAE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552" w:type="pct"/>
                  <w:noWrap/>
                  <w:vAlign w:val="center"/>
                </w:tcPr>
                <w:p w14:paraId="1AC25688">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continue"/>
                  <w:noWrap/>
                  <w:vAlign w:val="center"/>
                </w:tcPr>
                <w:p w14:paraId="568938E1">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250488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14:paraId="11B92718">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vAlign w:val="center"/>
                </w:tcPr>
                <w:p w14:paraId="3D229A69">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0" w:type="auto"/>
                  <w:vAlign w:val="center"/>
                </w:tcPr>
                <w:p w14:paraId="60428DD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2.8吨</w:t>
                  </w:r>
                </w:p>
              </w:tc>
              <w:tc>
                <w:tcPr>
                  <w:tcW w:w="0" w:type="auto"/>
                  <w:vAlign w:val="center"/>
                </w:tcPr>
                <w:p w14:paraId="2959626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0" w:type="auto"/>
                  <w:vAlign w:val="center"/>
                </w:tcPr>
                <w:p w14:paraId="1695A93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0" w:type="auto"/>
                  <w:vAlign w:val="center"/>
                </w:tcPr>
                <w:p w14:paraId="18DED415">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continue"/>
                  <w:vAlign w:val="center"/>
                </w:tcPr>
                <w:p w14:paraId="66949E31">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2D3EC3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882F8BE">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0" w:type="auto"/>
                  <w:vAlign w:val="center"/>
                </w:tcPr>
                <w:p w14:paraId="1F5A17D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叉车</w:t>
                  </w:r>
                </w:p>
              </w:tc>
              <w:tc>
                <w:tcPr>
                  <w:tcW w:w="0" w:type="auto"/>
                  <w:vAlign w:val="center"/>
                </w:tcPr>
                <w:p w14:paraId="4994A07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3吨</w:t>
                  </w:r>
                </w:p>
              </w:tc>
              <w:tc>
                <w:tcPr>
                  <w:tcW w:w="0" w:type="auto"/>
                  <w:vAlign w:val="center"/>
                </w:tcPr>
                <w:p w14:paraId="6F3D011D">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7146A971">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3</w:t>
                  </w:r>
                </w:p>
              </w:tc>
              <w:tc>
                <w:tcPr>
                  <w:tcW w:w="0" w:type="auto"/>
                  <w:vAlign w:val="center"/>
                </w:tcPr>
                <w:p w14:paraId="179368B4">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+3</w:t>
                  </w:r>
                </w:p>
              </w:tc>
              <w:tc>
                <w:tcPr>
                  <w:tcW w:w="550" w:type="pct"/>
                  <w:vAlign w:val="center"/>
                </w:tcPr>
                <w:p w14:paraId="673E4B4B">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转运</w:t>
                  </w:r>
                </w:p>
              </w:tc>
            </w:tr>
            <w:tr w14:paraId="6FA720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14:paraId="76A3D44C">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w:t>
                  </w:r>
                </w:p>
              </w:tc>
              <w:tc>
                <w:tcPr>
                  <w:tcW w:w="1108" w:type="pct"/>
                  <w:vMerge w:val="restart"/>
                  <w:vAlign w:val="center"/>
                </w:tcPr>
                <w:p w14:paraId="212CEFF0">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车床</w:t>
                  </w:r>
                </w:p>
              </w:tc>
              <w:tc>
                <w:tcPr>
                  <w:tcW w:w="0" w:type="auto"/>
                  <w:vAlign w:val="center"/>
                </w:tcPr>
                <w:p w14:paraId="2773985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C6132</w:t>
                  </w:r>
                </w:p>
              </w:tc>
              <w:tc>
                <w:tcPr>
                  <w:tcW w:w="0" w:type="auto"/>
                  <w:vAlign w:val="center"/>
                </w:tcPr>
                <w:p w14:paraId="20E48ADC">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231D57D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0" w:type="auto"/>
                  <w:vAlign w:val="center"/>
                </w:tcPr>
                <w:p w14:paraId="23A106B6">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restart"/>
                  <w:vAlign w:val="center"/>
                </w:tcPr>
                <w:p w14:paraId="227C6838">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机加工</w:t>
                  </w:r>
                </w:p>
              </w:tc>
            </w:tr>
            <w:tr w14:paraId="028C50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14:paraId="351C71FD">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vAlign w:val="center"/>
                </w:tcPr>
                <w:p w14:paraId="47EF73FC">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0" w:type="auto"/>
                  <w:vAlign w:val="center"/>
                </w:tcPr>
                <w:p w14:paraId="1E58E510">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CW6163B</w:t>
                  </w:r>
                </w:p>
              </w:tc>
              <w:tc>
                <w:tcPr>
                  <w:tcW w:w="0" w:type="auto"/>
                  <w:vAlign w:val="center"/>
                </w:tcPr>
                <w:p w14:paraId="70CEE51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4F9165FA">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0" w:type="auto"/>
                  <w:vAlign w:val="center"/>
                </w:tcPr>
                <w:p w14:paraId="18A575EF">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w:t>
                  </w:r>
                </w:p>
              </w:tc>
              <w:tc>
                <w:tcPr>
                  <w:tcW w:w="550" w:type="pct"/>
                  <w:vMerge w:val="continue"/>
                  <w:vAlign w:val="center"/>
                </w:tcPr>
                <w:p w14:paraId="475E38DB">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16F46C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14:paraId="025DE945">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vAlign w:val="center"/>
                </w:tcPr>
                <w:p w14:paraId="320217B2">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0" w:type="auto"/>
                  <w:vAlign w:val="center"/>
                </w:tcPr>
                <w:p w14:paraId="0DF02D70">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CY6150</w:t>
                  </w:r>
                </w:p>
              </w:tc>
              <w:tc>
                <w:tcPr>
                  <w:tcW w:w="0" w:type="auto"/>
                  <w:vAlign w:val="center"/>
                </w:tcPr>
                <w:p w14:paraId="316A34DA">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1D05C82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0" w:type="auto"/>
                  <w:vAlign w:val="center"/>
                </w:tcPr>
                <w:p w14:paraId="66F39479">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w:t>
                  </w:r>
                </w:p>
              </w:tc>
              <w:tc>
                <w:tcPr>
                  <w:tcW w:w="550" w:type="pct"/>
                  <w:vMerge w:val="continue"/>
                  <w:vAlign w:val="center"/>
                </w:tcPr>
                <w:p w14:paraId="7C150A1E">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78889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C57C552">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0" w:type="auto"/>
                  <w:vAlign w:val="center"/>
                </w:tcPr>
                <w:p w14:paraId="12ECE626">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平面磨床</w:t>
                  </w:r>
                </w:p>
              </w:tc>
              <w:tc>
                <w:tcPr>
                  <w:tcW w:w="0" w:type="auto"/>
                  <w:vAlign w:val="center"/>
                </w:tcPr>
                <w:p w14:paraId="1807244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PM1000</w:t>
                  </w:r>
                </w:p>
              </w:tc>
              <w:tc>
                <w:tcPr>
                  <w:tcW w:w="0" w:type="auto"/>
                  <w:vAlign w:val="center"/>
                </w:tcPr>
                <w:p w14:paraId="16399378">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44442165">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0" w:type="auto"/>
                  <w:vAlign w:val="center"/>
                </w:tcPr>
                <w:p w14:paraId="0E97FBD4">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continue"/>
                  <w:vAlign w:val="center"/>
                </w:tcPr>
                <w:p w14:paraId="565AA70D">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p>
              </w:tc>
            </w:tr>
            <w:tr w14:paraId="48B9CB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vAlign w:val="center"/>
                </w:tcPr>
                <w:p w14:paraId="4CA2A8FC">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w:t>
                  </w:r>
                </w:p>
              </w:tc>
              <w:tc>
                <w:tcPr>
                  <w:tcW w:w="1108" w:type="pct"/>
                  <w:vMerge w:val="restart"/>
                  <w:vAlign w:val="center"/>
                </w:tcPr>
                <w:p w14:paraId="353C6B9A">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电</w:t>
                  </w:r>
                  <w:r>
                    <w:rPr>
                      <w:rFonts w:hint="eastAsia"/>
                      <w:color w:val="auto"/>
                      <w:szCs w:val="21"/>
                      <w:lang w:val="en-US" w:eastAsia="zh-CN"/>
                    </w:rPr>
                    <w:t>阻炉</w:t>
                  </w:r>
                </w:p>
              </w:tc>
              <w:tc>
                <w:tcPr>
                  <w:tcW w:w="0" w:type="auto"/>
                  <w:vAlign w:val="center"/>
                </w:tcPr>
                <w:p w14:paraId="6630FC1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箱式</w:t>
                  </w:r>
                </w:p>
              </w:tc>
              <w:tc>
                <w:tcPr>
                  <w:tcW w:w="0" w:type="auto"/>
                  <w:vAlign w:val="center"/>
                </w:tcPr>
                <w:p w14:paraId="137DD4A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6DEA4DB1">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0" w:type="auto"/>
                  <w:vAlign w:val="center"/>
                </w:tcPr>
                <w:p w14:paraId="4E19A350">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Merge w:val="restart"/>
                  <w:vAlign w:val="center"/>
                </w:tcPr>
                <w:p w14:paraId="20FF8102">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热处理</w:t>
                  </w:r>
                </w:p>
              </w:tc>
            </w:tr>
            <w:tr w14:paraId="40DDA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vAlign w:val="center"/>
                </w:tcPr>
                <w:p w14:paraId="17A53DBD">
                  <w:pPr>
                    <w:jc w:val="center"/>
                    <w:outlineLvl w:val="0"/>
                    <w:rPr>
                      <w:rFonts w:hint="default" w:ascii="Times New Roman" w:hAnsi="Times New Roman" w:eastAsia="宋体" w:cs="Times New Roman"/>
                      <w:color w:val="auto"/>
                      <w:kern w:val="2"/>
                      <w:sz w:val="21"/>
                      <w:szCs w:val="21"/>
                      <w:lang w:val="en-US" w:eastAsia="zh-CN" w:bidi="ar-SA"/>
                    </w:rPr>
                  </w:pPr>
                </w:p>
              </w:tc>
              <w:tc>
                <w:tcPr>
                  <w:tcW w:w="1108" w:type="pct"/>
                  <w:vMerge w:val="continue"/>
                  <w:vAlign w:val="center"/>
                </w:tcPr>
                <w:p w14:paraId="4CEFD56A">
                  <w:pPr>
                    <w:spacing w:line="440" w:lineRule="exact"/>
                    <w:jc w:val="center"/>
                    <w:rPr>
                      <w:rFonts w:hint="default" w:ascii="Times New Roman" w:hAnsi="Times New Roman" w:eastAsia="宋体" w:cs="Times New Roman"/>
                      <w:color w:val="auto"/>
                      <w:kern w:val="2"/>
                      <w:sz w:val="21"/>
                      <w:szCs w:val="21"/>
                      <w:lang w:val="en-US" w:eastAsia="zh-CN" w:bidi="ar-SA"/>
                    </w:rPr>
                  </w:pPr>
                </w:p>
              </w:tc>
              <w:tc>
                <w:tcPr>
                  <w:tcW w:w="0" w:type="auto"/>
                  <w:vAlign w:val="center"/>
                </w:tcPr>
                <w:p w14:paraId="25796523">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室式</w:t>
                  </w:r>
                </w:p>
              </w:tc>
              <w:tc>
                <w:tcPr>
                  <w:tcW w:w="0" w:type="auto"/>
                  <w:vAlign w:val="center"/>
                </w:tcPr>
                <w:p w14:paraId="7DF04941">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16DAFA7C">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0" w:type="auto"/>
                  <w:vAlign w:val="center"/>
                </w:tcPr>
                <w:p w14:paraId="6A2BE200">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+5</w:t>
                  </w:r>
                </w:p>
              </w:tc>
              <w:tc>
                <w:tcPr>
                  <w:tcW w:w="550" w:type="pct"/>
                  <w:vMerge w:val="continue"/>
                  <w:vAlign w:val="center"/>
                </w:tcPr>
                <w:p w14:paraId="1FEA6C17">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eastAsia="zh-CN"/>
                    </w:rPr>
                  </w:pPr>
                </w:p>
              </w:tc>
            </w:tr>
            <w:tr w14:paraId="01DA93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20556C7">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17</w:t>
                  </w:r>
                </w:p>
              </w:tc>
              <w:tc>
                <w:tcPr>
                  <w:tcW w:w="0" w:type="auto"/>
                  <w:vAlign w:val="center"/>
                </w:tcPr>
                <w:p w14:paraId="3906F60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碾环机</w:t>
                  </w:r>
                </w:p>
              </w:tc>
              <w:tc>
                <w:tcPr>
                  <w:tcW w:w="0" w:type="auto"/>
                  <w:vAlign w:val="center"/>
                </w:tcPr>
                <w:p w14:paraId="62C0A1C7">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1米</w:t>
                  </w:r>
                </w:p>
              </w:tc>
              <w:tc>
                <w:tcPr>
                  <w:tcW w:w="0" w:type="auto"/>
                  <w:vAlign w:val="center"/>
                </w:tcPr>
                <w:p w14:paraId="5FD0696B">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22AD8185">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0" w:type="auto"/>
                  <w:vAlign w:val="center"/>
                </w:tcPr>
                <w:p w14:paraId="41839635">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Align w:val="center"/>
                </w:tcPr>
                <w:p w14:paraId="35672BD0">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加工环件</w:t>
                  </w:r>
                </w:p>
              </w:tc>
            </w:tr>
            <w:tr w14:paraId="168FEA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DA08568">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18</w:t>
                  </w:r>
                </w:p>
              </w:tc>
              <w:tc>
                <w:tcPr>
                  <w:tcW w:w="0" w:type="auto"/>
                  <w:vAlign w:val="center"/>
                </w:tcPr>
                <w:p w14:paraId="5C3AE8E0">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电动机</w:t>
                  </w:r>
                </w:p>
              </w:tc>
              <w:tc>
                <w:tcPr>
                  <w:tcW w:w="0" w:type="auto"/>
                  <w:vAlign w:val="center"/>
                </w:tcPr>
                <w:p w14:paraId="10E954C5">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YCT</w:t>
                  </w:r>
                </w:p>
              </w:tc>
              <w:tc>
                <w:tcPr>
                  <w:tcW w:w="0" w:type="auto"/>
                  <w:vAlign w:val="center"/>
                </w:tcPr>
                <w:p w14:paraId="4579464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16176682">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0" w:type="auto"/>
                  <w:vAlign w:val="center"/>
                </w:tcPr>
                <w:p w14:paraId="33720A2B">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+5</w:t>
                  </w:r>
                </w:p>
              </w:tc>
              <w:tc>
                <w:tcPr>
                  <w:tcW w:w="550" w:type="pct"/>
                  <w:vAlign w:val="center"/>
                </w:tcPr>
                <w:p w14:paraId="5293F86E">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提供大功率动力</w:t>
                  </w:r>
                </w:p>
              </w:tc>
            </w:tr>
            <w:tr w14:paraId="66731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4F1407D">
                  <w:pPr>
                    <w:jc w:val="center"/>
                    <w:outlineLvl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19</w:t>
                  </w:r>
                </w:p>
              </w:tc>
              <w:tc>
                <w:tcPr>
                  <w:tcW w:w="0" w:type="auto"/>
                  <w:vAlign w:val="center"/>
                </w:tcPr>
                <w:p w14:paraId="4FF3E859">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空压机</w:t>
                  </w:r>
                </w:p>
              </w:tc>
              <w:tc>
                <w:tcPr>
                  <w:tcW w:w="0" w:type="auto"/>
                  <w:vAlign w:val="center"/>
                </w:tcPr>
                <w:p w14:paraId="7FD58D09">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w:t>
                  </w:r>
                </w:p>
              </w:tc>
              <w:tc>
                <w:tcPr>
                  <w:tcW w:w="0" w:type="auto"/>
                  <w:vAlign w:val="center"/>
                </w:tcPr>
                <w:p w14:paraId="62D9234F">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0</w:t>
                  </w:r>
                </w:p>
              </w:tc>
              <w:tc>
                <w:tcPr>
                  <w:tcW w:w="0" w:type="auto"/>
                  <w:vAlign w:val="center"/>
                </w:tcPr>
                <w:p w14:paraId="0B853457">
                  <w:pPr>
                    <w:spacing w:line="4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0" w:type="auto"/>
                  <w:vAlign w:val="center"/>
                </w:tcPr>
                <w:p w14:paraId="112E47F8">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+3</w:t>
                  </w:r>
                </w:p>
              </w:tc>
              <w:tc>
                <w:tcPr>
                  <w:tcW w:w="550" w:type="pct"/>
                  <w:vAlign w:val="center"/>
                </w:tcPr>
                <w:p w14:paraId="1BC357D8">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提供气源</w:t>
                  </w:r>
                </w:p>
              </w:tc>
            </w:tr>
            <w:tr w14:paraId="16CCBD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B50473C">
                  <w:pPr>
                    <w:jc w:val="center"/>
                    <w:outlineLvl w:val="0"/>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20</w:t>
                  </w:r>
                </w:p>
              </w:tc>
              <w:tc>
                <w:tcPr>
                  <w:tcW w:w="0" w:type="auto"/>
                  <w:vAlign w:val="center"/>
                </w:tcPr>
                <w:p w14:paraId="4276D7B6">
                  <w:pPr>
                    <w:spacing w:line="440" w:lineRule="exact"/>
                    <w:jc w:val="center"/>
                    <w:rPr>
                      <w:rFonts w:hint="default"/>
                      <w:color w:val="auto"/>
                      <w:szCs w:val="21"/>
                      <w:lang w:val="en-US" w:eastAsia="zh-CN"/>
                    </w:rPr>
                  </w:pPr>
                  <w:r>
                    <w:rPr>
                      <w:rFonts w:hint="eastAsia"/>
                      <w:color w:val="auto"/>
                      <w:szCs w:val="21"/>
                      <w:lang w:val="en-US" w:eastAsia="zh-CN"/>
                    </w:rPr>
                    <w:t>超声波探伤设备</w:t>
                  </w:r>
                </w:p>
              </w:tc>
              <w:tc>
                <w:tcPr>
                  <w:tcW w:w="0" w:type="auto"/>
                  <w:vAlign w:val="center"/>
                </w:tcPr>
                <w:p w14:paraId="3A899CD5">
                  <w:pPr>
                    <w:spacing w:line="440" w:lineRule="exact"/>
                    <w:jc w:val="center"/>
                    <w:rPr>
                      <w:rFonts w:hint="default"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0" w:type="auto"/>
                  <w:vAlign w:val="center"/>
                </w:tcPr>
                <w:p w14:paraId="57B619F7">
                  <w:pPr>
                    <w:spacing w:line="440" w:lineRule="exact"/>
                    <w:jc w:val="center"/>
                    <w:rPr>
                      <w:rFonts w:hint="default"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0" w:type="auto"/>
                  <w:vAlign w:val="center"/>
                </w:tcPr>
                <w:p w14:paraId="68FC945C">
                  <w:pPr>
                    <w:spacing w:line="440" w:lineRule="exact"/>
                    <w:jc w:val="center"/>
                    <w:rPr>
                      <w:rFonts w:hint="default"/>
                      <w:color w:val="auto"/>
                      <w:szCs w:val="21"/>
                      <w:lang w:val="en-US" w:eastAsia="zh-CN"/>
                    </w:rPr>
                  </w:pPr>
                  <w:r>
                    <w:rPr>
                      <w:rFonts w:hint="eastAsia"/>
                      <w:color w:val="auto"/>
                      <w:szCs w:val="21"/>
                      <w:lang w:val="en-US" w:eastAsia="zh-CN"/>
                    </w:rPr>
                    <w:t>1</w:t>
                  </w:r>
                </w:p>
              </w:tc>
              <w:tc>
                <w:tcPr>
                  <w:tcW w:w="0" w:type="auto"/>
                  <w:vAlign w:val="center"/>
                </w:tcPr>
                <w:p w14:paraId="3B643934">
                  <w:pPr>
                    <w:keepNext w:val="0"/>
                    <w:keepLines w:val="0"/>
                    <w:pageBreakBefore w:val="0"/>
                    <w:widowControl w:val="0"/>
                    <w:tabs>
                      <w:tab w:val="left" w:pos="7532"/>
                    </w:tabs>
                    <w:kinsoku/>
                    <w:wordWrap/>
                    <w:overflowPunct/>
                    <w:topLinePunct w:val="0"/>
                    <w:autoSpaceDE/>
                    <w:autoSpaceDN/>
                    <w:bidi w:val="0"/>
                    <w:adjustRightInd/>
                    <w:snapToGrid/>
                    <w:spacing w:line="320" w:lineRule="exact"/>
                    <w:jc w:val="center"/>
                    <w:textAlignment w:val="auto"/>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550" w:type="pct"/>
                  <w:vAlign w:val="center"/>
                </w:tcPr>
                <w:p w14:paraId="7863B02D">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检验</w:t>
                  </w:r>
                </w:p>
              </w:tc>
            </w:tr>
          </w:tbl>
          <w:p w14:paraId="2F79BF57">
            <w:pPr>
              <w:adjustRightInd w:val="0"/>
              <w:snapToGrid w:val="0"/>
              <w:jc w:val="center"/>
              <w:rPr>
                <w:rFonts w:hint="eastAsia"/>
                <w:b/>
                <w:bCs/>
                <w:color w:val="auto"/>
                <w:sz w:val="21"/>
                <w:szCs w:val="21"/>
              </w:rPr>
            </w:pPr>
          </w:p>
          <w:p w14:paraId="4F83A35F">
            <w:pPr>
              <w:spacing w:line="360" w:lineRule="auto"/>
              <w:ind w:left="434"/>
              <w:rPr>
                <w:b/>
                <w:bCs/>
                <w:color w:val="auto"/>
                <w:sz w:val="21"/>
                <w:szCs w:val="21"/>
              </w:rPr>
            </w:pPr>
            <w:r>
              <w:rPr>
                <w:rFonts w:hint="eastAsia"/>
                <w:b/>
                <w:bCs/>
                <w:color w:val="auto"/>
                <w:sz w:val="21"/>
                <w:szCs w:val="21"/>
              </w:rPr>
              <w:t>5</w:t>
            </w:r>
            <w:r>
              <w:rPr>
                <w:b/>
                <w:bCs/>
                <w:color w:val="auto"/>
                <w:sz w:val="21"/>
                <w:szCs w:val="21"/>
              </w:rPr>
              <w:t>、主要原辅材料及燃料</w:t>
            </w:r>
          </w:p>
          <w:p w14:paraId="5245EE03">
            <w:pPr>
              <w:adjustRightInd w:val="0"/>
              <w:snapToGrid w:val="0"/>
              <w:spacing w:line="360" w:lineRule="auto"/>
              <w:jc w:val="center"/>
              <w:rPr>
                <w:b/>
                <w:bCs/>
                <w:color w:val="auto"/>
                <w:sz w:val="21"/>
                <w:szCs w:val="21"/>
              </w:rPr>
            </w:pPr>
            <w:r>
              <w:rPr>
                <w:b/>
                <w:bCs/>
                <w:color w:val="auto"/>
                <w:sz w:val="21"/>
                <w:szCs w:val="21"/>
              </w:rPr>
              <w:t>表2-</w:t>
            </w:r>
            <w:r>
              <w:rPr>
                <w:rFonts w:hint="eastAsia"/>
                <w:b/>
                <w:bCs/>
                <w:color w:val="auto"/>
                <w:sz w:val="21"/>
                <w:szCs w:val="21"/>
                <w:lang w:val="en-US" w:eastAsia="zh-CN"/>
              </w:rPr>
              <w:t>4</w:t>
            </w:r>
            <w:r>
              <w:rPr>
                <w:b/>
                <w:bCs/>
                <w:color w:val="auto"/>
                <w:sz w:val="21"/>
                <w:szCs w:val="21"/>
              </w:rPr>
              <w:t xml:space="preserve">  项目主要原辅材料及燃料消耗表</w:t>
            </w:r>
          </w:p>
          <w:tbl>
            <w:tblPr>
              <w:tblStyle w:val="42"/>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445"/>
              <w:gridCol w:w="1103"/>
              <w:gridCol w:w="758"/>
              <w:gridCol w:w="990"/>
              <w:gridCol w:w="945"/>
              <w:gridCol w:w="1065"/>
              <w:gridCol w:w="1537"/>
              <w:gridCol w:w="889"/>
              <w:gridCol w:w="540"/>
            </w:tblGrid>
            <w:tr w14:paraId="605EF40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268" w:type="pct"/>
                  <w:vMerge w:val="restart"/>
                  <w:tcBorders>
                    <w:tl2br w:val="nil"/>
                    <w:tr2bl w:val="nil"/>
                  </w:tcBorders>
                  <w:noWrap w:val="0"/>
                  <w:vAlign w:val="center"/>
                </w:tcPr>
                <w:p w14:paraId="064C2867">
                  <w:pPr>
                    <w:widowControl/>
                    <w:spacing w:line="360" w:lineRule="auto"/>
                    <w:jc w:val="center"/>
                    <w:rPr>
                      <w:b/>
                      <w:bCs/>
                      <w:color w:val="auto"/>
                      <w:kern w:val="0"/>
                      <w:sz w:val="21"/>
                      <w:szCs w:val="21"/>
                    </w:rPr>
                  </w:pPr>
                  <w:r>
                    <w:rPr>
                      <w:b/>
                      <w:bCs/>
                      <w:color w:val="auto"/>
                      <w:kern w:val="0"/>
                      <w:sz w:val="21"/>
                      <w:szCs w:val="21"/>
                    </w:rPr>
                    <w:t>序号</w:t>
                  </w:r>
                </w:p>
              </w:tc>
              <w:tc>
                <w:tcPr>
                  <w:tcW w:w="666" w:type="pct"/>
                  <w:vMerge w:val="restart"/>
                  <w:tcBorders>
                    <w:tl2br w:val="nil"/>
                    <w:tr2bl w:val="nil"/>
                  </w:tcBorders>
                  <w:noWrap w:val="0"/>
                  <w:vAlign w:val="center"/>
                </w:tcPr>
                <w:p w14:paraId="0C5A3B44">
                  <w:pPr>
                    <w:widowControl/>
                    <w:spacing w:line="360" w:lineRule="auto"/>
                    <w:jc w:val="center"/>
                    <w:rPr>
                      <w:rFonts w:hint="default" w:eastAsia="宋体"/>
                      <w:b/>
                      <w:bCs/>
                      <w:color w:val="auto"/>
                      <w:kern w:val="0"/>
                      <w:sz w:val="21"/>
                      <w:szCs w:val="21"/>
                      <w:lang w:val="en-US" w:eastAsia="zh-CN"/>
                    </w:rPr>
                  </w:pPr>
                  <w:r>
                    <w:rPr>
                      <w:rFonts w:hint="eastAsia"/>
                      <w:b/>
                      <w:bCs/>
                      <w:color w:val="auto"/>
                      <w:kern w:val="0"/>
                      <w:sz w:val="21"/>
                      <w:szCs w:val="21"/>
                      <w:lang w:val="en-US" w:eastAsia="zh-CN"/>
                    </w:rPr>
                    <w:t>物料名称</w:t>
                  </w:r>
                </w:p>
              </w:tc>
              <w:tc>
                <w:tcPr>
                  <w:tcW w:w="458" w:type="pct"/>
                  <w:vMerge w:val="restart"/>
                  <w:tcBorders>
                    <w:tl2br w:val="nil"/>
                    <w:tr2bl w:val="nil"/>
                  </w:tcBorders>
                  <w:noWrap w:val="0"/>
                  <w:vAlign w:val="center"/>
                </w:tcPr>
                <w:p w14:paraId="4938361A">
                  <w:pPr>
                    <w:widowControl/>
                    <w:spacing w:line="360" w:lineRule="auto"/>
                    <w:jc w:val="center"/>
                    <w:rPr>
                      <w:rFonts w:hint="eastAsia" w:eastAsia="宋体"/>
                      <w:b/>
                      <w:bCs/>
                      <w:color w:val="auto"/>
                      <w:kern w:val="0"/>
                      <w:sz w:val="21"/>
                      <w:szCs w:val="21"/>
                      <w:lang w:val="en-US" w:eastAsia="zh-CN"/>
                    </w:rPr>
                  </w:pPr>
                  <w:r>
                    <w:rPr>
                      <w:rFonts w:hint="eastAsia"/>
                      <w:b/>
                      <w:bCs/>
                      <w:color w:val="auto"/>
                      <w:kern w:val="0"/>
                      <w:sz w:val="21"/>
                      <w:szCs w:val="21"/>
                      <w:lang w:val="en-US" w:eastAsia="zh-CN"/>
                    </w:rPr>
                    <w:t>单位</w:t>
                  </w:r>
                </w:p>
              </w:tc>
              <w:tc>
                <w:tcPr>
                  <w:tcW w:w="1813" w:type="pct"/>
                  <w:gridSpan w:val="3"/>
                  <w:tcBorders>
                    <w:tl2br w:val="nil"/>
                    <w:tr2bl w:val="nil"/>
                  </w:tcBorders>
                  <w:noWrap w:val="0"/>
                  <w:vAlign w:val="center"/>
                </w:tcPr>
                <w:p w14:paraId="7A76A0F9">
                  <w:pPr>
                    <w:widowControl/>
                    <w:spacing w:line="360" w:lineRule="auto"/>
                    <w:jc w:val="center"/>
                    <w:rPr>
                      <w:rFonts w:hint="eastAsia" w:eastAsia="宋体"/>
                      <w:b/>
                      <w:bCs/>
                      <w:color w:val="auto"/>
                      <w:kern w:val="0"/>
                      <w:sz w:val="21"/>
                      <w:szCs w:val="21"/>
                      <w:lang w:eastAsia="zh-CN"/>
                    </w:rPr>
                  </w:pPr>
                  <w:r>
                    <w:rPr>
                      <w:b/>
                      <w:bCs/>
                      <w:color w:val="auto"/>
                      <w:kern w:val="0"/>
                      <w:sz w:val="21"/>
                      <w:szCs w:val="21"/>
                    </w:rPr>
                    <w:t>使用量</w:t>
                  </w:r>
                </w:p>
              </w:tc>
              <w:tc>
                <w:tcPr>
                  <w:tcW w:w="929" w:type="pct"/>
                  <w:vMerge w:val="restart"/>
                  <w:tcBorders>
                    <w:tl2br w:val="nil"/>
                    <w:tr2bl w:val="nil"/>
                  </w:tcBorders>
                  <w:noWrap w:val="0"/>
                  <w:vAlign w:val="center"/>
                </w:tcPr>
                <w:p w14:paraId="0C2ED456">
                  <w:pPr>
                    <w:widowControl/>
                    <w:spacing w:line="360" w:lineRule="auto"/>
                    <w:jc w:val="center"/>
                    <w:rPr>
                      <w:rFonts w:hint="default" w:eastAsia="宋体"/>
                      <w:b/>
                      <w:bCs/>
                      <w:color w:val="auto"/>
                      <w:kern w:val="0"/>
                      <w:sz w:val="21"/>
                      <w:szCs w:val="21"/>
                      <w:lang w:val="en-US" w:eastAsia="zh-CN"/>
                    </w:rPr>
                  </w:pPr>
                  <w:r>
                    <w:rPr>
                      <w:rFonts w:hint="eastAsia"/>
                      <w:b/>
                      <w:bCs/>
                      <w:color w:val="auto"/>
                      <w:kern w:val="0"/>
                      <w:sz w:val="21"/>
                      <w:szCs w:val="21"/>
                      <w:lang w:val="en-US" w:eastAsia="zh-CN"/>
                    </w:rPr>
                    <w:t>包装方式</w:t>
                  </w:r>
                </w:p>
              </w:tc>
              <w:tc>
                <w:tcPr>
                  <w:tcW w:w="537" w:type="pct"/>
                  <w:vMerge w:val="restart"/>
                  <w:tcBorders>
                    <w:tl2br w:val="nil"/>
                    <w:tr2bl w:val="nil"/>
                  </w:tcBorders>
                  <w:noWrap w:val="0"/>
                  <w:vAlign w:val="center"/>
                </w:tcPr>
                <w:p w14:paraId="520F1011">
                  <w:pPr>
                    <w:widowControl/>
                    <w:spacing w:line="360" w:lineRule="auto"/>
                    <w:jc w:val="center"/>
                    <w:rPr>
                      <w:rFonts w:hint="eastAsia"/>
                      <w:b/>
                      <w:bCs/>
                      <w:color w:val="auto"/>
                      <w:kern w:val="0"/>
                      <w:sz w:val="21"/>
                      <w:szCs w:val="21"/>
                      <w:lang w:eastAsia="zh-CN"/>
                    </w:rPr>
                  </w:pPr>
                  <w:r>
                    <w:rPr>
                      <w:rFonts w:hint="eastAsia"/>
                      <w:b/>
                      <w:bCs/>
                      <w:color w:val="auto"/>
                      <w:kern w:val="0"/>
                      <w:sz w:val="21"/>
                      <w:szCs w:val="21"/>
                      <w:lang w:eastAsia="zh-CN"/>
                    </w:rPr>
                    <w:t>最大存储量（</w:t>
                  </w:r>
                  <w:r>
                    <w:rPr>
                      <w:rFonts w:hint="eastAsia"/>
                      <w:b/>
                      <w:bCs/>
                      <w:color w:val="auto"/>
                      <w:kern w:val="0"/>
                      <w:sz w:val="21"/>
                      <w:szCs w:val="21"/>
                      <w:lang w:val="en-US" w:eastAsia="zh-CN"/>
                    </w:rPr>
                    <w:t>t</w:t>
                  </w:r>
                  <w:r>
                    <w:rPr>
                      <w:rFonts w:hint="eastAsia"/>
                      <w:b/>
                      <w:bCs/>
                      <w:color w:val="auto"/>
                      <w:kern w:val="0"/>
                      <w:sz w:val="21"/>
                      <w:szCs w:val="21"/>
                      <w:lang w:eastAsia="zh-CN"/>
                    </w:rPr>
                    <w:t>）</w:t>
                  </w:r>
                </w:p>
              </w:tc>
              <w:tc>
                <w:tcPr>
                  <w:tcW w:w="326" w:type="pct"/>
                  <w:vMerge w:val="restart"/>
                  <w:tcBorders>
                    <w:tl2br w:val="nil"/>
                    <w:tr2bl w:val="nil"/>
                  </w:tcBorders>
                  <w:noWrap w:val="0"/>
                  <w:vAlign w:val="center"/>
                </w:tcPr>
                <w:p w14:paraId="2C8B9A1B">
                  <w:pPr>
                    <w:widowControl/>
                    <w:spacing w:line="360" w:lineRule="auto"/>
                    <w:jc w:val="center"/>
                    <w:rPr>
                      <w:rFonts w:hint="eastAsia" w:eastAsia="宋体"/>
                      <w:b/>
                      <w:bCs/>
                      <w:color w:val="auto"/>
                      <w:kern w:val="0"/>
                      <w:sz w:val="21"/>
                      <w:szCs w:val="21"/>
                      <w:lang w:eastAsia="zh-CN"/>
                    </w:rPr>
                  </w:pPr>
                  <w:r>
                    <w:rPr>
                      <w:rFonts w:hint="eastAsia"/>
                      <w:b/>
                      <w:bCs/>
                      <w:color w:val="auto"/>
                      <w:kern w:val="0"/>
                      <w:sz w:val="21"/>
                      <w:szCs w:val="21"/>
                      <w:lang w:eastAsia="zh-CN"/>
                    </w:rPr>
                    <w:t>备注</w:t>
                  </w:r>
                </w:p>
              </w:tc>
            </w:tr>
            <w:tr w14:paraId="2C0BF9D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268" w:type="pct"/>
                  <w:vMerge w:val="continue"/>
                  <w:tcBorders>
                    <w:tl2br w:val="nil"/>
                    <w:tr2bl w:val="nil"/>
                  </w:tcBorders>
                  <w:noWrap w:val="0"/>
                  <w:vAlign w:val="center"/>
                </w:tcPr>
                <w:p w14:paraId="5CEE4F6B">
                  <w:pPr>
                    <w:spacing w:line="360" w:lineRule="auto"/>
                    <w:jc w:val="center"/>
                    <w:rPr>
                      <w:color w:val="auto"/>
                      <w:sz w:val="21"/>
                      <w:szCs w:val="21"/>
                    </w:rPr>
                  </w:pPr>
                </w:p>
              </w:tc>
              <w:tc>
                <w:tcPr>
                  <w:tcW w:w="666" w:type="pct"/>
                  <w:vMerge w:val="continue"/>
                  <w:tcBorders>
                    <w:tl2br w:val="nil"/>
                    <w:tr2bl w:val="nil"/>
                  </w:tcBorders>
                  <w:noWrap w:val="0"/>
                  <w:vAlign w:val="center"/>
                </w:tcPr>
                <w:p w14:paraId="5A56AC3A">
                  <w:pPr>
                    <w:spacing w:line="360" w:lineRule="auto"/>
                    <w:jc w:val="center"/>
                    <w:rPr>
                      <w:color w:val="auto"/>
                      <w:sz w:val="21"/>
                      <w:szCs w:val="21"/>
                    </w:rPr>
                  </w:pPr>
                </w:p>
              </w:tc>
              <w:tc>
                <w:tcPr>
                  <w:tcW w:w="458" w:type="pct"/>
                  <w:vMerge w:val="continue"/>
                  <w:tcBorders>
                    <w:tl2br w:val="nil"/>
                    <w:tr2bl w:val="nil"/>
                  </w:tcBorders>
                  <w:noWrap w:val="0"/>
                  <w:vAlign w:val="center"/>
                </w:tcPr>
                <w:p w14:paraId="68FB881F">
                  <w:pPr>
                    <w:pStyle w:val="143"/>
                    <w:autoSpaceDE/>
                    <w:autoSpaceDN/>
                    <w:spacing w:line="360" w:lineRule="auto"/>
                    <w:jc w:val="center"/>
                    <w:rPr>
                      <w:rFonts w:hint="eastAsia"/>
                      <w:b/>
                      <w:bCs/>
                      <w:color w:val="auto"/>
                      <w:sz w:val="21"/>
                      <w:szCs w:val="21"/>
                      <w:lang w:val="en-US" w:eastAsia="zh-CN"/>
                    </w:rPr>
                  </w:pPr>
                </w:p>
              </w:tc>
              <w:tc>
                <w:tcPr>
                  <w:tcW w:w="598" w:type="pct"/>
                  <w:tcBorders>
                    <w:tl2br w:val="nil"/>
                    <w:tr2bl w:val="nil"/>
                  </w:tcBorders>
                  <w:noWrap w:val="0"/>
                  <w:vAlign w:val="center"/>
                </w:tcPr>
                <w:p w14:paraId="5D2D52DB">
                  <w:pPr>
                    <w:jc w:val="center"/>
                    <w:outlineLvl w:val="0"/>
                    <w:rPr>
                      <w:rFonts w:ascii="Times New Roman" w:hAnsi="Times New Roman" w:eastAsia="宋体" w:cs="Times New Roman"/>
                      <w:b/>
                      <w:bCs/>
                      <w:color w:val="auto"/>
                      <w:kern w:val="2"/>
                      <w:sz w:val="21"/>
                      <w:szCs w:val="21"/>
                      <w:lang w:val="en-US" w:eastAsia="zh-CN" w:bidi="ar-SA"/>
                    </w:rPr>
                  </w:pPr>
                  <w:r>
                    <w:rPr>
                      <w:rFonts w:hint="eastAsia"/>
                      <w:b/>
                      <w:bCs/>
                      <w:color w:val="auto"/>
                      <w:sz w:val="21"/>
                      <w:szCs w:val="21"/>
                      <w:lang w:val="en-US" w:eastAsia="zh-CN"/>
                    </w:rPr>
                    <w:t>扩建</w:t>
                  </w:r>
                  <w:r>
                    <w:rPr>
                      <w:b/>
                      <w:bCs/>
                      <w:color w:val="auto"/>
                      <w:sz w:val="21"/>
                      <w:szCs w:val="21"/>
                    </w:rPr>
                    <w:t>前</w:t>
                  </w:r>
                </w:p>
              </w:tc>
              <w:tc>
                <w:tcPr>
                  <w:tcW w:w="571" w:type="pct"/>
                  <w:tcBorders>
                    <w:tl2br w:val="nil"/>
                    <w:tr2bl w:val="nil"/>
                  </w:tcBorders>
                  <w:noWrap w:val="0"/>
                  <w:vAlign w:val="center"/>
                </w:tcPr>
                <w:p w14:paraId="27A36740">
                  <w:pPr>
                    <w:jc w:val="center"/>
                    <w:outlineLvl w:val="0"/>
                    <w:rPr>
                      <w:rFonts w:ascii="Times New Roman" w:hAnsi="Times New Roman" w:eastAsia="宋体" w:cs="Times New Roman"/>
                      <w:b/>
                      <w:bCs/>
                      <w:color w:val="auto"/>
                      <w:kern w:val="2"/>
                      <w:sz w:val="21"/>
                      <w:szCs w:val="21"/>
                      <w:lang w:val="en-US" w:eastAsia="zh-CN" w:bidi="ar-SA"/>
                    </w:rPr>
                  </w:pPr>
                  <w:r>
                    <w:rPr>
                      <w:rFonts w:hint="eastAsia"/>
                      <w:b/>
                      <w:bCs/>
                      <w:color w:val="auto"/>
                      <w:sz w:val="21"/>
                      <w:szCs w:val="21"/>
                      <w:lang w:val="en-US" w:eastAsia="zh-CN"/>
                    </w:rPr>
                    <w:t>扩建</w:t>
                  </w:r>
                  <w:r>
                    <w:rPr>
                      <w:b/>
                      <w:bCs/>
                      <w:color w:val="auto"/>
                      <w:sz w:val="21"/>
                      <w:szCs w:val="21"/>
                    </w:rPr>
                    <w:t>后</w:t>
                  </w:r>
                </w:p>
              </w:tc>
              <w:tc>
                <w:tcPr>
                  <w:tcW w:w="643" w:type="pct"/>
                  <w:tcBorders>
                    <w:tl2br w:val="nil"/>
                    <w:tr2bl w:val="nil"/>
                  </w:tcBorders>
                  <w:noWrap w:val="0"/>
                  <w:vAlign w:val="center"/>
                </w:tcPr>
                <w:p w14:paraId="59CC344C">
                  <w:pPr>
                    <w:pStyle w:val="143"/>
                    <w:autoSpaceDE/>
                    <w:autoSpaceDN/>
                    <w:spacing w:line="360" w:lineRule="auto"/>
                    <w:jc w:val="center"/>
                    <w:rPr>
                      <w:rFonts w:ascii="Times New Roman" w:hAnsi="Times New Roman" w:cs="Times New Roman"/>
                      <w:b/>
                      <w:color w:val="auto"/>
                      <w:sz w:val="21"/>
                      <w:szCs w:val="21"/>
                    </w:rPr>
                  </w:pPr>
                  <w:r>
                    <w:rPr>
                      <w:rFonts w:ascii="Times New Roman" w:hAnsi="Times New Roman" w:cs="Times New Roman"/>
                      <w:b/>
                      <w:color w:val="auto"/>
                      <w:sz w:val="21"/>
                      <w:szCs w:val="21"/>
                    </w:rPr>
                    <w:t>增减量</w:t>
                  </w:r>
                </w:p>
              </w:tc>
              <w:tc>
                <w:tcPr>
                  <w:tcW w:w="929" w:type="pct"/>
                  <w:vMerge w:val="continue"/>
                  <w:tcBorders>
                    <w:tl2br w:val="nil"/>
                    <w:tr2bl w:val="nil"/>
                  </w:tcBorders>
                  <w:noWrap w:val="0"/>
                  <w:vAlign w:val="center"/>
                </w:tcPr>
                <w:p w14:paraId="0ABC4E15">
                  <w:pPr>
                    <w:spacing w:line="360" w:lineRule="auto"/>
                    <w:jc w:val="center"/>
                    <w:rPr>
                      <w:color w:val="auto"/>
                      <w:sz w:val="21"/>
                      <w:szCs w:val="21"/>
                    </w:rPr>
                  </w:pPr>
                </w:p>
              </w:tc>
              <w:tc>
                <w:tcPr>
                  <w:tcW w:w="537" w:type="pct"/>
                  <w:vMerge w:val="continue"/>
                  <w:tcBorders>
                    <w:tl2br w:val="nil"/>
                    <w:tr2bl w:val="nil"/>
                  </w:tcBorders>
                  <w:noWrap w:val="0"/>
                  <w:vAlign w:val="center"/>
                </w:tcPr>
                <w:p w14:paraId="2DA30DDB">
                  <w:pPr>
                    <w:spacing w:line="360" w:lineRule="auto"/>
                    <w:jc w:val="center"/>
                    <w:rPr>
                      <w:color w:val="auto"/>
                      <w:sz w:val="21"/>
                      <w:szCs w:val="21"/>
                    </w:rPr>
                  </w:pPr>
                </w:p>
              </w:tc>
              <w:tc>
                <w:tcPr>
                  <w:tcW w:w="326" w:type="pct"/>
                  <w:vMerge w:val="continue"/>
                  <w:tcBorders>
                    <w:tl2br w:val="nil"/>
                    <w:tr2bl w:val="nil"/>
                  </w:tcBorders>
                  <w:noWrap w:val="0"/>
                  <w:vAlign w:val="center"/>
                </w:tcPr>
                <w:p w14:paraId="532227D9">
                  <w:pPr>
                    <w:spacing w:line="360" w:lineRule="auto"/>
                    <w:jc w:val="center"/>
                    <w:rPr>
                      <w:color w:val="auto"/>
                      <w:sz w:val="21"/>
                      <w:szCs w:val="21"/>
                    </w:rPr>
                  </w:pPr>
                </w:p>
              </w:tc>
            </w:tr>
            <w:tr w14:paraId="11FF7FB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10" w:hRule="atLeast"/>
                <w:jc w:val="center"/>
              </w:trPr>
              <w:tc>
                <w:tcPr>
                  <w:tcW w:w="268" w:type="pct"/>
                  <w:tcBorders>
                    <w:tl2br w:val="nil"/>
                    <w:tr2bl w:val="nil"/>
                  </w:tcBorders>
                  <w:noWrap w:val="0"/>
                  <w:vAlign w:val="center"/>
                </w:tcPr>
                <w:p w14:paraId="31F0774E">
                  <w:pPr>
                    <w:jc w:val="center"/>
                    <w:rPr>
                      <w:rFonts w:ascii="Times New Roman" w:hAnsi="Times New Roman" w:eastAsia="宋体" w:cs="Times New Roman"/>
                      <w:color w:val="auto"/>
                      <w:kern w:val="2"/>
                      <w:sz w:val="21"/>
                      <w:szCs w:val="21"/>
                      <w:lang w:val="en-US" w:eastAsia="zh-CN" w:bidi="ar-SA"/>
                    </w:rPr>
                  </w:pPr>
                  <w:r>
                    <w:rPr>
                      <w:color w:val="auto"/>
                      <w:sz w:val="21"/>
                      <w:szCs w:val="21"/>
                    </w:rPr>
                    <w:t>1</w:t>
                  </w:r>
                </w:p>
              </w:tc>
              <w:tc>
                <w:tcPr>
                  <w:tcW w:w="666" w:type="pct"/>
                  <w:tcBorders>
                    <w:tl2br w:val="nil"/>
                    <w:tr2bl w:val="nil"/>
                  </w:tcBorders>
                  <w:noWrap w:val="0"/>
                  <w:vAlign w:val="center"/>
                </w:tcPr>
                <w:p w14:paraId="042F97B1">
                  <w:pPr>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钢锭</w:t>
                  </w:r>
                </w:p>
              </w:tc>
              <w:tc>
                <w:tcPr>
                  <w:tcW w:w="458" w:type="pct"/>
                  <w:tcBorders>
                    <w:tl2br w:val="nil"/>
                    <w:tr2bl w:val="nil"/>
                  </w:tcBorders>
                  <w:noWrap w:val="0"/>
                  <w:vAlign w:val="center"/>
                </w:tcPr>
                <w:p w14:paraId="02377123">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t</w:t>
                  </w:r>
                </w:p>
              </w:tc>
              <w:tc>
                <w:tcPr>
                  <w:tcW w:w="598" w:type="pct"/>
                  <w:tcBorders>
                    <w:tl2br w:val="nil"/>
                    <w:tr2bl w:val="nil"/>
                  </w:tcBorders>
                  <w:noWrap w:val="0"/>
                  <w:vAlign w:val="center"/>
                </w:tcPr>
                <w:p w14:paraId="6D632BFF">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Cs w:val="21"/>
                      <w:lang w:val="en-US" w:eastAsia="zh-CN"/>
                    </w:rPr>
                    <w:t>3200</w:t>
                  </w:r>
                </w:p>
              </w:tc>
              <w:tc>
                <w:tcPr>
                  <w:tcW w:w="571" w:type="pct"/>
                  <w:tcBorders>
                    <w:tl2br w:val="nil"/>
                    <w:tr2bl w:val="nil"/>
                  </w:tcBorders>
                  <w:noWrap w:val="0"/>
                  <w:vAlign w:val="center"/>
                </w:tcPr>
                <w:p w14:paraId="5D0F4C9C">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Cs w:val="21"/>
                      <w:lang w:val="en-US" w:eastAsia="zh-CN"/>
                    </w:rPr>
                    <w:t>2</w:t>
                  </w:r>
                  <w:r>
                    <w:rPr>
                      <w:rFonts w:hint="eastAsia"/>
                      <w:color w:val="auto"/>
                      <w:kern w:val="0"/>
                      <w:szCs w:val="21"/>
                      <w:lang w:val="en-US" w:eastAsia="zh-CN"/>
                    </w:rPr>
                    <w:t>3050</w:t>
                  </w:r>
                </w:p>
              </w:tc>
              <w:tc>
                <w:tcPr>
                  <w:tcW w:w="643" w:type="pct"/>
                  <w:tcBorders>
                    <w:tl2br w:val="nil"/>
                    <w:tr2bl w:val="nil"/>
                  </w:tcBorders>
                  <w:noWrap w:val="0"/>
                  <w:vAlign w:val="center"/>
                </w:tcPr>
                <w:p w14:paraId="6F39A880">
                  <w:pPr>
                    <w:tabs>
                      <w:tab w:val="left" w:pos="328"/>
                    </w:tabs>
                    <w:snapToGrid w:val="0"/>
                    <w:ind w:firstLine="210" w:firstLineChars="100"/>
                    <w:jc w:val="both"/>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19850</w:t>
                  </w:r>
                </w:p>
              </w:tc>
              <w:tc>
                <w:tcPr>
                  <w:tcW w:w="929" w:type="pct"/>
                  <w:tcBorders>
                    <w:tl2br w:val="nil"/>
                    <w:tr2bl w:val="nil"/>
                  </w:tcBorders>
                  <w:noWrap w:val="0"/>
                  <w:vAlign w:val="center"/>
                </w:tcPr>
                <w:p w14:paraId="38B9E16B">
                  <w:pPr>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定制无包装</w:t>
                  </w:r>
                </w:p>
              </w:tc>
              <w:tc>
                <w:tcPr>
                  <w:tcW w:w="537" w:type="pct"/>
                  <w:tcBorders>
                    <w:tl2br w:val="nil"/>
                    <w:tr2bl w:val="nil"/>
                  </w:tcBorders>
                  <w:noWrap w:val="0"/>
                  <w:vAlign w:val="center"/>
                </w:tcPr>
                <w:p w14:paraId="7DFC6739">
                  <w:pPr>
                    <w:jc w:val="center"/>
                    <w:rPr>
                      <w:rFonts w:hint="default" w:ascii="宋体" w:hAnsi="宋体" w:eastAsia="宋体" w:cs="宋体"/>
                      <w:color w:val="auto"/>
                      <w:kern w:val="2"/>
                      <w:sz w:val="21"/>
                      <w:szCs w:val="21"/>
                      <w:lang w:val="en-US" w:eastAsia="zh-CN" w:bidi="ar-SA"/>
                    </w:rPr>
                  </w:pPr>
                  <w:r>
                    <w:rPr>
                      <w:rFonts w:hint="eastAsia"/>
                      <w:color w:val="auto"/>
                      <w:sz w:val="21"/>
                      <w:szCs w:val="21"/>
                      <w:lang w:val="en-US" w:eastAsia="zh-CN"/>
                    </w:rPr>
                    <w:t>3000</w:t>
                  </w:r>
                </w:p>
              </w:tc>
              <w:tc>
                <w:tcPr>
                  <w:tcW w:w="326" w:type="pct"/>
                  <w:tcBorders>
                    <w:tl2br w:val="nil"/>
                    <w:tr2bl w:val="nil"/>
                  </w:tcBorders>
                  <w:noWrap w:val="0"/>
                  <w:vAlign w:val="center"/>
                </w:tcPr>
                <w:p w14:paraId="30F730CA">
                  <w:pPr>
                    <w:pStyle w:val="143"/>
                    <w:spacing w:line="360" w:lineRule="auto"/>
                    <w:ind w:right="8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1704B77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90" w:hRule="atLeast"/>
                <w:jc w:val="center"/>
              </w:trPr>
              <w:tc>
                <w:tcPr>
                  <w:tcW w:w="268" w:type="pct"/>
                  <w:tcBorders>
                    <w:tl2br w:val="nil"/>
                    <w:tr2bl w:val="nil"/>
                  </w:tcBorders>
                  <w:noWrap w:val="0"/>
                  <w:vAlign w:val="center"/>
                </w:tcPr>
                <w:p w14:paraId="7129F850">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w:t>
                  </w:r>
                </w:p>
              </w:tc>
              <w:tc>
                <w:tcPr>
                  <w:tcW w:w="666" w:type="pct"/>
                  <w:tcBorders>
                    <w:tl2br w:val="nil"/>
                    <w:tr2bl w:val="nil"/>
                  </w:tcBorders>
                  <w:noWrap w:val="0"/>
                  <w:vAlign w:val="center"/>
                </w:tcPr>
                <w:p w14:paraId="09B0CA5A">
                  <w:pPr>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元钢</w:t>
                  </w:r>
                </w:p>
              </w:tc>
              <w:tc>
                <w:tcPr>
                  <w:tcW w:w="458" w:type="pct"/>
                  <w:tcBorders>
                    <w:tl2br w:val="nil"/>
                    <w:tr2bl w:val="nil"/>
                  </w:tcBorders>
                  <w:noWrap w:val="0"/>
                  <w:vAlign w:val="center"/>
                </w:tcPr>
                <w:p w14:paraId="6D58FA50">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t</w:t>
                  </w:r>
                </w:p>
              </w:tc>
              <w:tc>
                <w:tcPr>
                  <w:tcW w:w="598" w:type="pct"/>
                  <w:tcBorders>
                    <w:tl2br w:val="nil"/>
                    <w:tr2bl w:val="nil"/>
                  </w:tcBorders>
                  <w:noWrap w:val="0"/>
                  <w:vAlign w:val="center"/>
                </w:tcPr>
                <w:p w14:paraId="37C45491">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4030</w:t>
                  </w:r>
                </w:p>
              </w:tc>
              <w:tc>
                <w:tcPr>
                  <w:tcW w:w="571" w:type="pct"/>
                  <w:tcBorders>
                    <w:tl2br w:val="nil"/>
                    <w:tr2bl w:val="nil"/>
                  </w:tcBorders>
                  <w:noWrap w:val="0"/>
                  <w:vAlign w:val="center"/>
                </w:tcPr>
                <w:p w14:paraId="7C89F687">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8500</w:t>
                  </w:r>
                </w:p>
              </w:tc>
              <w:tc>
                <w:tcPr>
                  <w:tcW w:w="643" w:type="pct"/>
                  <w:tcBorders>
                    <w:tl2br w:val="nil"/>
                    <w:tr2bl w:val="nil"/>
                  </w:tcBorders>
                  <w:noWrap w:val="0"/>
                  <w:vAlign w:val="center"/>
                </w:tcPr>
                <w:p w14:paraId="1F548BFD">
                  <w:pPr>
                    <w:snapToGrid w:val="0"/>
                    <w:jc w:val="center"/>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4470</w:t>
                  </w:r>
                </w:p>
              </w:tc>
              <w:tc>
                <w:tcPr>
                  <w:tcW w:w="929" w:type="pct"/>
                  <w:tcBorders>
                    <w:tl2br w:val="nil"/>
                    <w:tr2bl w:val="nil"/>
                  </w:tcBorders>
                  <w:noWrap w:val="0"/>
                  <w:vAlign w:val="center"/>
                </w:tcPr>
                <w:p w14:paraId="13A0284E">
                  <w:pPr>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定制无包装</w:t>
                  </w:r>
                </w:p>
              </w:tc>
              <w:tc>
                <w:tcPr>
                  <w:tcW w:w="537" w:type="pct"/>
                  <w:tcBorders>
                    <w:tl2br w:val="nil"/>
                    <w:tr2bl w:val="nil"/>
                  </w:tcBorders>
                  <w:noWrap w:val="0"/>
                  <w:vAlign w:val="center"/>
                </w:tcPr>
                <w:p w14:paraId="7B96AADD">
                  <w:pPr>
                    <w:jc w:val="center"/>
                    <w:rPr>
                      <w:rFonts w:hint="default" w:ascii="宋体" w:hAnsi="宋体" w:eastAsia="宋体" w:cs="宋体"/>
                      <w:color w:val="auto"/>
                      <w:kern w:val="2"/>
                      <w:sz w:val="21"/>
                      <w:szCs w:val="21"/>
                      <w:lang w:val="en-US" w:eastAsia="zh-CN" w:bidi="ar-SA"/>
                    </w:rPr>
                  </w:pPr>
                  <w:r>
                    <w:rPr>
                      <w:rFonts w:hint="eastAsia"/>
                      <w:color w:val="auto"/>
                      <w:sz w:val="21"/>
                      <w:szCs w:val="21"/>
                      <w:lang w:val="en-US" w:eastAsia="zh-CN"/>
                    </w:rPr>
                    <w:t>3000</w:t>
                  </w:r>
                </w:p>
              </w:tc>
              <w:tc>
                <w:tcPr>
                  <w:tcW w:w="326" w:type="pct"/>
                  <w:tcBorders>
                    <w:tl2br w:val="nil"/>
                    <w:tr2bl w:val="nil"/>
                  </w:tcBorders>
                  <w:noWrap w:val="0"/>
                  <w:vAlign w:val="center"/>
                </w:tcPr>
                <w:p w14:paraId="03BAD942">
                  <w:pPr>
                    <w:pStyle w:val="143"/>
                    <w:spacing w:line="360" w:lineRule="auto"/>
                    <w:ind w:right="81" w:rightChars="0"/>
                    <w:jc w:val="center"/>
                    <w:rPr>
                      <w:rFonts w:hint="default" w:eastAsia="宋体"/>
                      <w:color w:val="auto"/>
                      <w:sz w:val="21"/>
                      <w:szCs w:val="21"/>
                      <w:lang w:val="en-US" w:eastAsia="zh-CN"/>
                    </w:rPr>
                  </w:pPr>
                  <w:r>
                    <w:rPr>
                      <w:rFonts w:hint="eastAsia" w:ascii="Times New Roman" w:hAnsi="Times New Roman" w:cs="Times New Roman"/>
                      <w:color w:val="auto"/>
                      <w:sz w:val="21"/>
                      <w:szCs w:val="21"/>
                      <w:lang w:val="en-US" w:eastAsia="zh-CN"/>
                    </w:rPr>
                    <w:t>/</w:t>
                  </w:r>
                </w:p>
              </w:tc>
            </w:tr>
            <w:tr w14:paraId="5C6C375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68" w:type="pct"/>
                  <w:tcBorders>
                    <w:tl2br w:val="nil"/>
                    <w:tr2bl w:val="nil"/>
                  </w:tcBorders>
                  <w:noWrap w:val="0"/>
                  <w:vAlign w:val="center"/>
                </w:tcPr>
                <w:p w14:paraId="1FEAC009">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3</w:t>
                  </w:r>
                </w:p>
              </w:tc>
              <w:tc>
                <w:tcPr>
                  <w:tcW w:w="666" w:type="pct"/>
                  <w:tcBorders>
                    <w:tl2br w:val="nil"/>
                    <w:tr2bl w:val="nil"/>
                  </w:tcBorders>
                  <w:noWrap w:val="0"/>
                  <w:vAlign w:val="center"/>
                </w:tcPr>
                <w:p w14:paraId="4A7709FB">
                  <w:pPr>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方钢</w:t>
                  </w:r>
                </w:p>
              </w:tc>
              <w:tc>
                <w:tcPr>
                  <w:tcW w:w="458" w:type="pct"/>
                  <w:tcBorders>
                    <w:tl2br w:val="nil"/>
                    <w:tr2bl w:val="nil"/>
                  </w:tcBorders>
                  <w:noWrap w:val="0"/>
                  <w:vAlign w:val="center"/>
                </w:tcPr>
                <w:p w14:paraId="05747AE6">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t</w:t>
                  </w:r>
                </w:p>
              </w:tc>
              <w:tc>
                <w:tcPr>
                  <w:tcW w:w="598" w:type="pct"/>
                  <w:tcBorders>
                    <w:tl2br w:val="nil"/>
                    <w:tr2bl w:val="nil"/>
                  </w:tcBorders>
                  <w:noWrap w:val="0"/>
                  <w:vAlign w:val="center"/>
                </w:tcPr>
                <w:p w14:paraId="79682986">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2200</w:t>
                  </w:r>
                </w:p>
              </w:tc>
              <w:tc>
                <w:tcPr>
                  <w:tcW w:w="571" w:type="pct"/>
                  <w:tcBorders>
                    <w:tl2br w:val="nil"/>
                    <w:tr2bl w:val="nil"/>
                  </w:tcBorders>
                  <w:noWrap w:val="0"/>
                  <w:vAlign w:val="center"/>
                </w:tcPr>
                <w:p w14:paraId="2E41F027">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2200</w:t>
                  </w:r>
                </w:p>
              </w:tc>
              <w:tc>
                <w:tcPr>
                  <w:tcW w:w="643" w:type="pct"/>
                  <w:tcBorders>
                    <w:tl2br w:val="nil"/>
                    <w:tr2bl w:val="nil"/>
                  </w:tcBorders>
                  <w:noWrap w:val="0"/>
                  <w:vAlign w:val="center"/>
                </w:tcPr>
                <w:p w14:paraId="3C60C698">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0</w:t>
                  </w:r>
                </w:p>
              </w:tc>
              <w:tc>
                <w:tcPr>
                  <w:tcW w:w="929" w:type="pct"/>
                  <w:tcBorders>
                    <w:tl2br w:val="nil"/>
                    <w:tr2bl w:val="nil"/>
                  </w:tcBorders>
                  <w:noWrap w:val="0"/>
                  <w:vAlign w:val="center"/>
                </w:tcPr>
                <w:p w14:paraId="2020B449">
                  <w:pPr>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定制无包装</w:t>
                  </w:r>
                </w:p>
              </w:tc>
              <w:tc>
                <w:tcPr>
                  <w:tcW w:w="537" w:type="pct"/>
                  <w:tcBorders>
                    <w:tl2br w:val="nil"/>
                    <w:tr2bl w:val="nil"/>
                  </w:tcBorders>
                  <w:noWrap w:val="0"/>
                  <w:vAlign w:val="center"/>
                </w:tcPr>
                <w:p w14:paraId="68F3AD5B">
                  <w:pPr>
                    <w:jc w:val="center"/>
                    <w:rPr>
                      <w:rFonts w:hint="default" w:ascii="宋体" w:hAnsi="宋体" w:eastAsia="宋体" w:cs="宋体"/>
                      <w:color w:val="auto"/>
                      <w:kern w:val="2"/>
                      <w:sz w:val="21"/>
                      <w:szCs w:val="21"/>
                      <w:lang w:val="en-US" w:eastAsia="zh-CN" w:bidi="ar-SA"/>
                    </w:rPr>
                  </w:pPr>
                  <w:r>
                    <w:rPr>
                      <w:rFonts w:hint="eastAsia"/>
                      <w:color w:val="auto"/>
                      <w:sz w:val="21"/>
                      <w:szCs w:val="21"/>
                      <w:lang w:val="en-US" w:eastAsia="zh-CN"/>
                    </w:rPr>
                    <w:t>1000</w:t>
                  </w:r>
                </w:p>
              </w:tc>
              <w:tc>
                <w:tcPr>
                  <w:tcW w:w="326" w:type="pct"/>
                  <w:tcBorders>
                    <w:tl2br w:val="nil"/>
                    <w:tr2bl w:val="nil"/>
                  </w:tcBorders>
                  <w:noWrap w:val="0"/>
                  <w:vAlign w:val="center"/>
                </w:tcPr>
                <w:p w14:paraId="78342C0D">
                  <w:pPr>
                    <w:pStyle w:val="143"/>
                    <w:spacing w:line="360" w:lineRule="auto"/>
                    <w:ind w:right="81" w:right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w:t>
                  </w:r>
                </w:p>
              </w:tc>
            </w:tr>
            <w:tr w14:paraId="61ECEEB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268" w:type="pct"/>
                  <w:tcBorders>
                    <w:tl2br w:val="nil"/>
                    <w:tr2bl w:val="nil"/>
                  </w:tcBorders>
                  <w:noWrap w:val="0"/>
                  <w:vAlign w:val="center"/>
                </w:tcPr>
                <w:p w14:paraId="7E6CAFDB">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4</w:t>
                  </w:r>
                </w:p>
              </w:tc>
              <w:tc>
                <w:tcPr>
                  <w:tcW w:w="666" w:type="pct"/>
                  <w:tcBorders>
                    <w:tl2br w:val="nil"/>
                    <w:tr2bl w:val="nil"/>
                  </w:tcBorders>
                  <w:noWrap w:val="0"/>
                  <w:vAlign w:val="center"/>
                </w:tcPr>
                <w:p w14:paraId="7ABCC441">
                  <w:pPr>
                    <w:tabs>
                      <w:tab w:val="left" w:pos="447"/>
                    </w:tabs>
                    <w:snapToGrid w:val="0"/>
                    <w:ind w:firstLine="210" w:firstLineChars="100"/>
                    <w:jc w:val="both"/>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润滑油</w:t>
                  </w:r>
                </w:p>
              </w:tc>
              <w:tc>
                <w:tcPr>
                  <w:tcW w:w="458" w:type="pct"/>
                  <w:tcBorders>
                    <w:tl2br w:val="nil"/>
                    <w:tr2bl w:val="nil"/>
                  </w:tcBorders>
                  <w:noWrap w:val="0"/>
                  <w:vAlign w:val="center"/>
                </w:tcPr>
                <w:p w14:paraId="3EFAE4D1">
                  <w:pPr>
                    <w:jc w:val="center"/>
                    <w:rPr>
                      <w:rFonts w:hint="eastAsia" w:ascii="宋体" w:hAnsi="宋体" w:eastAsia="宋体" w:cs="宋体"/>
                      <w:color w:val="auto"/>
                      <w:kern w:val="2"/>
                      <w:sz w:val="21"/>
                      <w:szCs w:val="21"/>
                      <w:lang w:val="en-US" w:eastAsia="zh-CN" w:bidi="ar-SA"/>
                    </w:rPr>
                  </w:pPr>
                  <w:r>
                    <w:rPr>
                      <w:rFonts w:hint="eastAsia"/>
                      <w:color w:val="auto"/>
                      <w:sz w:val="21"/>
                      <w:szCs w:val="21"/>
                      <w:lang w:val="en-US" w:eastAsia="zh-CN"/>
                    </w:rPr>
                    <w:t>t</w:t>
                  </w:r>
                </w:p>
              </w:tc>
              <w:tc>
                <w:tcPr>
                  <w:tcW w:w="598" w:type="pct"/>
                  <w:tcBorders>
                    <w:tl2br w:val="nil"/>
                    <w:tr2bl w:val="nil"/>
                  </w:tcBorders>
                  <w:noWrap w:val="0"/>
                  <w:vAlign w:val="center"/>
                </w:tcPr>
                <w:p w14:paraId="32E1270B">
                  <w:pPr>
                    <w:snapToGrid w:val="0"/>
                    <w:jc w:val="center"/>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bidi="ar-SA"/>
                    </w:rPr>
                    <w:t>0.5</w:t>
                  </w:r>
                </w:p>
              </w:tc>
              <w:tc>
                <w:tcPr>
                  <w:tcW w:w="571" w:type="pct"/>
                  <w:tcBorders>
                    <w:tl2br w:val="nil"/>
                    <w:tr2bl w:val="nil"/>
                  </w:tcBorders>
                  <w:noWrap w:val="0"/>
                  <w:vAlign w:val="center"/>
                </w:tcPr>
                <w:p w14:paraId="02F241A8">
                  <w:pPr>
                    <w:snapToGrid w:val="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bidi="ar-SA"/>
                    </w:rPr>
                    <w:t>0.7</w:t>
                  </w:r>
                </w:p>
              </w:tc>
              <w:tc>
                <w:tcPr>
                  <w:tcW w:w="643" w:type="pct"/>
                  <w:tcBorders>
                    <w:tl2br w:val="nil"/>
                    <w:tr2bl w:val="nil"/>
                  </w:tcBorders>
                  <w:noWrap w:val="0"/>
                  <w:vAlign w:val="center"/>
                </w:tcPr>
                <w:p w14:paraId="5F6F42A9">
                  <w:pPr>
                    <w:snapToGrid w:val="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bidi="ar-SA"/>
                    </w:rPr>
                    <w:t>+0.2</w:t>
                  </w:r>
                </w:p>
              </w:tc>
              <w:tc>
                <w:tcPr>
                  <w:tcW w:w="929" w:type="pct"/>
                  <w:tcBorders>
                    <w:tl2br w:val="nil"/>
                    <w:tr2bl w:val="nil"/>
                  </w:tcBorders>
                  <w:noWrap w:val="0"/>
                  <w:vAlign w:val="center"/>
                </w:tcPr>
                <w:p w14:paraId="704D067B">
                  <w:pPr>
                    <w:tabs>
                      <w:tab w:val="left" w:pos="226"/>
                    </w:tabs>
                    <w:snapToGrid w:val="0"/>
                    <w:jc w:val="center"/>
                    <w:rPr>
                      <w:rFonts w:hint="default" w:ascii="Times New Roman" w:hAnsi="Times New Roman" w:eastAsia="宋体" w:cs="Times New Roman"/>
                      <w:color w:val="auto"/>
                      <w:kern w:val="0"/>
                      <w:sz w:val="18"/>
                      <w:szCs w:val="20"/>
                      <w:lang w:val="en-US" w:eastAsia="zh-CN" w:bidi="ar-SA"/>
                    </w:rPr>
                  </w:pPr>
                  <w:r>
                    <w:rPr>
                      <w:rFonts w:hint="eastAsia" w:eastAsia="宋体"/>
                      <w:color w:val="auto"/>
                      <w:kern w:val="2"/>
                      <w:sz w:val="21"/>
                      <w:szCs w:val="21"/>
                      <w:lang w:val="en-US" w:eastAsia="zh-CN" w:bidi="ar-SA"/>
                    </w:rPr>
                    <w:t>170kg/</w:t>
                  </w:r>
                  <w:r>
                    <w:rPr>
                      <w:rFonts w:hint="eastAsia"/>
                      <w:color w:val="auto"/>
                      <w:sz w:val="21"/>
                      <w:szCs w:val="21"/>
                      <w:lang w:val="en-US" w:eastAsia="zh-CN"/>
                    </w:rPr>
                    <w:t>铁桶包装</w:t>
                  </w:r>
                </w:p>
              </w:tc>
              <w:tc>
                <w:tcPr>
                  <w:tcW w:w="537" w:type="pct"/>
                  <w:tcBorders>
                    <w:tl2br w:val="nil"/>
                    <w:tr2bl w:val="nil"/>
                  </w:tcBorders>
                  <w:noWrap w:val="0"/>
                  <w:vAlign w:val="center"/>
                </w:tcPr>
                <w:p w14:paraId="3D776102">
                  <w:pPr>
                    <w:jc w:val="center"/>
                    <w:rPr>
                      <w:rFonts w:hint="default" w:ascii="宋体" w:hAnsi="宋体" w:eastAsia="宋体" w:cs="宋体"/>
                      <w:color w:val="auto"/>
                      <w:kern w:val="2"/>
                      <w:sz w:val="21"/>
                      <w:szCs w:val="21"/>
                      <w:lang w:val="en-US" w:eastAsia="zh-CN" w:bidi="ar-SA"/>
                    </w:rPr>
                  </w:pPr>
                  <w:r>
                    <w:rPr>
                      <w:rFonts w:hint="eastAsia"/>
                      <w:color w:val="auto"/>
                      <w:sz w:val="21"/>
                      <w:szCs w:val="21"/>
                      <w:lang w:val="en-US" w:eastAsia="zh-CN"/>
                    </w:rPr>
                    <w:t>0.5</w:t>
                  </w:r>
                </w:p>
              </w:tc>
              <w:tc>
                <w:tcPr>
                  <w:tcW w:w="326" w:type="pct"/>
                  <w:tcBorders>
                    <w:tl2br w:val="nil"/>
                    <w:tr2bl w:val="nil"/>
                  </w:tcBorders>
                  <w:noWrap w:val="0"/>
                  <w:vAlign w:val="center"/>
                </w:tcPr>
                <w:p w14:paraId="4AAB9C6D">
                  <w:pPr>
                    <w:pStyle w:val="143"/>
                    <w:spacing w:line="360" w:lineRule="auto"/>
                    <w:ind w:right="81" w:rightChars="0"/>
                    <w:jc w:val="center"/>
                    <w:rPr>
                      <w:rFonts w:hint="default"/>
                      <w:color w:val="auto"/>
                      <w:sz w:val="21"/>
                      <w:szCs w:val="21"/>
                      <w:lang w:val="en-US" w:eastAsia="zh-CN"/>
                    </w:rPr>
                  </w:pPr>
                  <w:r>
                    <w:rPr>
                      <w:rFonts w:hint="eastAsia" w:ascii="Times New Roman" w:hAnsi="Times New Roman" w:cs="Times New Roman"/>
                      <w:color w:val="auto"/>
                      <w:sz w:val="21"/>
                      <w:szCs w:val="21"/>
                      <w:lang w:val="en-US" w:eastAsia="zh-CN"/>
                    </w:rPr>
                    <w:t>/</w:t>
                  </w:r>
                </w:p>
              </w:tc>
            </w:tr>
            <w:tr w14:paraId="316FC0B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268" w:type="pct"/>
                  <w:tcBorders>
                    <w:tl2br w:val="nil"/>
                    <w:tr2bl w:val="nil"/>
                  </w:tcBorders>
                  <w:noWrap w:val="0"/>
                  <w:vAlign w:val="center"/>
                </w:tcPr>
                <w:p w14:paraId="1B25B8B3">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666" w:type="pct"/>
                  <w:tcBorders>
                    <w:tl2br w:val="nil"/>
                    <w:tr2bl w:val="nil"/>
                  </w:tcBorders>
                  <w:noWrap w:val="0"/>
                  <w:vAlign w:val="center"/>
                </w:tcPr>
                <w:p w14:paraId="7B530841">
                  <w:pPr>
                    <w:tabs>
                      <w:tab w:val="left" w:pos="447"/>
                    </w:tabs>
                    <w:snapToGrid w:val="0"/>
                    <w:ind w:firstLine="210" w:firstLineChars="100"/>
                    <w:jc w:val="both"/>
                    <w:rPr>
                      <w:rFonts w:hint="default" w:eastAsia="宋体"/>
                      <w:color w:val="auto"/>
                      <w:kern w:val="2"/>
                      <w:sz w:val="21"/>
                      <w:szCs w:val="21"/>
                      <w:lang w:val="en-US" w:eastAsia="zh-CN" w:bidi="ar-SA"/>
                    </w:rPr>
                  </w:pPr>
                  <w:r>
                    <w:rPr>
                      <w:rFonts w:hint="eastAsia"/>
                      <w:color w:val="auto"/>
                      <w:kern w:val="2"/>
                      <w:sz w:val="21"/>
                      <w:szCs w:val="21"/>
                      <w:lang w:val="en-US" w:eastAsia="zh-CN" w:bidi="ar-SA"/>
                    </w:rPr>
                    <w:t>切削液</w:t>
                  </w:r>
                </w:p>
              </w:tc>
              <w:tc>
                <w:tcPr>
                  <w:tcW w:w="458" w:type="pct"/>
                  <w:tcBorders>
                    <w:tl2br w:val="nil"/>
                    <w:tr2bl w:val="nil"/>
                  </w:tcBorders>
                  <w:noWrap w:val="0"/>
                  <w:vAlign w:val="center"/>
                </w:tcPr>
                <w:p w14:paraId="42511096">
                  <w:pPr>
                    <w:jc w:val="center"/>
                    <w:rPr>
                      <w:rFonts w:hint="default"/>
                      <w:color w:val="auto"/>
                      <w:sz w:val="21"/>
                      <w:szCs w:val="21"/>
                      <w:lang w:val="en-US" w:eastAsia="zh-CN"/>
                    </w:rPr>
                  </w:pPr>
                  <w:r>
                    <w:rPr>
                      <w:rFonts w:hint="eastAsia"/>
                      <w:color w:val="auto"/>
                      <w:sz w:val="21"/>
                      <w:szCs w:val="21"/>
                      <w:lang w:val="en-US" w:eastAsia="zh-CN"/>
                    </w:rPr>
                    <w:t>t</w:t>
                  </w:r>
                </w:p>
              </w:tc>
              <w:tc>
                <w:tcPr>
                  <w:tcW w:w="598" w:type="pct"/>
                  <w:tcBorders>
                    <w:tl2br w:val="nil"/>
                    <w:tr2bl w:val="nil"/>
                  </w:tcBorders>
                  <w:noWrap w:val="0"/>
                  <w:vAlign w:val="center"/>
                </w:tcPr>
                <w:p w14:paraId="20CDFCAF">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w:t>
                  </w:r>
                </w:p>
              </w:tc>
              <w:tc>
                <w:tcPr>
                  <w:tcW w:w="571" w:type="pct"/>
                  <w:tcBorders>
                    <w:tl2br w:val="nil"/>
                    <w:tr2bl w:val="nil"/>
                  </w:tcBorders>
                  <w:noWrap w:val="0"/>
                  <w:vAlign w:val="center"/>
                </w:tcPr>
                <w:p w14:paraId="429EDC02">
                  <w:pPr>
                    <w:snapToGrid w:val="0"/>
                    <w:jc w:val="center"/>
                    <w:rPr>
                      <w:rFonts w:hint="default"/>
                      <w:color w:val="auto"/>
                      <w:kern w:val="0"/>
                      <w:sz w:val="21"/>
                      <w:szCs w:val="21"/>
                      <w:lang w:val="en-US" w:eastAsia="zh-CN" w:bidi="ar-SA"/>
                    </w:rPr>
                  </w:pPr>
                  <w:r>
                    <w:rPr>
                      <w:rFonts w:hint="eastAsia"/>
                      <w:color w:val="auto"/>
                      <w:kern w:val="0"/>
                      <w:sz w:val="21"/>
                      <w:szCs w:val="21"/>
                      <w:lang w:val="en-US" w:eastAsia="zh-CN" w:bidi="ar-SA"/>
                    </w:rPr>
                    <w:t>0.5</w:t>
                  </w:r>
                </w:p>
              </w:tc>
              <w:tc>
                <w:tcPr>
                  <w:tcW w:w="643" w:type="pct"/>
                  <w:tcBorders>
                    <w:tl2br w:val="nil"/>
                    <w:tr2bl w:val="nil"/>
                  </w:tcBorders>
                  <w:noWrap w:val="0"/>
                  <w:vAlign w:val="center"/>
                </w:tcPr>
                <w:p w14:paraId="23026A9A">
                  <w:pPr>
                    <w:snapToGrid w:val="0"/>
                    <w:jc w:val="center"/>
                    <w:rPr>
                      <w:rFonts w:hint="default"/>
                      <w:color w:val="auto"/>
                      <w:kern w:val="0"/>
                      <w:sz w:val="21"/>
                      <w:szCs w:val="21"/>
                      <w:lang w:val="en-US" w:eastAsia="zh-CN" w:bidi="ar-SA"/>
                    </w:rPr>
                  </w:pPr>
                  <w:r>
                    <w:rPr>
                      <w:rFonts w:hint="eastAsia"/>
                      <w:color w:val="auto"/>
                      <w:kern w:val="0"/>
                      <w:sz w:val="21"/>
                      <w:szCs w:val="21"/>
                      <w:lang w:val="en-US" w:eastAsia="zh-CN" w:bidi="ar-SA"/>
                    </w:rPr>
                    <w:t>+0.5</w:t>
                  </w:r>
                </w:p>
              </w:tc>
              <w:tc>
                <w:tcPr>
                  <w:tcW w:w="929" w:type="pct"/>
                  <w:tcBorders>
                    <w:tl2br w:val="nil"/>
                    <w:tr2bl w:val="nil"/>
                  </w:tcBorders>
                  <w:noWrap w:val="0"/>
                  <w:vAlign w:val="center"/>
                </w:tcPr>
                <w:p w14:paraId="123C465D">
                  <w:pPr>
                    <w:tabs>
                      <w:tab w:val="left" w:pos="226"/>
                    </w:tabs>
                    <w:snapToGrid w:val="0"/>
                    <w:jc w:val="center"/>
                    <w:rPr>
                      <w:rFonts w:hint="eastAsia" w:ascii="Times New Roman" w:hAnsi="Times New Roman" w:eastAsia="宋体" w:cs="Times New Roman"/>
                      <w:color w:val="auto"/>
                      <w:kern w:val="0"/>
                      <w:sz w:val="18"/>
                      <w:szCs w:val="20"/>
                      <w:lang w:val="en-US" w:eastAsia="zh-CN" w:bidi="ar-SA"/>
                    </w:rPr>
                  </w:pPr>
                  <w:r>
                    <w:rPr>
                      <w:rFonts w:hint="eastAsia" w:eastAsia="宋体"/>
                      <w:color w:val="auto"/>
                      <w:kern w:val="2"/>
                      <w:sz w:val="21"/>
                      <w:szCs w:val="21"/>
                      <w:lang w:val="en-US" w:eastAsia="zh-CN" w:bidi="ar-SA"/>
                    </w:rPr>
                    <w:t>170kg/</w:t>
                  </w:r>
                  <w:r>
                    <w:rPr>
                      <w:rFonts w:hint="eastAsia"/>
                      <w:color w:val="auto"/>
                      <w:sz w:val="21"/>
                      <w:szCs w:val="21"/>
                      <w:lang w:val="en-US" w:eastAsia="zh-CN"/>
                    </w:rPr>
                    <w:t>铁桶包装</w:t>
                  </w:r>
                </w:p>
              </w:tc>
              <w:tc>
                <w:tcPr>
                  <w:tcW w:w="537" w:type="pct"/>
                  <w:tcBorders>
                    <w:tl2br w:val="nil"/>
                    <w:tr2bl w:val="nil"/>
                  </w:tcBorders>
                  <w:noWrap w:val="0"/>
                  <w:vAlign w:val="center"/>
                </w:tcPr>
                <w:p w14:paraId="4420498C">
                  <w:pPr>
                    <w:jc w:val="center"/>
                    <w:rPr>
                      <w:rFonts w:hint="eastAsia" w:ascii="宋体" w:hAnsi="宋体" w:eastAsia="宋体" w:cs="宋体"/>
                      <w:color w:val="auto"/>
                      <w:kern w:val="2"/>
                      <w:sz w:val="21"/>
                      <w:szCs w:val="21"/>
                      <w:lang w:val="en-US" w:eastAsia="zh-CN" w:bidi="ar-SA"/>
                    </w:rPr>
                  </w:pPr>
                  <w:r>
                    <w:rPr>
                      <w:rFonts w:hint="eastAsia"/>
                      <w:color w:val="auto"/>
                      <w:sz w:val="21"/>
                      <w:szCs w:val="21"/>
                      <w:lang w:val="en-US" w:eastAsia="zh-CN"/>
                    </w:rPr>
                    <w:t>0.5</w:t>
                  </w:r>
                </w:p>
              </w:tc>
              <w:tc>
                <w:tcPr>
                  <w:tcW w:w="326" w:type="pct"/>
                  <w:tcBorders>
                    <w:tl2br w:val="nil"/>
                    <w:tr2bl w:val="nil"/>
                  </w:tcBorders>
                  <w:noWrap w:val="0"/>
                  <w:vAlign w:val="center"/>
                </w:tcPr>
                <w:p w14:paraId="7BDF4D43">
                  <w:pPr>
                    <w:pStyle w:val="143"/>
                    <w:spacing w:line="360" w:lineRule="auto"/>
                    <w:ind w:right="81"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588C484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268" w:type="pct"/>
                  <w:tcBorders>
                    <w:tl2br w:val="nil"/>
                    <w:tr2bl w:val="nil"/>
                  </w:tcBorders>
                  <w:noWrap w:val="0"/>
                  <w:vAlign w:val="center"/>
                </w:tcPr>
                <w:p w14:paraId="098F6242">
                  <w:pPr>
                    <w:jc w:val="center"/>
                    <w:rPr>
                      <w:rFonts w:hint="eastAsia" w:eastAsia="宋体"/>
                      <w:color w:val="auto"/>
                      <w:sz w:val="21"/>
                      <w:szCs w:val="21"/>
                      <w:lang w:val="en-US" w:eastAsia="zh-CN"/>
                    </w:rPr>
                  </w:pPr>
                  <w:r>
                    <w:rPr>
                      <w:rFonts w:hint="eastAsia"/>
                      <w:color w:val="auto"/>
                      <w:sz w:val="21"/>
                      <w:szCs w:val="21"/>
                      <w:lang w:val="en-US" w:eastAsia="zh-CN"/>
                    </w:rPr>
                    <w:t>6</w:t>
                  </w:r>
                </w:p>
              </w:tc>
              <w:tc>
                <w:tcPr>
                  <w:tcW w:w="666" w:type="pct"/>
                  <w:tcBorders>
                    <w:tl2br w:val="nil"/>
                    <w:tr2bl w:val="nil"/>
                  </w:tcBorders>
                  <w:noWrap w:val="0"/>
                  <w:vAlign w:val="center"/>
                </w:tcPr>
                <w:p w14:paraId="0B7665AC">
                  <w:pPr>
                    <w:tabs>
                      <w:tab w:val="left" w:pos="447"/>
                    </w:tabs>
                    <w:snapToGrid w:val="0"/>
                    <w:ind w:firstLine="210" w:firstLineChars="100"/>
                    <w:jc w:val="both"/>
                    <w:rPr>
                      <w:rFonts w:hint="default" w:eastAsia="宋体"/>
                      <w:color w:val="auto"/>
                      <w:kern w:val="2"/>
                      <w:sz w:val="21"/>
                      <w:szCs w:val="21"/>
                      <w:lang w:val="en-US" w:eastAsia="zh-CN" w:bidi="ar-SA"/>
                    </w:rPr>
                  </w:pPr>
                  <w:r>
                    <w:rPr>
                      <w:rFonts w:hint="eastAsia"/>
                      <w:color w:val="auto"/>
                      <w:kern w:val="2"/>
                      <w:sz w:val="21"/>
                      <w:szCs w:val="21"/>
                      <w:lang w:val="en-US" w:eastAsia="zh-CN" w:bidi="ar-SA"/>
                    </w:rPr>
                    <w:t>液压油</w:t>
                  </w:r>
                </w:p>
              </w:tc>
              <w:tc>
                <w:tcPr>
                  <w:tcW w:w="458" w:type="pct"/>
                  <w:tcBorders>
                    <w:tl2br w:val="nil"/>
                    <w:tr2bl w:val="nil"/>
                  </w:tcBorders>
                  <w:noWrap w:val="0"/>
                  <w:vAlign w:val="center"/>
                </w:tcPr>
                <w:p w14:paraId="05898DDD">
                  <w:pPr>
                    <w:jc w:val="center"/>
                    <w:rPr>
                      <w:rFonts w:hint="default"/>
                      <w:color w:val="auto"/>
                      <w:sz w:val="21"/>
                      <w:szCs w:val="21"/>
                      <w:lang w:val="en-US" w:eastAsia="zh-CN"/>
                    </w:rPr>
                  </w:pPr>
                  <w:r>
                    <w:rPr>
                      <w:rFonts w:hint="eastAsia"/>
                      <w:color w:val="auto"/>
                      <w:sz w:val="21"/>
                      <w:szCs w:val="21"/>
                      <w:lang w:val="en-US" w:eastAsia="zh-CN"/>
                    </w:rPr>
                    <w:t>t</w:t>
                  </w:r>
                </w:p>
              </w:tc>
              <w:tc>
                <w:tcPr>
                  <w:tcW w:w="598" w:type="pct"/>
                  <w:tcBorders>
                    <w:tl2br w:val="nil"/>
                    <w:tr2bl w:val="nil"/>
                  </w:tcBorders>
                  <w:noWrap w:val="0"/>
                  <w:vAlign w:val="center"/>
                </w:tcPr>
                <w:p w14:paraId="4719E779">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w:t>
                  </w:r>
                </w:p>
              </w:tc>
              <w:tc>
                <w:tcPr>
                  <w:tcW w:w="571" w:type="pct"/>
                  <w:tcBorders>
                    <w:tl2br w:val="nil"/>
                    <w:tr2bl w:val="nil"/>
                  </w:tcBorders>
                  <w:noWrap w:val="0"/>
                  <w:vAlign w:val="center"/>
                </w:tcPr>
                <w:p w14:paraId="20B79A34">
                  <w:pPr>
                    <w:snapToGrid w:val="0"/>
                    <w:jc w:val="center"/>
                    <w:rPr>
                      <w:rFonts w:hint="default"/>
                      <w:color w:val="auto"/>
                      <w:kern w:val="0"/>
                      <w:sz w:val="21"/>
                      <w:szCs w:val="21"/>
                      <w:lang w:val="en-US" w:eastAsia="zh-CN" w:bidi="ar-SA"/>
                    </w:rPr>
                  </w:pPr>
                  <w:r>
                    <w:rPr>
                      <w:rFonts w:hint="eastAsia"/>
                      <w:color w:val="auto"/>
                      <w:kern w:val="0"/>
                      <w:sz w:val="21"/>
                      <w:szCs w:val="21"/>
                      <w:lang w:val="en-US" w:eastAsia="zh-CN" w:bidi="ar-SA"/>
                    </w:rPr>
                    <w:t>5</w:t>
                  </w:r>
                </w:p>
              </w:tc>
              <w:tc>
                <w:tcPr>
                  <w:tcW w:w="643" w:type="pct"/>
                  <w:tcBorders>
                    <w:tl2br w:val="nil"/>
                    <w:tr2bl w:val="nil"/>
                  </w:tcBorders>
                  <w:noWrap w:val="0"/>
                  <w:vAlign w:val="center"/>
                </w:tcPr>
                <w:p w14:paraId="3669C13D">
                  <w:pPr>
                    <w:snapToGrid w:val="0"/>
                    <w:jc w:val="center"/>
                    <w:rPr>
                      <w:rFonts w:hint="default"/>
                      <w:color w:val="auto"/>
                      <w:kern w:val="0"/>
                      <w:sz w:val="21"/>
                      <w:szCs w:val="21"/>
                      <w:lang w:val="en-US" w:eastAsia="zh-CN" w:bidi="ar-SA"/>
                    </w:rPr>
                  </w:pPr>
                  <w:r>
                    <w:rPr>
                      <w:rFonts w:hint="eastAsia"/>
                      <w:color w:val="auto"/>
                      <w:kern w:val="0"/>
                      <w:sz w:val="21"/>
                      <w:szCs w:val="21"/>
                      <w:lang w:val="en-US" w:eastAsia="zh-CN" w:bidi="ar-SA"/>
                    </w:rPr>
                    <w:t>+5</w:t>
                  </w:r>
                </w:p>
              </w:tc>
              <w:tc>
                <w:tcPr>
                  <w:tcW w:w="929" w:type="pct"/>
                  <w:tcBorders>
                    <w:tl2br w:val="nil"/>
                    <w:tr2bl w:val="nil"/>
                  </w:tcBorders>
                  <w:noWrap w:val="0"/>
                  <w:vAlign w:val="center"/>
                </w:tcPr>
                <w:p w14:paraId="0561BD56">
                  <w:pPr>
                    <w:tabs>
                      <w:tab w:val="left" w:pos="226"/>
                    </w:tabs>
                    <w:snapToGrid w:val="0"/>
                    <w:jc w:val="center"/>
                    <w:rPr>
                      <w:rFonts w:hint="eastAsia" w:ascii="Times New Roman" w:hAnsi="Times New Roman" w:eastAsia="宋体" w:cs="Times New Roman"/>
                      <w:color w:val="auto"/>
                      <w:kern w:val="0"/>
                      <w:sz w:val="18"/>
                      <w:szCs w:val="20"/>
                      <w:lang w:val="en-US" w:eastAsia="zh-CN" w:bidi="ar-SA"/>
                    </w:rPr>
                  </w:pPr>
                  <w:r>
                    <w:rPr>
                      <w:rFonts w:hint="eastAsia" w:eastAsia="宋体"/>
                      <w:color w:val="auto"/>
                      <w:kern w:val="2"/>
                      <w:sz w:val="21"/>
                      <w:szCs w:val="21"/>
                      <w:lang w:val="en-US" w:eastAsia="zh-CN" w:bidi="ar-SA"/>
                    </w:rPr>
                    <w:t>170kg/</w:t>
                  </w:r>
                  <w:r>
                    <w:rPr>
                      <w:rFonts w:hint="eastAsia"/>
                      <w:color w:val="auto"/>
                      <w:sz w:val="21"/>
                      <w:szCs w:val="21"/>
                      <w:lang w:val="en-US" w:eastAsia="zh-CN"/>
                    </w:rPr>
                    <w:t>铁桶包装</w:t>
                  </w:r>
                </w:p>
              </w:tc>
              <w:tc>
                <w:tcPr>
                  <w:tcW w:w="537" w:type="pct"/>
                  <w:tcBorders>
                    <w:tl2br w:val="nil"/>
                    <w:tr2bl w:val="nil"/>
                  </w:tcBorders>
                  <w:noWrap w:val="0"/>
                  <w:vAlign w:val="center"/>
                </w:tcPr>
                <w:p w14:paraId="0C95CCFE">
                  <w:pPr>
                    <w:jc w:val="center"/>
                    <w:rPr>
                      <w:rFonts w:hint="eastAsia" w:ascii="宋体" w:hAnsi="宋体" w:eastAsia="宋体" w:cs="宋体"/>
                      <w:color w:val="auto"/>
                      <w:kern w:val="2"/>
                      <w:sz w:val="21"/>
                      <w:szCs w:val="21"/>
                      <w:lang w:val="en-US" w:eastAsia="zh-CN" w:bidi="ar-SA"/>
                    </w:rPr>
                  </w:pPr>
                  <w:r>
                    <w:rPr>
                      <w:rFonts w:hint="eastAsia"/>
                      <w:color w:val="auto"/>
                      <w:sz w:val="21"/>
                      <w:szCs w:val="21"/>
                      <w:lang w:val="en-US" w:eastAsia="zh-CN"/>
                    </w:rPr>
                    <w:t>0.5</w:t>
                  </w:r>
                </w:p>
              </w:tc>
              <w:tc>
                <w:tcPr>
                  <w:tcW w:w="326" w:type="pct"/>
                  <w:tcBorders>
                    <w:tl2br w:val="nil"/>
                    <w:tr2bl w:val="nil"/>
                  </w:tcBorders>
                  <w:noWrap w:val="0"/>
                  <w:vAlign w:val="center"/>
                </w:tcPr>
                <w:p w14:paraId="3970C1B6">
                  <w:pPr>
                    <w:pStyle w:val="143"/>
                    <w:spacing w:line="360" w:lineRule="auto"/>
                    <w:ind w:right="81"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5BAF51F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268" w:type="pct"/>
                  <w:tcBorders>
                    <w:tl2br w:val="nil"/>
                    <w:tr2bl w:val="nil"/>
                  </w:tcBorders>
                  <w:noWrap w:val="0"/>
                  <w:vAlign w:val="center"/>
                </w:tcPr>
                <w:p w14:paraId="7215D37D">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666" w:type="pct"/>
                  <w:tcBorders>
                    <w:tl2br w:val="nil"/>
                    <w:tr2bl w:val="nil"/>
                  </w:tcBorders>
                  <w:noWrap w:val="0"/>
                  <w:vAlign w:val="center"/>
                </w:tcPr>
                <w:p w14:paraId="7DD32D6A">
                  <w:pPr>
                    <w:tabs>
                      <w:tab w:val="left" w:pos="447"/>
                    </w:tabs>
                    <w:snapToGrid w:val="0"/>
                    <w:ind w:firstLine="210" w:firstLineChars="100"/>
                    <w:jc w:val="both"/>
                    <w:rPr>
                      <w:rFonts w:hint="default" w:eastAsia="宋体"/>
                      <w:color w:val="auto"/>
                      <w:kern w:val="2"/>
                      <w:sz w:val="21"/>
                      <w:szCs w:val="21"/>
                      <w:lang w:val="en-US" w:eastAsia="zh-CN" w:bidi="ar-SA"/>
                    </w:rPr>
                  </w:pPr>
                  <w:r>
                    <w:rPr>
                      <w:rFonts w:hint="eastAsia" w:eastAsia="宋体"/>
                      <w:color w:val="auto"/>
                      <w:kern w:val="2"/>
                      <w:sz w:val="21"/>
                      <w:szCs w:val="21"/>
                      <w:lang w:val="en-US" w:eastAsia="zh-CN" w:bidi="ar-SA"/>
                    </w:rPr>
                    <w:t>天然气</w:t>
                  </w:r>
                </w:p>
              </w:tc>
              <w:tc>
                <w:tcPr>
                  <w:tcW w:w="458" w:type="pct"/>
                  <w:tcBorders>
                    <w:tl2br w:val="nil"/>
                    <w:tr2bl w:val="nil"/>
                  </w:tcBorders>
                  <w:noWrap w:val="0"/>
                  <w:vAlign w:val="center"/>
                </w:tcPr>
                <w:p w14:paraId="5176727C">
                  <w:pPr>
                    <w:jc w:val="center"/>
                    <w:rPr>
                      <w:rFonts w:hint="default"/>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3</w:t>
                  </w:r>
                </w:p>
              </w:tc>
              <w:tc>
                <w:tcPr>
                  <w:tcW w:w="598" w:type="pct"/>
                  <w:tcBorders>
                    <w:tl2br w:val="nil"/>
                    <w:tr2bl w:val="nil"/>
                  </w:tcBorders>
                  <w:noWrap w:val="0"/>
                  <w:vAlign w:val="center"/>
                </w:tcPr>
                <w:p w14:paraId="6600B7BF">
                  <w:pPr>
                    <w:snapToGrid w:val="0"/>
                    <w:jc w:val="center"/>
                    <w:rPr>
                      <w:rFonts w:hint="default" w:eastAsia="宋体"/>
                      <w:color w:val="auto"/>
                      <w:kern w:val="0"/>
                      <w:sz w:val="21"/>
                      <w:szCs w:val="21"/>
                      <w:lang w:val="en-US" w:eastAsia="zh-CN" w:bidi="ar-SA"/>
                    </w:rPr>
                  </w:pPr>
                  <w:r>
                    <w:rPr>
                      <w:rFonts w:hint="eastAsia" w:eastAsia="宋体"/>
                      <w:color w:val="auto"/>
                      <w:kern w:val="0"/>
                      <w:sz w:val="21"/>
                      <w:szCs w:val="21"/>
                      <w:lang w:val="en-US" w:eastAsia="zh-CN" w:bidi="ar-SA"/>
                    </w:rPr>
                    <w:t>0</w:t>
                  </w:r>
                </w:p>
              </w:tc>
              <w:tc>
                <w:tcPr>
                  <w:tcW w:w="571" w:type="pct"/>
                  <w:tcBorders>
                    <w:tl2br w:val="nil"/>
                    <w:tr2bl w:val="nil"/>
                  </w:tcBorders>
                  <w:noWrap w:val="0"/>
                  <w:vAlign w:val="center"/>
                </w:tcPr>
                <w:p w14:paraId="00C6A9FE">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140</w:t>
                  </w:r>
                  <w:r>
                    <w:rPr>
                      <w:rFonts w:hint="eastAsia" w:eastAsia="宋体"/>
                      <w:color w:val="auto"/>
                      <w:kern w:val="0"/>
                      <w:sz w:val="21"/>
                      <w:szCs w:val="21"/>
                      <w:lang w:val="en-US" w:eastAsia="zh-CN" w:bidi="ar-SA"/>
                    </w:rPr>
                    <w:t>万</w:t>
                  </w:r>
                </w:p>
              </w:tc>
              <w:tc>
                <w:tcPr>
                  <w:tcW w:w="643" w:type="pct"/>
                  <w:tcBorders>
                    <w:tl2br w:val="nil"/>
                    <w:tr2bl w:val="nil"/>
                  </w:tcBorders>
                  <w:noWrap w:val="0"/>
                  <w:vAlign w:val="center"/>
                </w:tcPr>
                <w:p w14:paraId="3EA1A9D5">
                  <w:pPr>
                    <w:snapToGrid w:val="0"/>
                    <w:jc w:val="center"/>
                    <w:rPr>
                      <w:rFonts w:hint="default" w:eastAsia="宋体"/>
                      <w:color w:val="auto"/>
                      <w:kern w:val="0"/>
                      <w:sz w:val="21"/>
                      <w:szCs w:val="21"/>
                      <w:lang w:val="en-US" w:eastAsia="zh-CN" w:bidi="ar-SA"/>
                    </w:rPr>
                  </w:pPr>
                  <w:r>
                    <w:rPr>
                      <w:rFonts w:hint="eastAsia" w:eastAsia="宋体"/>
                      <w:color w:val="auto"/>
                      <w:kern w:val="0"/>
                      <w:sz w:val="21"/>
                      <w:szCs w:val="21"/>
                      <w:lang w:val="en-US" w:eastAsia="zh-CN" w:bidi="ar-SA"/>
                    </w:rPr>
                    <w:t>+</w:t>
                  </w:r>
                  <w:r>
                    <w:rPr>
                      <w:rFonts w:hint="eastAsia"/>
                      <w:color w:val="auto"/>
                      <w:kern w:val="0"/>
                      <w:sz w:val="21"/>
                      <w:szCs w:val="21"/>
                      <w:lang w:val="en-US" w:eastAsia="zh-CN" w:bidi="ar-SA"/>
                    </w:rPr>
                    <w:t>140</w:t>
                  </w:r>
                  <w:r>
                    <w:rPr>
                      <w:rFonts w:hint="eastAsia" w:eastAsia="宋体"/>
                      <w:color w:val="auto"/>
                      <w:kern w:val="0"/>
                      <w:sz w:val="21"/>
                      <w:szCs w:val="21"/>
                      <w:lang w:val="en-US" w:eastAsia="zh-CN" w:bidi="ar-SA"/>
                    </w:rPr>
                    <w:t>万</w:t>
                  </w:r>
                </w:p>
              </w:tc>
              <w:tc>
                <w:tcPr>
                  <w:tcW w:w="929" w:type="pct"/>
                  <w:tcBorders>
                    <w:tl2br w:val="nil"/>
                    <w:tr2bl w:val="nil"/>
                  </w:tcBorders>
                  <w:noWrap w:val="0"/>
                  <w:vAlign w:val="center"/>
                </w:tcPr>
                <w:p w14:paraId="36EC5308">
                  <w:pPr>
                    <w:pStyle w:val="16"/>
                    <w:ind w:right="113" w:rightChars="0"/>
                    <w:jc w:val="center"/>
                    <w:rPr>
                      <w:rFonts w:hint="default"/>
                      <w:color w:val="auto"/>
                      <w:sz w:val="21"/>
                      <w:szCs w:val="21"/>
                      <w:lang w:val="en-US" w:eastAsia="zh-CN"/>
                    </w:rPr>
                  </w:pPr>
                  <w:r>
                    <w:rPr>
                      <w:rFonts w:hint="eastAsia"/>
                      <w:color w:val="auto"/>
                      <w:sz w:val="21"/>
                      <w:szCs w:val="21"/>
                      <w:lang w:val="en-US" w:eastAsia="zh-CN"/>
                    </w:rPr>
                    <w:t>/</w:t>
                  </w:r>
                </w:p>
              </w:tc>
              <w:tc>
                <w:tcPr>
                  <w:tcW w:w="537" w:type="pct"/>
                  <w:tcBorders>
                    <w:tl2br w:val="nil"/>
                    <w:tr2bl w:val="nil"/>
                  </w:tcBorders>
                  <w:noWrap w:val="0"/>
                  <w:vAlign w:val="center"/>
                </w:tcPr>
                <w:p w14:paraId="283B5391">
                  <w:pPr>
                    <w:jc w:val="center"/>
                    <w:rPr>
                      <w:rFonts w:hint="default"/>
                      <w:color w:val="auto"/>
                      <w:sz w:val="21"/>
                      <w:szCs w:val="21"/>
                      <w:lang w:val="en-US" w:eastAsia="zh-CN"/>
                    </w:rPr>
                  </w:pPr>
                  <w:r>
                    <w:rPr>
                      <w:rFonts w:hint="eastAsia"/>
                      <w:color w:val="auto"/>
                      <w:sz w:val="21"/>
                      <w:szCs w:val="21"/>
                      <w:lang w:val="en-US" w:eastAsia="zh-CN"/>
                    </w:rPr>
                    <w:t>/</w:t>
                  </w:r>
                </w:p>
              </w:tc>
              <w:tc>
                <w:tcPr>
                  <w:tcW w:w="326" w:type="pct"/>
                  <w:tcBorders>
                    <w:tl2br w:val="nil"/>
                    <w:tr2bl w:val="nil"/>
                  </w:tcBorders>
                  <w:noWrap w:val="0"/>
                  <w:vAlign w:val="center"/>
                </w:tcPr>
                <w:p w14:paraId="1267ADAC">
                  <w:pPr>
                    <w:pStyle w:val="143"/>
                    <w:spacing w:line="360" w:lineRule="auto"/>
                    <w:ind w:right="81"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655DD85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268" w:type="pct"/>
                  <w:tcBorders>
                    <w:tl2br w:val="nil"/>
                    <w:tr2bl w:val="nil"/>
                  </w:tcBorders>
                  <w:noWrap w:val="0"/>
                  <w:vAlign w:val="center"/>
                </w:tcPr>
                <w:p w14:paraId="59CED220">
                  <w:pPr>
                    <w:jc w:val="center"/>
                    <w:rPr>
                      <w:rFonts w:hint="default"/>
                      <w:color w:val="auto"/>
                      <w:sz w:val="21"/>
                      <w:szCs w:val="21"/>
                      <w:lang w:val="en-US" w:eastAsia="zh-CN"/>
                    </w:rPr>
                  </w:pPr>
                  <w:r>
                    <w:rPr>
                      <w:rFonts w:hint="eastAsia"/>
                      <w:color w:val="auto"/>
                      <w:sz w:val="21"/>
                      <w:szCs w:val="21"/>
                      <w:lang w:val="en-US" w:eastAsia="zh-CN"/>
                    </w:rPr>
                    <w:t>6</w:t>
                  </w:r>
                </w:p>
              </w:tc>
              <w:tc>
                <w:tcPr>
                  <w:tcW w:w="666" w:type="pct"/>
                  <w:tcBorders>
                    <w:tl2br w:val="nil"/>
                    <w:tr2bl w:val="nil"/>
                  </w:tcBorders>
                  <w:noWrap w:val="0"/>
                  <w:vAlign w:val="center"/>
                </w:tcPr>
                <w:p w14:paraId="672E584C">
                  <w:pPr>
                    <w:tabs>
                      <w:tab w:val="left" w:pos="447"/>
                    </w:tabs>
                    <w:snapToGrid w:val="0"/>
                    <w:jc w:val="center"/>
                    <w:rPr>
                      <w:rFonts w:hint="default" w:eastAsia="宋体"/>
                      <w:color w:val="auto"/>
                      <w:kern w:val="2"/>
                      <w:sz w:val="21"/>
                      <w:szCs w:val="21"/>
                      <w:lang w:val="en-US" w:eastAsia="zh-CN" w:bidi="ar-SA"/>
                    </w:rPr>
                  </w:pPr>
                  <w:r>
                    <w:rPr>
                      <w:rFonts w:hint="eastAsia" w:eastAsia="宋体"/>
                      <w:color w:val="auto"/>
                      <w:kern w:val="2"/>
                      <w:sz w:val="21"/>
                      <w:szCs w:val="21"/>
                      <w:lang w:val="en-US" w:eastAsia="zh-CN" w:bidi="ar-SA"/>
                    </w:rPr>
                    <w:t>燃煤</w:t>
                  </w:r>
                </w:p>
              </w:tc>
              <w:tc>
                <w:tcPr>
                  <w:tcW w:w="458" w:type="pct"/>
                  <w:tcBorders>
                    <w:tl2br w:val="nil"/>
                    <w:tr2bl w:val="nil"/>
                  </w:tcBorders>
                  <w:noWrap w:val="0"/>
                  <w:vAlign w:val="center"/>
                </w:tcPr>
                <w:p w14:paraId="0F779673">
                  <w:pPr>
                    <w:jc w:val="center"/>
                    <w:rPr>
                      <w:rFonts w:hint="default"/>
                      <w:color w:val="auto"/>
                      <w:sz w:val="21"/>
                      <w:szCs w:val="21"/>
                      <w:lang w:val="en-US" w:eastAsia="zh-CN"/>
                    </w:rPr>
                  </w:pPr>
                  <w:r>
                    <w:rPr>
                      <w:rFonts w:hint="eastAsia"/>
                      <w:color w:val="auto"/>
                      <w:sz w:val="21"/>
                      <w:szCs w:val="21"/>
                      <w:lang w:val="en-US" w:eastAsia="zh-CN"/>
                    </w:rPr>
                    <w:t>t</w:t>
                  </w:r>
                </w:p>
              </w:tc>
              <w:tc>
                <w:tcPr>
                  <w:tcW w:w="598" w:type="pct"/>
                  <w:tcBorders>
                    <w:tl2br w:val="nil"/>
                    <w:tr2bl w:val="nil"/>
                  </w:tcBorders>
                  <w:noWrap w:val="0"/>
                  <w:vAlign w:val="center"/>
                </w:tcPr>
                <w:p w14:paraId="1D85FF21">
                  <w:pPr>
                    <w:snapToGrid w:val="0"/>
                    <w:jc w:val="center"/>
                    <w:rPr>
                      <w:rFonts w:hint="default" w:eastAsia="宋体"/>
                      <w:color w:val="auto"/>
                      <w:kern w:val="0"/>
                      <w:sz w:val="21"/>
                      <w:szCs w:val="21"/>
                      <w:lang w:val="en-US" w:eastAsia="zh-CN" w:bidi="ar-SA"/>
                    </w:rPr>
                  </w:pPr>
                  <w:r>
                    <w:rPr>
                      <w:rFonts w:hint="eastAsia" w:eastAsia="宋体"/>
                      <w:color w:val="auto"/>
                      <w:kern w:val="0"/>
                      <w:sz w:val="21"/>
                      <w:szCs w:val="21"/>
                      <w:lang w:val="en-US" w:eastAsia="zh-CN" w:bidi="ar-SA"/>
                    </w:rPr>
                    <w:t>2000</w:t>
                  </w:r>
                </w:p>
              </w:tc>
              <w:tc>
                <w:tcPr>
                  <w:tcW w:w="571" w:type="pct"/>
                  <w:tcBorders>
                    <w:tl2br w:val="nil"/>
                    <w:tr2bl w:val="nil"/>
                  </w:tcBorders>
                  <w:noWrap w:val="0"/>
                  <w:vAlign w:val="center"/>
                </w:tcPr>
                <w:p w14:paraId="5537289F">
                  <w:pPr>
                    <w:snapToGrid w:val="0"/>
                    <w:jc w:val="center"/>
                    <w:rPr>
                      <w:rFonts w:hint="default" w:eastAsia="宋体"/>
                      <w:color w:val="auto"/>
                      <w:kern w:val="0"/>
                      <w:sz w:val="21"/>
                      <w:szCs w:val="21"/>
                      <w:lang w:val="en-US" w:eastAsia="zh-CN" w:bidi="ar-SA"/>
                    </w:rPr>
                  </w:pPr>
                  <w:r>
                    <w:rPr>
                      <w:rFonts w:hint="eastAsia" w:eastAsia="宋体"/>
                      <w:color w:val="auto"/>
                      <w:kern w:val="0"/>
                      <w:sz w:val="21"/>
                      <w:szCs w:val="21"/>
                      <w:lang w:val="en-US" w:eastAsia="zh-CN" w:bidi="ar-SA"/>
                    </w:rPr>
                    <w:t>0</w:t>
                  </w:r>
                </w:p>
              </w:tc>
              <w:tc>
                <w:tcPr>
                  <w:tcW w:w="643" w:type="pct"/>
                  <w:tcBorders>
                    <w:tl2br w:val="nil"/>
                    <w:tr2bl w:val="nil"/>
                  </w:tcBorders>
                  <w:noWrap w:val="0"/>
                  <w:vAlign w:val="center"/>
                </w:tcPr>
                <w:p w14:paraId="134F9057">
                  <w:pPr>
                    <w:snapToGrid w:val="0"/>
                    <w:jc w:val="center"/>
                    <w:rPr>
                      <w:rFonts w:hint="default" w:eastAsia="宋体"/>
                      <w:color w:val="auto"/>
                      <w:kern w:val="0"/>
                      <w:sz w:val="21"/>
                      <w:szCs w:val="21"/>
                      <w:lang w:val="en-US" w:eastAsia="zh-CN" w:bidi="ar-SA"/>
                    </w:rPr>
                  </w:pPr>
                  <w:r>
                    <w:rPr>
                      <w:rFonts w:hint="eastAsia" w:eastAsia="宋体"/>
                      <w:color w:val="auto"/>
                      <w:kern w:val="0"/>
                      <w:sz w:val="21"/>
                      <w:szCs w:val="21"/>
                      <w:lang w:val="en-US" w:eastAsia="zh-CN" w:bidi="ar-SA"/>
                    </w:rPr>
                    <w:t>-2000</w:t>
                  </w:r>
                </w:p>
              </w:tc>
              <w:tc>
                <w:tcPr>
                  <w:tcW w:w="929" w:type="pct"/>
                  <w:tcBorders>
                    <w:tl2br w:val="nil"/>
                    <w:tr2bl w:val="nil"/>
                  </w:tcBorders>
                  <w:noWrap w:val="0"/>
                  <w:vAlign w:val="center"/>
                </w:tcPr>
                <w:p w14:paraId="3998F812">
                  <w:pPr>
                    <w:pStyle w:val="16"/>
                    <w:ind w:right="113" w:rightChars="0"/>
                    <w:jc w:val="center"/>
                    <w:rPr>
                      <w:rFonts w:hint="default"/>
                      <w:color w:val="auto"/>
                      <w:sz w:val="21"/>
                      <w:szCs w:val="21"/>
                      <w:lang w:val="en-US" w:eastAsia="zh-CN"/>
                    </w:rPr>
                  </w:pPr>
                  <w:r>
                    <w:rPr>
                      <w:rFonts w:hint="eastAsia"/>
                      <w:color w:val="auto"/>
                      <w:sz w:val="21"/>
                      <w:szCs w:val="21"/>
                      <w:lang w:val="en-US" w:eastAsia="zh-CN"/>
                    </w:rPr>
                    <w:t>/</w:t>
                  </w:r>
                </w:p>
              </w:tc>
              <w:tc>
                <w:tcPr>
                  <w:tcW w:w="537" w:type="pct"/>
                  <w:tcBorders>
                    <w:tl2br w:val="nil"/>
                    <w:tr2bl w:val="nil"/>
                  </w:tcBorders>
                  <w:noWrap w:val="0"/>
                  <w:vAlign w:val="center"/>
                </w:tcPr>
                <w:p w14:paraId="33477A12">
                  <w:pPr>
                    <w:jc w:val="center"/>
                    <w:rPr>
                      <w:rFonts w:hint="default"/>
                      <w:color w:val="auto"/>
                      <w:sz w:val="21"/>
                      <w:szCs w:val="21"/>
                      <w:lang w:val="en-US" w:eastAsia="zh-CN"/>
                    </w:rPr>
                  </w:pPr>
                  <w:r>
                    <w:rPr>
                      <w:rFonts w:hint="eastAsia"/>
                      <w:color w:val="auto"/>
                      <w:sz w:val="21"/>
                      <w:szCs w:val="21"/>
                      <w:lang w:val="en-US" w:eastAsia="zh-CN"/>
                    </w:rPr>
                    <w:t>/</w:t>
                  </w:r>
                </w:p>
              </w:tc>
              <w:tc>
                <w:tcPr>
                  <w:tcW w:w="326" w:type="pct"/>
                  <w:tcBorders>
                    <w:tl2br w:val="nil"/>
                    <w:tr2bl w:val="nil"/>
                  </w:tcBorders>
                  <w:noWrap w:val="0"/>
                  <w:vAlign w:val="center"/>
                </w:tcPr>
                <w:p w14:paraId="4E482BDB">
                  <w:pPr>
                    <w:pStyle w:val="143"/>
                    <w:spacing w:line="360" w:lineRule="auto"/>
                    <w:ind w:right="81"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1C7A076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268" w:type="pct"/>
                  <w:tcBorders>
                    <w:tl2br w:val="nil"/>
                    <w:tr2bl w:val="nil"/>
                  </w:tcBorders>
                  <w:noWrap w:val="0"/>
                  <w:vAlign w:val="center"/>
                </w:tcPr>
                <w:p w14:paraId="51BEF035">
                  <w:pPr>
                    <w:jc w:val="center"/>
                    <w:rPr>
                      <w:rFonts w:hint="default"/>
                      <w:color w:val="auto"/>
                      <w:sz w:val="21"/>
                      <w:szCs w:val="21"/>
                      <w:lang w:val="en-US" w:eastAsia="zh-CN"/>
                    </w:rPr>
                  </w:pPr>
                  <w:r>
                    <w:rPr>
                      <w:rFonts w:hint="eastAsia"/>
                      <w:color w:val="auto"/>
                      <w:sz w:val="21"/>
                      <w:szCs w:val="21"/>
                      <w:lang w:val="en-US" w:eastAsia="zh-CN"/>
                    </w:rPr>
                    <w:t>7</w:t>
                  </w:r>
                </w:p>
              </w:tc>
              <w:tc>
                <w:tcPr>
                  <w:tcW w:w="666" w:type="pct"/>
                  <w:tcBorders>
                    <w:tl2br w:val="nil"/>
                    <w:tr2bl w:val="nil"/>
                  </w:tcBorders>
                  <w:noWrap w:val="0"/>
                  <w:vAlign w:val="center"/>
                </w:tcPr>
                <w:p w14:paraId="2F885314">
                  <w:pPr>
                    <w:tabs>
                      <w:tab w:val="left" w:pos="447"/>
                    </w:tabs>
                    <w:snapToGrid w:val="0"/>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模锻模具</w:t>
                  </w:r>
                </w:p>
              </w:tc>
              <w:tc>
                <w:tcPr>
                  <w:tcW w:w="458" w:type="pct"/>
                  <w:tcBorders>
                    <w:tl2br w:val="nil"/>
                    <w:tr2bl w:val="nil"/>
                  </w:tcBorders>
                  <w:noWrap w:val="0"/>
                  <w:vAlign w:val="center"/>
                </w:tcPr>
                <w:p w14:paraId="4506BA56">
                  <w:pPr>
                    <w:jc w:val="center"/>
                    <w:rPr>
                      <w:rFonts w:hint="default"/>
                      <w:color w:val="auto"/>
                      <w:sz w:val="21"/>
                      <w:szCs w:val="21"/>
                      <w:lang w:val="en-US" w:eastAsia="zh-CN"/>
                    </w:rPr>
                  </w:pPr>
                  <w:r>
                    <w:rPr>
                      <w:rFonts w:hint="eastAsia"/>
                      <w:color w:val="auto"/>
                      <w:sz w:val="21"/>
                      <w:szCs w:val="21"/>
                      <w:lang w:val="en-US" w:eastAsia="zh-CN"/>
                    </w:rPr>
                    <w:t>t</w:t>
                  </w:r>
                </w:p>
              </w:tc>
              <w:tc>
                <w:tcPr>
                  <w:tcW w:w="598" w:type="pct"/>
                  <w:tcBorders>
                    <w:tl2br w:val="nil"/>
                    <w:tr2bl w:val="nil"/>
                  </w:tcBorders>
                  <w:noWrap w:val="0"/>
                  <w:vAlign w:val="center"/>
                </w:tcPr>
                <w:p w14:paraId="3E592356">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1</w:t>
                  </w:r>
                </w:p>
              </w:tc>
              <w:tc>
                <w:tcPr>
                  <w:tcW w:w="571" w:type="pct"/>
                  <w:tcBorders>
                    <w:tl2br w:val="nil"/>
                    <w:tr2bl w:val="nil"/>
                  </w:tcBorders>
                  <w:noWrap w:val="0"/>
                  <w:vAlign w:val="center"/>
                </w:tcPr>
                <w:p w14:paraId="3686A6DE">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3</w:t>
                  </w:r>
                </w:p>
              </w:tc>
              <w:tc>
                <w:tcPr>
                  <w:tcW w:w="643" w:type="pct"/>
                  <w:tcBorders>
                    <w:tl2br w:val="nil"/>
                    <w:tr2bl w:val="nil"/>
                  </w:tcBorders>
                  <w:noWrap w:val="0"/>
                  <w:vAlign w:val="center"/>
                </w:tcPr>
                <w:p w14:paraId="408DB816">
                  <w:pPr>
                    <w:snapToGrid w:val="0"/>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+2</w:t>
                  </w:r>
                </w:p>
              </w:tc>
              <w:tc>
                <w:tcPr>
                  <w:tcW w:w="929" w:type="pct"/>
                  <w:tcBorders>
                    <w:tl2br w:val="nil"/>
                    <w:tr2bl w:val="nil"/>
                  </w:tcBorders>
                  <w:noWrap w:val="0"/>
                  <w:vAlign w:val="center"/>
                </w:tcPr>
                <w:p w14:paraId="6B77631C">
                  <w:pPr>
                    <w:pStyle w:val="16"/>
                    <w:ind w:right="113" w:rightChars="0"/>
                    <w:jc w:val="center"/>
                    <w:rPr>
                      <w:rFonts w:hint="default"/>
                      <w:color w:val="auto"/>
                      <w:sz w:val="21"/>
                      <w:szCs w:val="21"/>
                      <w:lang w:val="en-US" w:eastAsia="zh-CN"/>
                    </w:rPr>
                  </w:pPr>
                  <w:r>
                    <w:rPr>
                      <w:rFonts w:hint="eastAsia"/>
                      <w:color w:val="auto"/>
                      <w:sz w:val="21"/>
                      <w:szCs w:val="21"/>
                      <w:lang w:val="en-US" w:eastAsia="zh-CN"/>
                    </w:rPr>
                    <w:t>/</w:t>
                  </w:r>
                </w:p>
              </w:tc>
              <w:tc>
                <w:tcPr>
                  <w:tcW w:w="537" w:type="pct"/>
                  <w:tcBorders>
                    <w:tl2br w:val="nil"/>
                    <w:tr2bl w:val="nil"/>
                  </w:tcBorders>
                  <w:noWrap w:val="0"/>
                  <w:vAlign w:val="center"/>
                </w:tcPr>
                <w:p w14:paraId="580D6938">
                  <w:pPr>
                    <w:jc w:val="center"/>
                    <w:rPr>
                      <w:rFonts w:hint="default"/>
                      <w:color w:val="auto"/>
                      <w:sz w:val="21"/>
                      <w:szCs w:val="21"/>
                      <w:lang w:val="en-US" w:eastAsia="zh-CN"/>
                    </w:rPr>
                  </w:pPr>
                  <w:r>
                    <w:rPr>
                      <w:rFonts w:hint="eastAsia"/>
                      <w:color w:val="auto"/>
                      <w:sz w:val="21"/>
                      <w:szCs w:val="21"/>
                      <w:lang w:val="en-US" w:eastAsia="zh-CN"/>
                    </w:rPr>
                    <w:t>/</w:t>
                  </w:r>
                </w:p>
              </w:tc>
              <w:tc>
                <w:tcPr>
                  <w:tcW w:w="326" w:type="pct"/>
                  <w:tcBorders>
                    <w:tl2br w:val="nil"/>
                    <w:tr2bl w:val="nil"/>
                  </w:tcBorders>
                  <w:noWrap w:val="0"/>
                  <w:vAlign w:val="center"/>
                </w:tcPr>
                <w:p w14:paraId="7C729C8F">
                  <w:pPr>
                    <w:pStyle w:val="143"/>
                    <w:spacing w:line="360" w:lineRule="auto"/>
                    <w:ind w:right="81"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自制</w:t>
                  </w:r>
                </w:p>
              </w:tc>
            </w:tr>
          </w:tbl>
          <w:p w14:paraId="3523306F">
            <w:pPr>
              <w:adjustRightInd w:val="0"/>
              <w:snapToGrid w:val="0"/>
              <w:spacing w:line="360" w:lineRule="auto"/>
              <w:ind w:firstLine="420" w:firstLineChars="200"/>
              <w:jc w:val="left"/>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原辅料与产能匹配性：本项目钢锭、元钢、方钢共</w:t>
            </w:r>
            <w:r>
              <w:rPr>
                <w:rFonts w:hint="eastAsia" w:ascii="Times New Roman" w:hAnsi="Times New Roman" w:cs="Times New Roman"/>
                <w:b w:val="0"/>
                <w:bCs w:val="0"/>
                <w:color w:val="auto"/>
                <w:sz w:val="21"/>
                <w:szCs w:val="21"/>
                <w:lang w:val="en-US" w:eastAsia="zh-CN"/>
              </w:rPr>
              <w:t>33750吨，产能为</w:t>
            </w:r>
            <w:r>
              <w:rPr>
                <w:rFonts w:hint="eastAsia" w:cs="Times New Roman"/>
                <w:bCs/>
                <w:color w:val="auto"/>
                <w:lang w:val="en-US" w:eastAsia="zh-CN"/>
              </w:rPr>
              <w:t>年模锻3000吨、自由锻24000吨</w:t>
            </w:r>
            <w:r>
              <w:rPr>
                <w:rFonts w:hint="eastAsia" w:ascii="Times New Roman" w:hAnsi="Times New Roman" w:cs="Times New Roman"/>
                <w:color w:val="auto"/>
                <w:sz w:val="21"/>
                <w:szCs w:val="21"/>
                <w:highlight w:val="none"/>
                <w:lang w:val="en-US" w:eastAsia="zh-CN"/>
              </w:rPr>
              <w:t>，原辅料的使用量可以满足产品产能。</w:t>
            </w:r>
          </w:p>
          <w:p w14:paraId="2F3B8F13">
            <w:pPr>
              <w:adjustRightInd w:val="0"/>
              <w:snapToGrid w:val="0"/>
              <w:spacing w:line="360" w:lineRule="auto"/>
              <w:jc w:val="center"/>
              <w:rPr>
                <w:color w:val="auto"/>
                <w:sz w:val="21"/>
                <w:szCs w:val="21"/>
              </w:rPr>
            </w:pPr>
            <w:r>
              <w:rPr>
                <w:b/>
                <w:bCs/>
                <w:color w:val="auto"/>
                <w:sz w:val="21"/>
                <w:szCs w:val="21"/>
              </w:rPr>
              <w:t>表2-</w:t>
            </w:r>
            <w:r>
              <w:rPr>
                <w:rFonts w:hint="eastAsia"/>
                <w:b/>
                <w:bCs/>
                <w:color w:val="auto"/>
                <w:sz w:val="21"/>
                <w:szCs w:val="21"/>
                <w:lang w:val="en-US" w:eastAsia="zh-CN"/>
              </w:rPr>
              <w:t>5 建设项目主</w:t>
            </w:r>
            <w:r>
              <w:rPr>
                <w:b/>
                <w:bCs/>
                <w:color w:val="auto"/>
                <w:sz w:val="21"/>
                <w:szCs w:val="21"/>
              </w:rPr>
              <w:t>要原辅料、中间产品、产品理化性质、毒性毒理</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88"/>
              <w:gridCol w:w="4500"/>
              <w:gridCol w:w="1057"/>
              <w:gridCol w:w="1151"/>
            </w:tblGrid>
            <w:tr w14:paraId="34ACAD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7" w:type="pct"/>
                  <w:noWrap w:val="0"/>
                  <w:vAlign w:val="center"/>
                </w:tcPr>
                <w:p w14:paraId="7B861853">
                  <w:pPr>
                    <w:widowControl/>
                    <w:spacing w:line="240" w:lineRule="auto"/>
                    <w:jc w:val="center"/>
                    <w:rPr>
                      <w:b/>
                      <w:bCs/>
                      <w:color w:val="auto"/>
                      <w:kern w:val="0"/>
                      <w:sz w:val="21"/>
                      <w:szCs w:val="21"/>
                    </w:rPr>
                  </w:pPr>
                  <w:bookmarkStart w:id="3" w:name="OLE_LINK1"/>
                  <w:r>
                    <w:rPr>
                      <w:b/>
                      <w:bCs/>
                      <w:color w:val="auto"/>
                      <w:kern w:val="0"/>
                      <w:sz w:val="21"/>
                      <w:szCs w:val="21"/>
                    </w:rPr>
                    <w:t>序号</w:t>
                  </w:r>
                </w:p>
              </w:tc>
              <w:tc>
                <w:tcPr>
                  <w:tcW w:w="657" w:type="pct"/>
                  <w:noWrap w:val="0"/>
                  <w:vAlign w:val="center"/>
                </w:tcPr>
                <w:p w14:paraId="3D9FBB4E">
                  <w:pPr>
                    <w:widowControl/>
                    <w:spacing w:line="240" w:lineRule="auto"/>
                    <w:jc w:val="center"/>
                    <w:rPr>
                      <w:rFonts w:hint="default" w:eastAsia="宋体"/>
                      <w:b/>
                      <w:bCs/>
                      <w:color w:val="auto"/>
                      <w:kern w:val="0"/>
                      <w:sz w:val="21"/>
                      <w:szCs w:val="21"/>
                      <w:lang w:val="en-US" w:eastAsia="zh-CN"/>
                    </w:rPr>
                  </w:pPr>
                  <w:r>
                    <w:rPr>
                      <w:b/>
                      <w:bCs/>
                      <w:color w:val="auto"/>
                      <w:kern w:val="0"/>
                      <w:sz w:val="21"/>
                      <w:szCs w:val="21"/>
                    </w:rPr>
                    <w:t>名称</w:t>
                  </w:r>
                </w:p>
              </w:tc>
              <w:tc>
                <w:tcPr>
                  <w:tcW w:w="2720" w:type="pct"/>
                  <w:noWrap w:val="0"/>
                  <w:vAlign w:val="center"/>
                </w:tcPr>
                <w:p w14:paraId="47592119">
                  <w:pPr>
                    <w:widowControl/>
                    <w:spacing w:line="240" w:lineRule="auto"/>
                    <w:jc w:val="center"/>
                    <w:rPr>
                      <w:b/>
                      <w:bCs/>
                      <w:color w:val="auto"/>
                      <w:kern w:val="0"/>
                      <w:sz w:val="21"/>
                      <w:szCs w:val="21"/>
                    </w:rPr>
                  </w:pPr>
                  <w:r>
                    <w:rPr>
                      <w:b/>
                      <w:bCs/>
                      <w:color w:val="auto"/>
                      <w:kern w:val="0"/>
                      <w:sz w:val="21"/>
                      <w:szCs w:val="21"/>
                    </w:rPr>
                    <w:t>理化性质</w:t>
                  </w:r>
                </w:p>
              </w:tc>
              <w:tc>
                <w:tcPr>
                  <w:tcW w:w="638" w:type="pct"/>
                  <w:noWrap w:val="0"/>
                  <w:vAlign w:val="center"/>
                </w:tcPr>
                <w:p w14:paraId="222F7304">
                  <w:pPr>
                    <w:widowControl/>
                    <w:spacing w:line="240" w:lineRule="auto"/>
                    <w:jc w:val="center"/>
                    <w:rPr>
                      <w:b/>
                      <w:bCs/>
                      <w:color w:val="auto"/>
                      <w:kern w:val="0"/>
                      <w:sz w:val="21"/>
                      <w:szCs w:val="21"/>
                    </w:rPr>
                  </w:pPr>
                  <w:r>
                    <w:rPr>
                      <w:b/>
                      <w:bCs/>
                      <w:color w:val="auto"/>
                      <w:kern w:val="0"/>
                      <w:sz w:val="21"/>
                      <w:szCs w:val="21"/>
                    </w:rPr>
                    <w:t>燃烧爆炸性</w:t>
                  </w:r>
                </w:p>
              </w:tc>
              <w:tc>
                <w:tcPr>
                  <w:tcW w:w="695" w:type="pct"/>
                  <w:noWrap w:val="0"/>
                  <w:vAlign w:val="center"/>
                </w:tcPr>
                <w:p w14:paraId="7FEC5ADC">
                  <w:pPr>
                    <w:widowControl/>
                    <w:spacing w:line="240" w:lineRule="auto"/>
                    <w:jc w:val="center"/>
                    <w:rPr>
                      <w:b/>
                      <w:bCs/>
                      <w:color w:val="auto"/>
                      <w:kern w:val="0"/>
                      <w:sz w:val="21"/>
                      <w:szCs w:val="21"/>
                    </w:rPr>
                  </w:pPr>
                  <w:r>
                    <w:rPr>
                      <w:b/>
                      <w:bCs/>
                      <w:color w:val="auto"/>
                      <w:kern w:val="0"/>
                      <w:sz w:val="21"/>
                      <w:szCs w:val="21"/>
                    </w:rPr>
                    <w:t>毒性毒理</w:t>
                  </w:r>
                </w:p>
              </w:tc>
            </w:tr>
            <w:tr w14:paraId="074D38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7" w:type="pct"/>
                  <w:noWrap w:val="0"/>
                  <w:vAlign w:val="center"/>
                </w:tcPr>
                <w:p w14:paraId="244FAF29">
                  <w:pPr>
                    <w:spacing w:line="240" w:lineRule="auto"/>
                    <w:jc w:val="center"/>
                    <w:rPr>
                      <w:color w:val="auto"/>
                      <w:sz w:val="21"/>
                      <w:szCs w:val="21"/>
                    </w:rPr>
                  </w:pPr>
                  <w:r>
                    <w:rPr>
                      <w:color w:val="auto"/>
                      <w:sz w:val="21"/>
                      <w:szCs w:val="21"/>
                    </w:rPr>
                    <w:t>1</w:t>
                  </w:r>
                </w:p>
              </w:tc>
              <w:tc>
                <w:tcPr>
                  <w:tcW w:w="657" w:type="pct"/>
                  <w:noWrap w:val="0"/>
                  <w:vAlign w:val="center"/>
                </w:tcPr>
                <w:p w14:paraId="60883AFA">
                  <w:pPr>
                    <w:adjustRightInd w:val="0"/>
                    <w:snapToGrid w:val="0"/>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润滑油</w:t>
                  </w:r>
                </w:p>
              </w:tc>
              <w:tc>
                <w:tcPr>
                  <w:tcW w:w="2720" w:type="pct"/>
                  <w:noWrap w:val="0"/>
                  <w:vAlign w:val="center"/>
                </w:tcPr>
                <w:p w14:paraId="3939237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color w:val="auto"/>
                      <w:sz w:val="21"/>
                      <w:szCs w:val="21"/>
                    </w:rPr>
                    <w:t>黄色至褐色透明油状液体、无</w:t>
                  </w:r>
                  <w:r>
                    <w:rPr>
                      <w:rFonts w:hint="eastAsia"/>
                      <w:color w:val="auto"/>
                      <w:sz w:val="21"/>
                      <w:szCs w:val="21"/>
                      <w:lang w:val="en-US" w:eastAsia="zh-CN"/>
                    </w:rPr>
                    <w:t>气</w:t>
                  </w:r>
                  <w:r>
                    <w:rPr>
                      <w:color w:val="auto"/>
                      <w:sz w:val="21"/>
                      <w:szCs w:val="21"/>
                    </w:rPr>
                    <w:t>味或略带异味</w:t>
                  </w:r>
                  <w:r>
                    <w:rPr>
                      <w:rFonts w:hint="eastAsia"/>
                      <w:color w:val="auto"/>
                      <w:sz w:val="21"/>
                      <w:szCs w:val="21"/>
                    </w:rPr>
                    <w:t>，闪点</w:t>
                  </w:r>
                  <w:r>
                    <w:rPr>
                      <w:rFonts w:hint="eastAsia"/>
                      <w:color w:val="auto"/>
                      <w:sz w:val="21"/>
                      <w:szCs w:val="21"/>
                      <w:lang w:val="en-US" w:eastAsia="zh-CN"/>
                    </w:rPr>
                    <w:t>223</w:t>
                  </w:r>
                  <w:r>
                    <w:rPr>
                      <w:rFonts w:hint="eastAsia"/>
                      <w:color w:val="auto"/>
                      <w:sz w:val="21"/>
                      <w:szCs w:val="21"/>
                    </w:rPr>
                    <w:t>℃，</w:t>
                  </w:r>
                  <w:r>
                    <w:rPr>
                      <w:rFonts w:hint="eastAsia"/>
                      <w:color w:val="auto"/>
                      <w:sz w:val="21"/>
                      <w:szCs w:val="21"/>
                      <w:lang w:val="en-US" w:eastAsia="zh-CN"/>
                    </w:rPr>
                    <w:t>粘度指数95</w:t>
                  </w:r>
                  <w:r>
                    <w:rPr>
                      <w:rFonts w:hint="eastAsia"/>
                      <w:color w:val="auto"/>
                      <w:sz w:val="21"/>
                      <w:szCs w:val="21"/>
                    </w:rPr>
                    <w:t>，</w:t>
                  </w:r>
                  <w:r>
                    <w:rPr>
                      <w:rFonts w:hint="eastAsia"/>
                      <w:color w:val="auto"/>
                      <w:sz w:val="21"/>
                      <w:szCs w:val="21"/>
                      <w:lang w:val="en-US" w:eastAsia="zh-CN"/>
                    </w:rPr>
                    <w:t>倾点-16℃，抗乳化性不大于4（54℃），</w:t>
                  </w:r>
                  <w:r>
                    <w:rPr>
                      <w:color w:val="auto"/>
                      <w:sz w:val="21"/>
                      <w:szCs w:val="21"/>
                    </w:rPr>
                    <w:t>不溶于水</w:t>
                  </w:r>
                  <w:r>
                    <w:rPr>
                      <w:rFonts w:hint="eastAsia"/>
                      <w:color w:val="auto"/>
                      <w:sz w:val="21"/>
                      <w:szCs w:val="21"/>
                    </w:rPr>
                    <w:t>。</w:t>
                  </w:r>
                </w:p>
              </w:tc>
              <w:tc>
                <w:tcPr>
                  <w:tcW w:w="638" w:type="pct"/>
                  <w:noWrap w:val="0"/>
                  <w:vAlign w:val="center"/>
                </w:tcPr>
                <w:p w14:paraId="386757A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可燃</w:t>
                  </w:r>
                </w:p>
              </w:tc>
              <w:tc>
                <w:tcPr>
                  <w:tcW w:w="695" w:type="pct"/>
                  <w:noWrap w:val="0"/>
                  <w:vAlign w:val="center"/>
                </w:tcPr>
                <w:p w14:paraId="03D2137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LD50（mg/kg，大鼠经口）</w:t>
                  </w:r>
                </w:p>
              </w:tc>
            </w:tr>
            <w:tr w14:paraId="4A2BEE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7" w:type="pct"/>
                  <w:noWrap w:val="0"/>
                  <w:vAlign w:val="center"/>
                </w:tcPr>
                <w:p w14:paraId="7AC5848B">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2</w:t>
                  </w:r>
                </w:p>
              </w:tc>
              <w:tc>
                <w:tcPr>
                  <w:tcW w:w="657" w:type="pct"/>
                  <w:noWrap w:val="0"/>
                  <w:vAlign w:val="center"/>
                </w:tcPr>
                <w:p w14:paraId="71277D15">
                  <w:pPr>
                    <w:keepNext w:val="0"/>
                    <w:keepLines w:val="0"/>
                    <w:widowControl/>
                    <w:suppressLineNumbers w:val="0"/>
                    <w:spacing w:line="240" w:lineRule="auto"/>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天然气</w:t>
                  </w:r>
                </w:p>
              </w:tc>
              <w:tc>
                <w:tcPr>
                  <w:tcW w:w="2720" w:type="pct"/>
                  <w:noWrap w:val="0"/>
                  <w:vAlign w:val="center"/>
                </w:tcPr>
                <w:p w14:paraId="57912343">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主要成分为甲烷，无色无臭气体。沸点-160℃；相对密度（水=1）：0.45（液化）</w:t>
                  </w:r>
                </w:p>
              </w:tc>
              <w:tc>
                <w:tcPr>
                  <w:tcW w:w="638" w:type="pct"/>
                  <w:noWrap w:val="0"/>
                  <w:vAlign w:val="center"/>
                </w:tcPr>
                <w:p w14:paraId="2DB6D6FF">
                  <w:pPr>
                    <w:pStyle w:val="188"/>
                    <w:spacing w:line="240" w:lineRule="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可燃</w:t>
                  </w:r>
                </w:p>
              </w:tc>
              <w:tc>
                <w:tcPr>
                  <w:tcW w:w="695" w:type="pct"/>
                  <w:noWrap w:val="0"/>
                  <w:vAlign w:val="center"/>
                </w:tcPr>
                <w:p w14:paraId="37D4B328">
                  <w:pPr>
                    <w:pStyle w:val="188"/>
                    <w:spacing w:line="240" w:lineRule="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cs="Times New Roman" w:eastAsiaTheme="minorEastAsia"/>
                      <w:color w:val="auto"/>
                    </w:rPr>
                    <w:t>LD</w:t>
                  </w:r>
                  <w:r>
                    <w:rPr>
                      <w:rFonts w:hint="default" w:ascii="Times New Roman" w:hAnsi="Times New Roman" w:cs="Times New Roman" w:eastAsiaTheme="minorEastAsia"/>
                      <w:color w:val="auto"/>
                      <w:vertAlign w:val="subscript"/>
                    </w:rPr>
                    <w:t>50</w:t>
                  </w:r>
                  <w:r>
                    <w:rPr>
                      <w:rFonts w:hint="default" w:ascii="Times New Roman" w:hAnsi="Times New Roman" w:cs="Times New Roman" w:eastAsiaTheme="minorEastAsia"/>
                      <w:color w:val="auto"/>
                    </w:rPr>
                    <w:t>：800mg/kg（大鼠经口）</w:t>
                  </w:r>
                </w:p>
              </w:tc>
            </w:tr>
            <w:tr w14:paraId="0AE461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7" w:type="pct"/>
                  <w:noWrap w:val="0"/>
                  <w:vAlign w:val="center"/>
                </w:tcPr>
                <w:p w14:paraId="3CBECC3F">
                  <w:pPr>
                    <w:spacing w:line="240" w:lineRule="auto"/>
                    <w:jc w:val="center"/>
                    <w:rPr>
                      <w:rFonts w:hint="default"/>
                      <w:color w:val="auto"/>
                      <w:sz w:val="21"/>
                      <w:szCs w:val="21"/>
                      <w:lang w:val="en-US" w:eastAsia="zh-CN"/>
                    </w:rPr>
                  </w:pPr>
                  <w:r>
                    <w:rPr>
                      <w:rFonts w:hint="eastAsia"/>
                      <w:color w:val="auto"/>
                      <w:sz w:val="21"/>
                      <w:szCs w:val="21"/>
                      <w:lang w:val="en-US" w:eastAsia="zh-CN"/>
                    </w:rPr>
                    <w:t>3</w:t>
                  </w:r>
                </w:p>
              </w:tc>
              <w:tc>
                <w:tcPr>
                  <w:tcW w:w="657" w:type="pct"/>
                  <w:noWrap w:val="0"/>
                  <w:vAlign w:val="center"/>
                </w:tcPr>
                <w:p w14:paraId="26C87E44">
                  <w:pPr>
                    <w:keepNext w:val="0"/>
                    <w:keepLines w:val="0"/>
                    <w:widowControl/>
                    <w:suppressLineNumbers w:val="0"/>
                    <w:spacing w:line="240" w:lineRule="auto"/>
                    <w:jc w:val="center"/>
                    <w:textAlignment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液压油</w:t>
                  </w:r>
                </w:p>
              </w:tc>
              <w:tc>
                <w:tcPr>
                  <w:tcW w:w="2720" w:type="pct"/>
                  <w:noWrap w:val="0"/>
                  <w:vAlign w:val="center"/>
                </w:tcPr>
                <w:p w14:paraId="32BE7D37">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琥珀色液体，沸点＞316℃，</w:t>
                  </w:r>
                  <w:r>
                    <w:rPr>
                      <w:rFonts w:hint="default" w:ascii="Times New Roman" w:hAnsi="Times New Roman" w:eastAsia="宋体" w:cs="Times New Roman"/>
                      <w:color w:val="auto"/>
                      <w:kern w:val="0"/>
                      <w:sz w:val="21"/>
                      <w:szCs w:val="21"/>
                      <w:lang w:val="en-US" w:eastAsia="zh-CN" w:bidi="ar-SA"/>
                    </w:rPr>
                    <w:t>不溶于水。</w:t>
                  </w:r>
                </w:p>
              </w:tc>
              <w:tc>
                <w:tcPr>
                  <w:tcW w:w="638" w:type="pct"/>
                  <w:noWrap w:val="0"/>
                  <w:vAlign w:val="center"/>
                </w:tcPr>
                <w:p w14:paraId="39A47A9F">
                  <w:pPr>
                    <w:pStyle w:val="188"/>
                    <w:spacing w:line="240" w:lineRule="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可燃</w:t>
                  </w:r>
                </w:p>
              </w:tc>
              <w:tc>
                <w:tcPr>
                  <w:tcW w:w="695" w:type="pct"/>
                  <w:noWrap w:val="0"/>
                  <w:vAlign w:val="center"/>
                </w:tcPr>
                <w:p w14:paraId="440A91CA">
                  <w:pPr>
                    <w:pStyle w:val="188"/>
                    <w:spacing w:line="240" w:lineRule="auto"/>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rPr>
                    <w:t>LD</w:t>
                  </w:r>
                  <w:r>
                    <w:rPr>
                      <w:rFonts w:hint="default" w:ascii="Times New Roman" w:hAnsi="Times New Roman" w:cs="Times New Roman" w:eastAsiaTheme="minorEastAsia"/>
                      <w:color w:val="auto"/>
                      <w:vertAlign w:val="subscript"/>
                    </w:rPr>
                    <w:t>50</w:t>
                  </w:r>
                  <w:r>
                    <w:rPr>
                      <w:rFonts w:hint="default" w:ascii="Times New Roman" w:hAnsi="Times New Roman" w:cs="Times New Roman" w:eastAsiaTheme="minorEastAsia"/>
                      <w:color w:val="auto"/>
                    </w:rPr>
                    <w:t>：</w:t>
                  </w:r>
                  <w:r>
                    <w:rPr>
                      <w:rFonts w:hint="eastAsia" w:ascii="Times New Roman" w:hAnsi="Times New Roman" w:cs="Times New Roman" w:eastAsiaTheme="minorEastAsia"/>
                      <w:color w:val="auto"/>
                      <w:lang w:val="en-US" w:eastAsia="zh-CN"/>
                    </w:rPr>
                    <w:t>20</w:t>
                  </w:r>
                  <w:r>
                    <w:rPr>
                      <w:rFonts w:hint="default" w:ascii="Times New Roman" w:hAnsi="Times New Roman" w:cs="Times New Roman" w:eastAsiaTheme="minorEastAsia"/>
                      <w:color w:val="auto"/>
                    </w:rPr>
                    <w:t>00mg/kg（大鼠经口）</w:t>
                  </w:r>
                </w:p>
              </w:tc>
            </w:tr>
            <w:tr w14:paraId="16B189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7" w:type="pct"/>
                  <w:noWrap w:val="0"/>
                  <w:vAlign w:val="center"/>
                </w:tcPr>
                <w:p w14:paraId="2207B880">
                  <w:pPr>
                    <w:spacing w:line="240" w:lineRule="auto"/>
                    <w:jc w:val="center"/>
                    <w:rPr>
                      <w:rFonts w:hint="default"/>
                      <w:color w:val="auto"/>
                      <w:sz w:val="21"/>
                      <w:szCs w:val="21"/>
                      <w:lang w:val="en-US" w:eastAsia="zh-CN"/>
                    </w:rPr>
                  </w:pPr>
                  <w:r>
                    <w:rPr>
                      <w:rFonts w:hint="eastAsia"/>
                      <w:color w:val="auto"/>
                      <w:sz w:val="21"/>
                      <w:szCs w:val="21"/>
                      <w:lang w:val="en-US" w:eastAsia="zh-CN"/>
                    </w:rPr>
                    <w:t>4</w:t>
                  </w:r>
                </w:p>
              </w:tc>
              <w:tc>
                <w:tcPr>
                  <w:tcW w:w="657" w:type="pct"/>
                  <w:noWrap w:val="0"/>
                  <w:vAlign w:val="center"/>
                </w:tcPr>
                <w:p w14:paraId="6F713FCA">
                  <w:pPr>
                    <w:keepNext w:val="0"/>
                    <w:keepLines w:val="0"/>
                    <w:widowControl/>
                    <w:suppressLineNumbers w:val="0"/>
                    <w:spacing w:line="240" w:lineRule="auto"/>
                    <w:jc w:val="center"/>
                    <w:textAlignment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切削液</w:t>
                  </w:r>
                </w:p>
              </w:tc>
              <w:tc>
                <w:tcPr>
                  <w:tcW w:w="2720" w:type="pct"/>
                  <w:noWrap w:val="0"/>
                  <w:vAlign w:val="center"/>
                </w:tcPr>
                <w:p w14:paraId="6B06CD57">
                  <w:pPr>
                    <w:pStyle w:val="3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黄色液体，有机脂肪酸＞75%、脂肪有机酯＜15%、有机多元醇＜10%</w:t>
                  </w:r>
                </w:p>
              </w:tc>
              <w:tc>
                <w:tcPr>
                  <w:tcW w:w="638" w:type="pct"/>
                  <w:noWrap w:val="0"/>
                  <w:vAlign w:val="center"/>
                </w:tcPr>
                <w:p w14:paraId="7DCC6E13">
                  <w:pPr>
                    <w:pStyle w:val="188"/>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w:t>
                  </w:r>
                </w:p>
              </w:tc>
              <w:tc>
                <w:tcPr>
                  <w:tcW w:w="695" w:type="pct"/>
                  <w:noWrap w:val="0"/>
                  <w:vAlign w:val="center"/>
                </w:tcPr>
                <w:p w14:paraId="18637196">
                  <w:pPr>
                    <w:pStyle w:val="188"/>
                    <w:spacing w:line="240" w:lineRule="auto"/>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w:t>
                  </w:r>
                </w:p>
              </w:tc>
            </w:tr>
            <w:bookmarkEnd w:id="3"/>
          </w:tbl>
          <w:p w14:paraId="7C9743E9">
            <w:pPr>
              <w:pStyle w:val="11"/>
              <w:spacing w:line="360" w:lineRule="auto"/>
              <w:ind w:firstLine="482"/>
              <w:rPr>
                <w:b/>
                <w:bCs/>
                <w:color w:val="auto"/>
                <w:sz w:val="21"/>
                <w:szCs w:val="21"/>
                <w:lang w:val="en-US" w:eastAsia="zh-CN"/>
              </w:rPr>
            </w:pPr>
            <w:r>
              <w:rPr>
                <w:rFonts w:hint="eastAsia"/>
                <w:b/>
                <w:bCs/>
                <w:color w:val="auto"/>
                <w:sz w:val="21"/>
                <w:szCs w:val="21"/>
                <w:lang w:val="en-US" w:eastAsia="zh-CN"/>
              </w:rPr>
              <w:t>6</w:t>
            </w:r>
            <w:r>
              <w:rPr>
                <w:b/>
                <w:bCs/>
                <w:color w:val="auto"/>
                <w:sz w:val="21"/>
                <w:szCs w:val="21"/>
                <w:lang w:val="en-US" w:eastAsia="zh-CN"/>
              </w:rPr>
              <w:t>、项目周边环境概况及平面布置</w:t>
            </w:r>
          </w:p>
          <w:p w14:paraId="5DEE5DA8">
            <w:pPr>
              <w:spacing w:line="360" w:lineRule="auto"/>
              <w:ind w:left="434"/>
              <w:rPr>
                <w:rFonts w:hint="eastAsia"/>
                <w:color w:val="auto"/>
                <w:sz w:val="21"/>
                <w:szCs w:val="21"/>
                <w:lang w:val="en-US" w:eastAsia="zh-CN"/>
              </w:rPr>
            </w:pPr>
            <w:r>
              <w:rPr>
                <w:rFonts w:hint="eastAsia"/>
                <w:color w:val="auto"/>
                <w:sz w:val="21"/>
                <w:szCs w:val="21"/>
              </w:rPr>
              <w:t>本项目位于海门经济技术开发区</w:t>
            </w:r>
            <w:r>
              <w:rPr>
                <w:rFonts w:hint="eastAsia"/>
                <w:color w:val="auto"/>
                <w:sz w:val="21"/>
                <w:szCs w:val="21"/>
                <w:lang w:val="en-US" w:eastAsia="zh-CN"/>
              </w:rPr>
              <w:t>福州路123号</w:t>
            </w:r>
            <w:r>
              <w:rPr>
                <w:rFonts w:hint="eastAsia"/>
                <w:color w:val="auto"/>
                <w:sz w:val="21"/>
                <w:szCs w:val="21"/>
              </w:rPr>
              <w:t>，本项目东侧为</w:t>
            </w:r>
            <w:r>
              <w:rPr>
                <w:rFonts w:hint="eastAsia"/>
                <w:color w:val="auto"/>
                <w:sz w:val="21"/>
                <w:szCs w:val="21"/>
                <w:lang w:val="en-US" w:eastAsia="zh-CN"/>
              </w:rPr>
              <w:t>南通金坤机械设备有限</w:t>
            </w:r>
          </w:p>
          <w:p w14:paraId="3986E6BB">
            <w:pPr>
              <w:spacing w:line="360" w:lineRule="auto"/>
              <w:rPr>
                <w:rFonts w:hint="eastAsia"/>
                <w:color w:val="auto"/>
                <w:sz w:val="21"/>
                <w:szCs w:val="21"/>
              </w:rPr>
            </w:pPr>
            <w:r>
              <w:rPr>
                <w:rFonts w:hint="eastAsia"/>
                <w:color w:val="auto"/>
                <w:sz w:val="21"/>
                <w:szCs w:val="21"/>
                <w:lang w:val="en-US" w:eastAsia="zh-CN"/>
              </w:rPr>
              <w:t>公司</w:t>
            </w:r>
            <w:r>
              <w:rPr>
                <w:rFonts w:hint="eastAsia"/>
                <w:color w:val="auto"/>
                <w:sz w:val="21"/>
                <w:szCs w:val="21"/>
              </w:rPr>
              <w:t>；南侧为</w:t>
            </w:r>
            <w:r>
              <w:rPr>
                <w:rFonts w:hint="eastAsia"/>
                <w:color w:val="auto"/>
                <w:sz w:val="21"/>
                <w:szCs w:val="21"/>
                <w:lang w:val="en-US" w:eastAsia="zh-CN"/>
              </w:rPr>
              <w:t>福州路，路对面为佳铝实业南区</w:t>
            </w:r>
            <w:r>
              <w:rPr>
                <w:rFonts w:hint="eastAsia"/>
                <w:color w:val="auto"/>
                <w:sz w:val="21"/>
                <w:szCs w:val="21"/>
              </w:rPr>
              <w:t>；西侧为</w:t>
            </w:r>
            <w:r>
              <w:rPr>
                <w:rFonts w:hint="eastAsia"/>
                <w:color w:val="auto"/>
                <w:sz w:val="21"/>
                <w:szCs w:val="21"/>
                <w:lang w:val="en-US" w:eastAsia="zh-CN"/>
              </w:rPr>
              <w:t>湘江路，路对面为南通冠东模塑股份有限公司</w:t>
            </w:r>
            <w:r>
              <w:rPr>
                <w:rFonts w:hint="eastAsia"/>
                <w:color w:val="auto"/>
                <w:sz w:val="21"/>
                <w:szCs w:val="21"/>
              </w:rPr>
              <w:t>；北侧为</w:t>
            </w:r>
            <w:r>
              <w:rPr>
                <w:rFonts w:hint="eastAsia"/>
                <w:color w:val="auto"/>
                <w:sz w:val="21"/>
                <w:szCs w:val="21"/>
                <w:lang w:val="en-US" w:eastAsia="zh-CN"/>
              </w:rPr>
              <w:t>蒙特纳利驱动设备有限公司</w:t>
            </w:r>
            <w:r>
              <w:rPr>
                <w:rFonts w:hint="eastAsia"/>
                <w:color w:val="auto"/>
                <w:sz w:val="21"/>
                <w:szCs w:val="21"/>
              </w:rPr>
              <w:t>。</w:t>
            </w:r>
          </w:p>
          <w:p w14:paraId="09E35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rPr>
            </w:pPr>
            <w:r>
              <w:rPr>
                <w:rFonts w:hint="eastAsia"/>
                <w:color w:val="auto"/>
                <w:sz w:val="21"/>
                <w:szCs w:val="21"/>
              </w:rPr>
              <w:t>本项目生产车间内根据不同用途划分不同区域。厂区大门位于</w:t>
            </w:r>
            <w:r>
              <w:rPr>
                <w:rFonts w:hint="eastAsia"/>
                <w:color w:val="auto"/>
                <w:sz w:val="21"/>
                <w:szCs w:val="21"/>
                <w:lang w:val="en-US" w:eastAsia="zh-CN"/>
              </w:rPr>
              <w:t>南</w:t>
            </w:r>
            <w:r>
              <w:rPr>
                <w:rFonts w:hint="eastAsia"/>
                <w:color w:val="auto"/>
                <w:sz w:val="21"/>
                <w:szCs w:val="21"/>
              </w:rPr>
              <w:t>侧，生产区域位于厂区北侧，</w:t>
            </w:r>
            <w:r>
              <w:rPr>
                <w:rFonts w:hint="eastAsia"/>
                <w:color w:val="auto"/>
                <w:sz w:val="21"/>
                <w:szCs w:val="21"/>
                <w:lang w:val="en-US" w:eastAsia="zh-CN"/>
              </w:rPr>
              <w:t>分为锻造车间和下料车间</w:t>
            </w:r>
            <w:r>
              <w:rPr>
                <w:rFonts w:hint="eastAsia"/>
                <w:color w:val="auto"/>
                <w:sz w:val="21"/>
                <w:szCs w:val="21"/>
              </w:rPr>
              <w:t>，办公区位于厂区</w:t>
            </w:r>
            <w:r>
              <w:rPr>
                <w:rFonts w:hint="eastAsia"/>
                <w:color w:val="auto"/>
                <w:sz w:val="21"/>
                <w:szCs w:val="21"/>
                <w:lang w:val="en-US" w:eastAsia="zh-CN"/>
              </w:rPr>
              <w:t>北</w:t>
            </w:r>
            <w:r>
              <w:rPr>
                <w:rFonts w:hint="eastAsia"/>
                <w:color w:val="auto"/>
                <w:sz w:val="21"/>
                <w:szCs w:val="21"/>
              </w:rPr>
              <w:t>侧，</w:t>
            </w:r>
            <w:r>
              <w:rPr>
                <w:rFonts w:hint="eastAsia"/>
                <w:color w:val="auto"/>
                <w:sz w:val="21"/>
                <w:szCs w:val="21"/>
                <w:lang w:val="en-US" w:eastAsia="zh-CN"/>
              </w:rPr>
              <w:t>仓库（含一般固废仓库和危废仓库）</w:t>
            </w:r>
            <w:r>
              <w:rPr>
                <w:rFonts w:hint="eastAsia"/>
                <w:color w:val="auto"/>
                <w:sz w:val="21"/>
                <w:szCs w:val="21"/>
              </w:rPr>
              <w:t>位于厂区</w:t>
            </w:r>
            <w:r>
              <w:rPr>
                <w:rFonts w:hint="eastAsia"/>
                <w:color w:val="auto"/>
                <w:sz w:val="21"/>
                <w:szCs w:val="21"/>
                <w:lang w:val="en-US" w:eastAsia="zh-CN"/>
              </w:rPr>
              <w:t>西南</w:t>
            </w:r>
            <w:r>
              <w:rPr>
                <w:rFonts w:hint="eastAsia"/>
                <w:color w:val="auto"/>
                <w:sz w:val="21"/>
                <w:szCs w:val="21"/>
              </w:rPr>
              <w:t>侧，纵观厂房的平面布置，各分区的布置规划整齐，既方便内外交通联系，又方便原辅材料和成品的运输，厂区平面布置较合理。</w:t>
            </w:r>
          </w:p>
          <w:p w14:paraId="0B538EB0">
            <w:pPr>
              <w:spacing w:line="360" w:lineRule="auto"/>
              <w:ind w:left="434"/>
              <w:rPr>
                <w:b/>
                <w:bCs/>
                <w:color w:val="auto"/>
                <w:sz w:val="21"/>
                <w:szCs w:val="21"/>
              </w:rPr>
            </w:pPr>
            <w:r>
              <w:rPr>
                <w:rFonts w:hint="eastAsia"/>
                <w:b/>
                <w:bCs/>
                <w:color w:val="auto"/>
                <w:sz w:val="21"/>
                <w:szCs w:val="21"/>
              </w:rPr>
              <w:t>7、</w:t>
            </w:r>
            <w:r>
              <w:rPr>
                <w:b/>
                <w:bCs/>
                <w:color w:val="auto"/>
                <w:sz w:val="21"/>
                <w:szCs w:val="21"/>
              </w:rPr>
              <w:t>劳动定员及工作制度</w:t>
            </w:r>
          </w:p>
          <w:p w14:paraId="6BE67F11">
            <w:pPr>
              <w:spacing w:line="360" w:lineRule="auto"/>
              <w:ind w:left="434"/>
              <w:rPr>
                <w:b/>
                <w:bCs/>
                <w:color w:val="auto"/>
                <w:sz w:val="21"/>
                <w:szCs w:val="21"/>
              </w:rPr>
            </w:pPr>
            <w:r>
              <w:rPr>
                <w:color w:val="auto"/>
                <w:sz w:val="21"/>
                <w:szCs w:val="21"/>
              </w:rPr>
              <w:t>本项目</w:t>
            </w:r>
            <w:r>
              <w:rPr>
                <w:rFonts w:hint="eastAsia"/>
                <w:color w:val="auto"/>
                <w:sz w:val="21"/>
                <w:szCs w:val="21"/>
                <w:lang w:val="en-US" w:eastAsia="zh-CN"/>
              </w:rPr>
              <w:t>未新增职工</w:t>
            </w:r>
            <w:r>
              <w:rPr>
                <w:color w:val="auto"/>
                <w:sz w:val="21"/>
                <w:szCs w:val="21"/>
              </w:rPr>
              <w:t>，年工作日</w:t>
            </w:r>
            <w:r>
              <w:rPr>
                <w:rFonts w:hint="eastAsia"/>
                <w:color w:val="auto"/>
                <w:sz w:val="21"/>
                <w:szCs w:val="21"/>
                <w:lang w:val="en-US" w:eastAsia="zh-CN"/>
              </w:rPr>
              <w:t>320</w:t>
            </w:r>
            <w:r>
              <w:rPr>
                <w:color w:val="auto"/>
                <w:sz w:val="21"/>
                <w:szCs w:val="21"/>
              </w:rPr>
              <w:t>天，实行</w:t>
            </w:r>
            <w:r>
              <w:rPr>
                <w:rFonts w:hint="eastAsia"/>
                <w:color w:val="auto"/>
                <w:sz w:val="21"/>
                <w:szCs w:val="21"/>
                <w:lang w:val="en-US" w:eastAsia="zh-CN"/>
              </w:rPr>
              <w:t>8小时工作制，无食宿</w:t>
            </w:r>
            <w:r>
              <w:rPr>
                <w:color w:val="auto"/>
                <w:sz w:val="21"/>
                <w:szCs w:val="21"/>
              </w:rPr>
              <w:t>。</w:t>
            </w:r>
            <w:r>
              <w:rPr>
                <w:b/>
                <w:bCs/>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2032635</wp:posOffset>
                      </wp:positionH>
                      <wp:positionV relativeFrom="paragraph">
                        <wp:posOffset>-40255190</wp:posOffset>
                      </wp:positionV>
                      <wp:extent cx="607060" cy="0"/>
                      <wp:effectExtent l="0" t="38100" r="2540" b="38100"/>
                      <wp:wrapNone/>
                      <wp:docPr id="9" name="自选图形 78"/>
                      <wp:cNvGraphicFramePr/>
                      <a:graphic xmlns:a="http://schemas.openxmlformats.org/drawingml/2006/main">
                        <a:graphicData uri="http://schemas.microsoft.com/office/word/2010/wordprocessingShape">
                          <wps:wsp>
                            <wps:cNvCnPr/>
                            <wps:spPr>
                              <a:xfrm>
                                <a:off x="0" y="0"/>
                                <a:ext cx="6070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8" o:spid="_x0000_s1026" o:spt="32" type="#_x0000_t32" style="position:absolute;left:0pt;margin-left:160.05pt;margin-top:-3169.7pt;height:0pt;width:47.8pt;z-index:251663360;mso-width-relative:page;mso-height-relative:page;" filled="f" stroked="t" coordsize="21600,21600" o:gfxdata="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gXMNsAAAAPAQAADwAAAAAAAAABACAAAAAiAAAAZHJz&#10;L2Rvd25yZXYueG1sUEsBAhQAFAAAAAgAh07iQHsCm3QBAgAA9QMAAA4AAAAAAAAAAQAgAAAAKgEA&#10;AGRycy9lMm9Eb2MueG1sUEsFBgAAAAAGAAYAWQEAAJ0FAAAAAA==&#10;">
                      <v:fill on="f" focussize="0,0"/>
                      <v:stroke color="#000000" joinstyle="round" endarrow="block"/>
                      <v:imagedata o:title=""/>
                      <o:lock v:ext="edit" aspectratio="f"/>
                    </v:shape>
                  </w:pict>
                </mc:Fallback>
              </mc:AlternateContent>
            </w:r>
            <w:r>
              <w:rPr>
                <w:b/>
                <w:bCs/>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2032635</wp:posOffset>
                      </wp:positionH>
                      <wp:positionV relativeFrom="paragraph">
                        <wp:posOffset>-40255190</wp:posOffset>
                      </wp:positionV>
                      <wp:extent cx="407670" cy="0"/>
                      <wp:effectExtent l="0" t="38100" r="11430" b="38100"/>
                      <wp:wrapNone/>
                      <wp:docPr id="8" name="自选图形 846"/>
                      <wp:cNvGraphicFramePr/>
                      <a:graphic xmlns:a="http://schemas.openxmlformats.org/drawingml/2006/main">
                        <a:graphicData uri="http://schemas.microsoft.com/office/word/2010/wordprocessingShape">
                          <wps:wsp>
                            <wps:cNvCnPr/>
                            <wps:spPr>
                              <a:xfrm>
                                <a:off x="0" y="0"/>
                                <a:ext cx="4076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46" o:spid="_x0000_s1026" o:spt="32" type="#_x0000_t32" style="position:absolute;left:0pt;margin-left:160.05pt;margin-top:-3169.7pt;height:0pt;width:32.1pt;z-index:251662336;mso-width-relative:page;mso-height-relative:page;" filled="f" stroked="t" coordsize="21600,21600" o:gfxdata="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f2Bd2wAAAA8BAAAPAAAAAAAAAAEAIAAAACIAAABk&#10;cnMvZG93bnJldi54bWxQSwECFAAUAAAACACHTuJAKJ5L/QMCAAD2AwAADgAAAAAAAAABACAAAAAq&#10;AQAAZHJzL2Uyb0RvYy54bWxQSwUGAAAAAAYABgBZAQAAnwUAAAAA&#10;">
                      <v:fill on="f" focussize="0,0"/>
                      <v:stroke color="#000000" joinstyle="round" endarrow="block"/>
                      <v:imagedata o:title=""/>
                      <o:lock v:ext="edit" aspectratio="f"/>
                    </v:shape>
                  </w:pict>
                </mc:Fallback>
              </mc:AlternateContent>
            </w:r>
            <w:r>
              <w:rPr>
                <w:b/>
                <w:bCs/>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2032635</wp:posOffset>
                      </wp:positionH>
                      <wp:positionV relativeFrom="paragraph">
                        <wp:posOffset>-40255190</wp:posOffset>
                      </wp:positionV>
                      <wp:extent cx="607060" cy="0"/>
                      <wp:effectExtent l="0" t="38100" r="2540" b="38100"/>
                      <wp:wrapNone/>
                      <wp:docPr id="2" name="自选图形 78"/>
                      <wp:cNvGraphicFramePr/>
                      <a:graphic xmlns:a="http://schemas.openxmlformats.org/drawingml/2006/main">
                        <a:graphicData uri="http://schemas.microsoft.com/office/word/2010/wordprocessingShape">
                          <wps:wsp>
                            <wps:cNvCnPr/>
                            <wps:spPr>
                              <a:xfrm>
                                <a:off x="0" y="0"/>
                                <a:ext cx="6070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8" o:spid="_x0000_s1026" o:spt="32" type="#_x0000_t32" style="position:absolute;left:0pt;margin-left:160.05pt;margin-top:-3169.7pt;height:0pt;width:47.8pt;z-index:251661312;mso-width-relative:page;mso-height-relative:page;" filled="f" stroked="t" coordsize="21600,21600" o:gfxdata="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gXMNsAAAAPAQAADwAAAAAAAAABACAAAAAiAAAAZHJz&#10;L2Rvd25yZXYueG1sUEsBAhQAFAAAAAgAh07iQOSd9zsBAgAA9QMAAA4AAAAAAAAAAQAgAAAAKgEA&#10;AGRycy9lMm9Eb2MueG1sUEsFBgAAAAAGAAYAWQEAAJ0FAAAAAA==&#10;">
                      <v:fill on="f" focussize="0,0"/>
                      <v:stroke color="#000000" joinstyle="round" endarrow="block"/>
                      <v:imagedata o:title=""/>
                      <o:lock v:ext="edit" aspectratio="f"/>
                    </v:shape>
                  </w:pict>
                </mc:Fallback>
              </mc:AlternateContent>
            </w:r>
            <w:r>
              <w:rPr>
                <w:b/>
                <w:bCs/>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2032635</wp:posOffset>
                      </wp:positionH>
                      <wp:positionV relativeFrom="paragraph">
                        <wp:posOffset>-40255190</wp:posOffset>
                      </wp:positionV>
                      <wp:extent cx="407670" cy="0"/>
                      <wp:effectExtent l="0" t="38100" r="11430" b="38100"/>
                      <wp:wrapNone/>
                      <wp:docPr id="1" name="自选图形 846"/>
                      <wp:cNvGraphicFramePr/>
                      <a:graphic xmlns:a="http://schemas.openxmlformats.org/drawingml/2006/main">
                        <a:graphicData uri="http://schemas.microsoft.com/office/word/2010/wordprocessingShape">
                          <wps:wsp>
                            <wps:cNvCnPr/>
                            <wps:spPr>
                              <a:xfrm>
                                <a:off x="0" y="0"/>
                                <a:ext cx="4076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46" o:spid="_x0000_s1026" o:spt="32" type="#_x0000_t32" style="position:absolute;left:0pt;margin-left:160.05pt;margin-top:-3169.7pt;height:0pt;width:32.1pt;z-index:251660288;mso-width-relative:page;mso-height-relative:page;" filled="f" stroked="t" coordsize="21600,21600" o:gfxdata="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f2Bd2wAAAA8BAAAPAAAAAAAAAAEAIAAAACIAAABk&#10;cnMvZG93bnJldi54bWxQSwECFAAUAAAACACHTuJAN9gs0gMCAAD2AwAADgAAAAAAAAABACAAAAAq&#10;AQAAZHJzL2Uyb0RvYy54bWxQSwUGAAAAAAYABgBZAQAAnwUAAAAA&#10;">
                      <v:fill on="f" focussize="0,0"/>
                      <v:stroke color="#000000" joinstyle="round" endarrow="block"/>
                      <v:imagedata o:title=""/>
                      <o:lock v:ext="edit" aspectratio="f"/>
                    </v:shape>
                  </w:pict>
                </mc:Fallback>
              </mc:AlternateContent>
            </w:r>
          </w:p>
          <w:p w14:paraId="657FDE30">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rPr>
                <w:color w:val="auto"/>
                <w:sz w:val="21"/>
                <w:szCs w:val="21"/>
              </w:rPr>
            </w:pPr>
            <w:r>
              <w:rPr>
                <w:rFonts w:hint="eastAsia"/>
                <w:b/>
                <w:bCs/>
                <w:color w:val="auto"/>
                <w:sz w:val="21"/>
                <w:szCs w:val="21"/>
                <w:lang w:val="en-US" w:eastAsia="zh-CN"/>
              </w:rPr>
              <w:t>8、水平衡</w:t>
            </w:r>
          </w:p>
          <w:p w14:paraId="02651926">
            <w:pPr>
              <w:adjustRightInd w:val="0"/>
              <w:snapToGrid w:val="0"/>
              <w:spacing w:line="360" w:lineRule="auto"/>
              <w:ind w:firstLine="420" w:firstLineChars="200"/>
              <w:rPr>
                <w:color w:val="auto"/>
                <w:sz w:val="21"/>
                <w:szCs w:val="21"/>
              </w:rPr>
            </w:pPr>
            <w:r>
              <w:rPr>
                <w:rFonts w:hint="default" w:ascii="Times New Roman" w:hAnsi="Times New Roman" w:eastAsia="宋体" w:cs="Times New Roman"/>
                <w:b w:val="0"/>
                <w:bCs w:val="0"/>
                <w:color w:val="auto"/>
                <w:sz w:val="21"/>
                <w:szCs w:val="21"/>
                <w:lang w:val="en-US" w:eastAsia="zh-CN"/>
              </w:rPr>
              <w:t>本项目</w:t>
            </w:r>
            <w:r>
              <w:rPr>
                <w:rFonts w:hint="eastAsia" w:cs="Times New Roman"/>
                <w:b w:val="0"/>
                <w:bCs w:val="0"/>
                <w:color w:val="auto"/>
                <w:sz w:val="21"/>
                <w:szCs w:val="21"/>
                <w:lang w:val="en-US" w:eastAsia="zh-CN"/>
              </w:rPr>
              <w:t>未新增员工</w:t>
            </w:r>
            <w:r>
              <w:rPr>
                <w:rFonts w:hint="eastAsia"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故未新增生活污水，</w:t>
            </w:r>
            <w:r>
              <w:rPr>
                <w:rFonts w:hint="default" w:ascii="Times New Roman" w:hAnsi="Times New Roman" w:eastAsia="宋体" w:cs="Times New Roman"/>
                <w:b w:val="0"/>
                <w:bCs w:val="0"/>
                <w:color w:val="auto"/>
                <w:sz w:val="21"/>
                <w:szCs w:val="21"/>
                <w:lang w:val="en-US" w:eastAsia="zh-CN"/>
              </w:rPr>
              <w:t>设备均不清洗；本项目地面平时采用扫把清扫，不用水进行冲洗，无车间清洗用排水。</w:t>
            </w:r>
          </w:p>
          <w:p w14:paraId="3EBD9BDD">
            <w:pPr>
              <w:pStyle w:val="4"/>
              <w:spacing w:before="0" w:after="0" w:line="360" w:lineRule="auto"/>
              <w:ind w:left="420" w:leftChars="200"/>
              <w:rPr>
                <w:rFonts w:hint="default" w:ascii="Times New Roman" w:hAnsi="Times New Roman"/>
                <w:b w:val="0"/>
                <w:bCs w:val="0"/>
                <w:color w:val="auto"/>
                <w:sz w:val="21"/>
                <w:szCs w:val="21"/>
                <w:lang w:val="en-US" w:eastAsia="zh-CN"/>
              </w:rPr>
            </w:pPr>
            <w:r>
              <w:rPr>
                <w:rFonts w:ascii="Times New Roman" w:hAnsi="Times New Roman"/>
                <w:b w:val="0"/>
                <w:bCs w:val="0"/>
                <w:color w:val="auto"/>
                <w:sz w:val="21"/>
                <w:szCs w:val="21"/>
                <w:lang w:val="en-US" w:eastAsia="zh-CN"/>
              </w:rPr>
              <w:t>1、</w:t>
            </w:r>
            <w:r>
              <w:rPr>
                <w:rFonts w:hint="eastAsia" w:ascii="Times New Roman" w:hAnsi="Times New Roman"/>
                <w:b w:val="0"/>
                <w:bCs w:val="0"/>
                <w:color w:val="auto"/>
                <w:sz w:val="21"/>
                <w:szCs w:val="21"/>
                <w:lang w:val="en-US" w:eastAsia="zh-CN"/>
              </w:rPr>
              <w:t>冷却水</w:t>
            </w:r>
          </w:p>
          <w:p w14:paraId="449FA548">
            <w:pPr>
              <w:adjustRightInd w:val="0"/>
              <w:snapToGrid w:val="0"/>
              <w:spacing w:line="360" w:lineRule="auto"/>
              <w:ind w:firstLine="420" w:firstLineChars="200"/>
              <w:jc w:val="left"/>
              <w:rPr>
                <w:rFonts w:hint="eastAsia"/>
                <w:color w:val="auto"/>
                <w:sz w:val="21"/>
                <w:szCs w:val="21"/>
                <w:vertAlign w:val="baseline"/>
                <w:lang w:val="en-US" w:eastAsia="zh-CN"/>
              </w:rPr>
            </w:pPr>
            <w:r>
              <w:rPr>
                <w:rFonts w:hint="eastAsia"/>
                <w:color w:val="auto"/>
                <w:sz w:val="21"/>
                <w:szCs w:val="21"/>
                <w:lang w:val="en-US" w:eastAsia="zh-CN"/>
              </w:rPr>
              <w:t>本项目部分产品锻造后需要放入冷却水池中进行冷却，本项目冷却水池30m</w:t>
            </w:r>
            <w:r>
              <w:rPr>
                <w:rFonts w:hint="eastAsia"/>
                <w:color w:val="auto"/>
                <w:sz w:val="21"/>
                <w:szCs w:val="21"/>
                <w:vertAlign w:val="superscript"/>
                <w:lang w:val="en-US" w:eastAsia="zh-CN"/>
              </w:rPr>
              <w:t>3</w:t>
            </w:r>
            <w:r>
              <w:rPr>
                <w:rFonts w:hint="eastAsia"/>
                <w:color w:val="auto"/>
                <w:sz w:val="21"/>
                <w:szCs w:val="21"/>
                <w:vertAlign w:val="baseline"/>
                <w:lang w:val="en-US" w:eastAsia="zh-CN"/>
              </w:rPr>
              <w:t>，由于锻件在锻造过程中温度在1180-1240℃，下水冷却后，冷却水基本蒸发，冷却过程中需不断补充冷却水，根据业主提供的资料，年用水量约5000吨。</w:t>
            </w:r>
          </w:p>
          <w:p w14:paraId="1547675E">
            <w:pPr>
              <w:numPr>
                <w:ilvl w:val="0"/>
                <w:numId w:val="0"/>
              </w:numPr>
              <w:adjustRightInd w:val="0"/>
              <w:snapToGrid w:val="0"/>
              <w:spacing w:line="360" w:lineRule="auto"/>
              <w:ind w:left="0" w:leftChars="0" w:firstLine="420" w:firstLineChars="200"/>
              <w:jc w:val="left"/>
              <w:rPr>
                <w:rFonts w:hint="eastAsia"/>
                <w:color w:val="auto"/>
                <w:sz w:val="21"/>
                <w:szCs w:val="21"/>
                <w:vertAlign w:val="baseline"/>
                <w:lang w:val="en-US" w:eastAsia="zh-CN"/>
              </w:rPr>
            </w:pPr>
            <w:r>
              <w:rPr>
                <w:rFonts w:hint="eastAsia" w:cs="Times New Roman"/>
                <w:color w:val="auto"/>
                <w:kern w:val="2"/>
                <w:sz w:val="21"/>
                <w:szCs w:val="21"/>
                <w:vertAlign w:val="baseline"/>
                <w:lang w:val="en-US" w:eastAsia="zh-CN" w:bidi="ar-SA"/>
              </w:rPr>
              <w:t>2</w:t>
            </w:r>
            <w:r>
              <w:rPr>
                <w:rFonts w:hint="eastAsia" w:ascii="Times New Roman" w:hAnsi="Times New Roman" w:eastAsia="宋体" w:cs="Times New Roman"/>
                <w:color w:val="auto"/>
                <w:kern w:val="2"/>
                <w:sz w:val="21"/>
                <w:szCs w:val="21"/>
                <w:vertAlign w:val="baseline"/>
                <w:lang w:val="en-US" w:eastAsia="zh-CN" w:bidi="ar-SA"/>
              </w:rPr>
              <w:t>、</w:t>
            </w:r>
            <w:r>
              <w:rPr>
                <w:rFonts w:hint="eastAsia"/>
                <w:color w:val="auto"/>
                <w:sz w:val="21"/>
                <w:szCs w:val="21"/>
                <w:vertAlign w:val="baseline"/>
                <w:lang w:val="en-US" w:eastAsia="zh-CN"/>
              </w:rPr>
              <w:t xml:space="preserve">切削液配置用水 </w:t>
            </w:r>
          </w:p>
          <w:p w14:paraId="4EA9FF8C">
            <w:pPr>
              <w:numPr>
                <w:ilvl w:val="0"/>
                <w:numId w:val="0"/>
              </w:numPr>
              <w:adjustRightInd w:val="0"/>
              <w:snapToGrid w:val="0"/>
              <w:spacing w:line="360" w:lineRule="auto"/>
              <w:ind w:leftChars="200"/>
              <w:jc w:val="left"/>
              <w:rPr>
                <w:rFonts w:hint="eastAsia"/>
                <w:color w:val="auto"/>
                <w:sz w:val="21"/>
                <w:szCs w:val="21"/>
                <w:lang w:val="en-US" w:eastAsia="zh-CN"/>
              </w:rPr>
            </w:pPr>
            <w:r>
              <w:rPr>
                <w:rFonts w:hint="eastAsia"/>
                <w:color w:val="auto"/>
                <w:sz w:val="21"/>
                <w:szCs w:val="21"/>
                <w:lang w:val="en-US" w:eastAsia="zh-CN"/>
              </w:rPr>
              <w:t>根据业主提供的资料，本项目年使用切削液0.5t，使用时原液与水1:50稀释后使用，</w:t>
            </w:r>
          </w:p>
          <w:p w14:paraId="0F1010E0">
            <w:pPr>
              <w:numPr>
                <w:ilvl w:val="0"/>
                <w:numId w:val="0"/>
              </w:numPr>
              <w:adjustRightInd w:val="0"/>
              <w:snapToGrid w:val="0"/>
              <w:spacing w:line="360" w:lineRule="auto"/>
              <w:jc w:val="left"/>
              <w:rPr>
                <w:rFonts w:hint="default" w:ascii="Times New Roman" w:hAnsi="Times New Roman" w:cs="Times New Roman"/>
                <w:b/>
                <w:bCs/>
                <w:color w:val="auto"/>
                <w:sz w:val="21"/>
                <w:szCs w:val="21"/>
                <w:lang w:val="en-US" w:eastAsia="zh-CN"/>
              </w:rPr>
            </w:pPr>
            <w:r>
              <w:rPr>
                <w:rFonts w:hint="eastAsia"/>
                <w:color w:val="auto"/>
                <w:sz w:val="21"/>
                <w:szCs w:val="21"/>
                <w:lang w:val="en-US" w:eastAsia="zh-CN"/>
              </w:rPr>
              <w:t>稀释用水为25t/a，使用过程中约99%的水受热挥发。</w:t>
            </w:r>
          </w:p>
          <w:p w14:paraId="4C366E23">
            <w:pPr>
              <w:pStyle w:val="2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3、</w:t>
            </w:r>
            <w:r>
              <w:rPr>
                <w:rFonts w:hint="default" w:ascii="Times New Roman" w:hAnsi="Times New Roman" w:eastAsia="宋体" w:cs="Times New Roman"/>
                <w:b w:val="0"/>
                <w:color w:val="auto"/>
                <w:sz w:val="21"/>
                <w:szCs w:val="21"/>
              </w:rPr>
              <w:t>初期雨水</w:t>
            </w:r>
          </w:p>
          <w:p w14:paraId="5C10D5E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color w:val="auto"/>
                <w:sz w:val="21"/>
                <w:szCs w:val="21"/>
              </w:rPr>
            </w:pPr>
            <w:r>
              <w:rPr>
                <w:rFonts w:hint="eastAsia"/>
                <w:color w:val="auto"/>
                <w:sz w:val="22"/>
                <w:szCs w:val="22"/>
              </w:rPr>
              <w:t>设</w:t>
            </w:r>
            <w:r>
              <w:rPr>
                <w:rFonts w:hint="eastAsia" w:ascii="Times New Roman" w:hAnsi="Times New Roman" w:eastAsia="宋体" w:cs="Times New Roman"/>
                <w:color w:val="auto"/>
                <w:sz w:val="21"/>
                <w:szCs w:val="21"/>
              </w:rPr>
              <w:t>计暴雨强度</w:t>
            </w:r>
          </w:p>
          <w:p w14:paraId="522D91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设计暴雨强度，按</w:t>
            </w:r>
            <w:r>
              <w:rPr>
                <w:rFonts w:hint="default" w:ascii="Times New Roman" w:hAnsi="Times New Roman" w:eastAsia="宋体" w:cs="Times New Roman"/>
                <w:color w:val="auto"/>
                <w:sz w:val="21"/>
                <w:szCs w:val="21"/>
              </w:rPr>
              <w:t>南通地区暴雨强度公式</w:t>
            </w:r>
            <w:r>
              <w:rPr>
                <w:rFonts w:hint="eastAsia" w:ascii="Times New Roman" w:hAnsi="Times New Roman" w:eastAsia="宋体" w:cs="Times New Roman"/>
                <w:color w:val="auto"/>
                <w:sz w:val="21"/>
                <w:szCs w:val="21"/>
              </w:rPr>
              <w:t>及计算</w:t>
            </w:r>
            <w:r>
              <w:rPr>
                <w:rFonts w:hint="default" w:ascii="Times New Roman" w:hAnsi="Times New Roman" w:eastAsia="宋体" w:cs="Times New Roman"/>
                <w:color w:val="auto"/>
                <w:sz w:val="21"/>
                <w:szCs w:val="21"/>
              </w:rPr>
              <w:t>（通政复（20</w:t>
            </w:r>
            <w:r>
              <w:rPr>
                <w:rFonts w:hint="eastAsia"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186</w:t>
            </w:r>
            <w:r>
              <w:rPr>
                <w:rFonts w:hint="default" w:ascii="Times New Roman" w:hAnsi="Times New Roman" w:eastAsia="宋体" w:cs="Times New Roman"/>
                <w:color w:val="auto"/>
                <w:sz w:val="21"/>
                <w:szCs w:val="21"/>
              </w:rPr>
              <w:t>号文）：</w:t>
            </w:r>
          </w:p>
          <w:p w14:paraId="1D17B7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1466850" cy="428625"/>
                  <wp:effectExtent l="0" t="0" r="0" b="9525"/>
                  <wp:docPr id="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
                          <pic:cNvPicPr>
                            <a:picLocks noChangeAspect="1"/>
                          </pic:cNvPicPr>
                        </pic:nvPicPr>
                        <pic:blipFill>
                          <a:blip r:embed="rId9"/>
                          <a:stretch>
                            <a:fillRect/>
                          </a:stretch>
                        </pic:blipFill>
                        <pic:spPr>
                          <a:xfrm>
                            <a:off x="0" y="0"/>
                            <a:ext cx="1466850" cy="428625"/>
                          </a:xfrm>
                          <a:prstGeom prst="rect">
                            <a:avLst/>
                          </a:prstGeom>
                          <a:noFill/>
                          <a:ln>
                            <a:noFill/>
                          </a:ln>
                        </pic:spPr>
                      </pic:pic>
                    </a:graphicData>
                  </a:graphic>
                </wp:inline>
              </w:drawing>
            </w:r>
          </w:p>
          <w:p w14:paraId="09CBF1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式中：i为降雨强度（</w:t>
            </w:r>
            <w:r>
              <w:rPr>
                <w:rFonts w:hint="default" w:ascii="Times New Roman" w:hAnsi="Times New Roman" w:eastAsia="宋体" w:cs="Times New Roman"/>
                <w:color w:val="auto"/>
                <w:sz w:val="21"/>
                <w:szCs w:val="21"/>
              </w:rPr>
              <w:t>mm/min</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rPr>
              <w:t>为降雨历时，取值</w:t>
            </w:r>
            <w:r>
              <w:rPr>
                <w:rFonts w:hint="eastAsia" w:ascii="Times New Roman" w:hAnsi="Times New Roman" w:cs="Times New Roman"/>
                <w:color w:val="auto"/>
                <w:sz w:val="21"/>
                <w:szCs w:val="21"/>
                <w:lang w:val="en-US" w:eastAsia="zh-CN"/>
              </w:rPr>
              <w:t>180</w:t>
            </w:r>
            <w:r>
              <w:rPr>
                <w:rFonts w:hint="default" w:ascii="Times New Roman" w:hAnsi="Times New Roman" w:eastAsia="宋体" w:cs="Times New Roman"/>
                <w:color w:val="auto"/>
                <w:sz w:val="21"/>
                <w:szCs w:val="21"/>
              </w:rPr>
              <w:t>min</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TM</w:t>
            </w:r>
            <w:r>
              <w:rPr>
                <w:rFonts w:hint="eastAsia" w:ascii="Times New Roman" w:hAnsi="Times New Roman" w:eastAsia="宋体" w:cs="Times New Roman"/>
                <w:color w:val="auto"/>
                <w:sz w:val="21"/>
                <w:szCs w:val="21"/>
              </w:rPr>
              <w:t>为重现期（年），</w:t>
            </w:r>
            <w:r>
              <w:rPr>
                <w:rFonts w:hint="default" w:ascii="Times New Roman" w:hAnsi="Times New Roman" w:eastAsia="宋体" w:cs="Times New Roman"/>
                <w:color w:val="auto"/>
                <w:sz w:val="21"/>
                <w:szCs w:val="21"/>
              </w:rPr>
              <w:t>取</w:t>
            </w:r>
            <w:r>
              <w:rPr>
                <w:rFonts w:hint="eastAsia" w:ascii="Times New Roman" w:hAnsi="Times New Roman" w:eastAsia="宋体" w:cs="Times New Roman"/>
                <w:color w:val="auto"/>
                <w:sz w:val="21"/>
                <w:szCs w:val="21"/>
              </w:rPr>
              <w:t>值</w:t>
            </w:r>
            <w:r>
              <w:rPr>
                <w:rFonts w:hint="default" w:ascii="Times New Roman" w:hAnsi="Times New Roman" w:eastAsia="宋体" w:cs="Times New Roman"/>
                <w:color w:val="auto"/>
                <w:sz w:val="21"/>
                <w:szCs w:val="21"/>
              </w:rPr>
              <w:t>3年。</w:t>
            </w:r>
          </w:p>
          <w:p w14:paraId="110403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设计雨水量根据《室外排水设计规范》(GB50014-2006）（2016年版)提供的计算公式计算，计算公式如下：</w:t>
            </w:r>
          </w:p>
          <w:p w14:paraId="5BFD5A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drawing>
                <wp:inline distT="0" distB="0" distL="114300" distR="114300">
                  <wp:extent cx="3807460" cy="1117600"/>
                  <wp:effectExtent l="0" t="0" r="2540" b="6350"/>
                  <wp:docPr id="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
                          <pic:cNvPicPr>
                            <a:picLocks noChangeAspect="1"/>
                          </pic:cNvPicPr>
                        </pic:nvPicPr>
                        <pic:blipFill>
                          <a:blip r:embed="rId10"/>
                          <a:stretch>
                            <a:fillRect/>
                          </a:stretch>
                        </pic:blipFill>
                        <pic:spPr>
                          <a:xfrm>
                            <a:off x="0" y="0"/>
                            <a:ext cx="3807460" cy="1117600"/>
                          </a:xfrm>
                          <a:prstGeom prst="rect">
                            <a:avLst/>
                          </a:prstGeom>
                          <a:noFill/>
                          <a:ln>
                            <a:noFill/>
                          </a:ln>
                        </pic:spPr>
                      </pic:pic>
                    </a:graphicData>
                  </a:graphic>
                </wp:inline>
              </w:drawing>
            </w:r>
          </w:p>
          <w:p w14:paraId="06EECC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w:t>
            </w:r>
            <w:r>
              <w:rPr>
                <w:rFonts w:hint="eastAsia" w:ascii="Times New Roman" w:hAnsi="Times New Roman" w:eastAsia="宋体" w:cs="Times New Roman"/>
                <w:color w:val="auto"/>
                <w:sz w:val="21"/>
                <w:szCs w:val="21"/>
              </w:rPr>
              <w:t>厂区</w:t>
            </w:r>
            <w:r>
              <w:rPr>
                <w:rFonts w:hint="default" w:ascii="Times New Roman" w:hAnsi="Times New Roman" w:eastAsia="宋体" w:cs="Times New Roman"/>
                <w:color w:val="auto"/>
                <w:sz w:val="21"/>
                <w:szCs w:val="21"/>
              </w:rPr>
              <w:t>总平图，</w:t>
            </w:r>
            <w:r>
              <w:rPr>
                <w:rFonts w:hint="eastAsia"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rPr>
              <w:t>区域</w:t>
            </w:r>
            <w:r>
              <w:rPr>
                <w:rFonts w:hint="eastAsia" w:ascii="Times New Roman" w:hAnsi="Times New Roman" w:eastAsia="宋体" w:cs="Times New Roman"/>
                <w:color w:val="auto"/>
                <w:sz w:val="21"/>
                <w:szCs w:val="21"/>
              </w:rPr>
              <w:t>汇水</w:t>
            </w:r>
            <w:r>
              <w:rPr>
                <w:rFonts w:hint="default" w:ascii="Times New Roman" w:hAnsi="Times New Roman" w:eastAsia="宋体" w:cs="Times New Roman"/>
                <w:color w:val="auto"/>
                <w:sz w:val="21"/>
                <w:szCs w:val="21"/>
              </w:rPr>
              <w:t>面积</w:t>
            </w:r>
            <w:r>
              <w:rPr>
                <w:rFonts w:hint="eastAsia" w:ascii="Times New Roman" w:hAnsi="Times New Roman" w:eastAsia="宋体" w:cs="Times New Roman"/>
                <w:color w:val="auto"/>
                <w:sz w:val="21"/>
                <w:szCs w:val="21"/>
                <w:lang w:eastAsia="zh-CN"/>
              </w:rPr>
              <w:t>约为</w:t>
            </w:r>
            <w:r>
              <w:rPr>
                <w:rFonts w:hint="eastAsia" w:ascii="Times New Roman" w:hAnsi="Times New Roman" w:eastAsia="宋体" w:cs="Times New Roman"/>
                <w:color w:val="auto"/>
                <w:sz w:val="21"/>
                <w:szCs w:val="21"/>
                <w:lang w:val="en-US" w:eastAsia="zh-CN"/>
              </w:rPr>
              <w:t>10000</w:t>
            </w:r>
            <w:r>
              <w:rPr>
                <w:rFonts w:hint="default"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径流系数取值0.9；</w:t>
            </w:r>
          </w:p>
          <w:p w14:paraId="108CD2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b w:val="0"/>
                <w:bCs w:val="0"/>
                <w:color w:val="auto"/>
                <w:sz w:val="21"/>
                <w:szCs w:val="21"/>
              </w:rPr>
            </w:pPr>
            <w:r>
              <w:rPr>
                <w:rFonts w:hint="default" w:ascii="Times New Roman" w:hAnsi="Times New Roman" w:eastAsia="宋体" w:cs="Times New Roman"/>
                <w:color w:val="auto"/>
                <w:sz w:val="21"/>
                <w:szCs w:val="21"/>
              </w:rPr>
              <w:t>代入暴雨强度公式</w:t>
            </w:r>
            <w:r>
              <w:rPr>
                <w:rFonts w:hint="eastAsia" w:ascii="Times New Roman" w:hAnsi="Times New Roman" w:eastAsia="宋体" w:cs="Times New Roman"/>
                <w:color w:val="auto"/>
                <w:sz w:val="21"/>
                <w:szCs w:val="21"/>
              </w:rPr>
              <w:t>和雨水量计算公式，</w:t>
            </w:r>
            <w:r>
              <w:rPr>
                <w:rFonts w:hint="default" w:ascii="Times New Roman" w:hAnsi="Times New Roman" w:eastAsia="宋体" w:cs="Times New Roman"/>
                <w:color w:val="auto"/>
                <w:sz w:val="21"/>
                <w:szCs w:val="21"/>
              </w:rPr>
              <w:t>计算</w:t>
            </w:r>
            <w:r>
              <w:rPr>
                <w:rFonts w:hint="eastAsia" w:ascii="Times New Roman" w:hAnsi="Times New Roman" w:eastAsia="宋体" w:cs="Times New Roman"/>
                <w:color w:val="auto"/>
                <w:sz w:val="21"/>
                <w:szCs w:val="21"/>
              </w:rPr>
              <w:t>暴雨强度</w:t>
            </w:r>
            <w:r>
              <w:rPr>
                <w:rFonts w:hint="default" w:ascii="Times New Roman" w:hAnsi="Times New Roman" w:eastAsia="宋体" w:cs="Times New Roman"/>
                <w:color w:val="auto"/>
                <w:sz w:val="21"/>
                <w:szCs w:val="21"/>
              </w:rPr>
              <w:t>为</w:t>
            </w:r>
            <w:r>
              <w:rPr>
                <w:rFonts w:hint="eastAsia" w:ascii="Times New Roman" w:hAnsi="Times New Roman" w:cs="Times New Roman"/>
                <w:color w:val="auto"/>
                <w:sz w:val="21"/>
                <w:szCs w:val="21"/>
                <w:lang w:val="en-US" w:eastAsia="zh-CN"/>
              </w:rPr>
              <w:t>79</w:t>
            </w:r>
            <w:r>
              <w:rPr>
                <w:rFonts w:hint="default" w:ascii="Times New Roman" w:hAnsi="Times New Roman" w:eastAsia="宋体" w:cs="Times New Roman"/>
                <w:color w:val="auto"/>
                <w:sz w:val="21"/>
                <w:szCs w:val="21"/>
              </w:rPr>
              <w:t>L/</w:t>
            </w:r>
            <w:r>
              <w:rPr>
                <w:rFonts w:hint="eastAsia" w:ascii="Times New Roman" w:hAnsi="Times New Roman" w:eastAsia="宋体" w:cs="Times New Roman"/>
                <w:color w:val="auto"/>
                <w:sz w:val="21"/>
                <w:szCs w:val="21"/>
              </w:rPr>
              <w:t>（s·h</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，取</w:t>
            </w:r>
            <w:r>
              <w:rPr>
                <w:rFonts w:hint="eastAsia" w:ascii="Times New Roman" w:hAnsi="Times New Roman" w:eastAsia="宋体" w:cs="Times New Roman"/>
                <w:color w:val="auto"/>
                <w:sz w:val="21"/>
                <w:szCs w:val="21"/>
              </w:rPr>
              <w:t>前</w:t>
            </w:r>
            <w:r>
              <w:rPr>
                <w:rFonts w:hint="default" w:ascii="Times New Roman" w:hAnsi="Times New Roman" w:eastAsia="宋体" w:cs="Times New Roman"/>
                <w:color w:val="auto"/>
                <w:sz w:val="21"/>
                <w:szCs w:val="21"/>
              </w:rPr>
              <w:t>15min</w:t>
            </w:r>
            <w:r>
              <w:rPr>
                <w:rFonts w:hint="eastAsia" w:ascii="Times New Roman" w:hAnsi="Times New Roman" w:eastAsia="宋体" w:cs="Times New Roman"/>
                <w:color w:val="auto"/>
                <w:sz w:val="21"/>
                <w:szCs w:val="21"/>
              </w:rPr>
              <w:t>降雨水量为初期雨水量，即设计初期雨水量</w:t>
            </w:r>
            <w:r>
              <w:rPr>
                <w:rFonts w:hint="eastAsia" w:ascii="Times New Roman" w:hAnsi="Times New Roman" w:eastAsia="宋体" w:cs="Times New Roman"/>
                <w:color w:val="auto"/>
                <w:sz w:val="21"/>
                <w:szCs w:val="21"/>
                <w:lang w:eastAsia="zh-CN"/>
              </w:rPr>
              <w:t>约</w:t>
            </w:r>
            <w:r>
              <w:rPr>
                <w:rFonts w:hint="eastAsia" w:ascii="Times New Roman" w:hAnsi="Times New Roman" w:eastAsia="宋体" w:cs="Times New Roman"/>
                <w:color w:val="auto"/>
                <w:sz w:val="21"/>
                <w:szCs w:val="21"/>
              </w:rPr>
              <w:t>为</w:t>
            </w:r>
            <w:r>
              <w:rPr>
                <w:rFonts w:hint="eastAsia" w:ascii="Times New Roman" w:hAnsi="Times New Roman" w:cs="Times New Roman"/>
                <w:color w:val="auto"/>
                <w:sz w:val="21"/>
                <w:szCs w:val="21"/>
                <w:lang w:val="en-US" w:eastAsia="zh-CN"/>
              </w:rPr>
              <w:t>64.4</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本项目建有65m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初期雨水收集池，</w:t>
            </w:r>
            <w:r>
              <w:rPr>
                <w:rFonts w:hint="default" w:ascii="Times New Roman" w:hAnsi="Times New Roman" w:eastAsia="宋体" w:cs="Times New Roman"/>
                <w:b w:val="0"/>
                <w:bCs w:val="0"/>
                <w:color w:val="auto"/>
                <w:sz w:val="21"/>
                <w:szCs w:val="21"/>
              </w:rPr>
              <w:t>全年间歇降雨频次按1</w:t>
            </w:r>
            <w:r>
              <w:rPr>
                <w:rFonts w:hint="eastAsia" w:ascii="Times New Roman" w:hAnsi="Times New Roman" w:eastAsia="宋体" w:cs="Times New Roman"/>
                <w:b w:val="0"/>
                <w:bCs w:val="0"/>
                <w:color w:val="auto"/>
                <w:sz w:val="21"/>
                <w:szCs w:val="21"/>
              </w:rPr>
              <w:t>0</w:t>
            </w:r>
            <w:r>
              <w:rPr>
                <w:rFonts w:hint="default" w:ascii="Times New Roman" w:hAnsi="Times New Roman" w:eastAsia="宋体" w:cs="Times New Roman"/>
                <w:b w:val="0"/>
                <w:bCs w:val="0"/>
                <w:color w:val="auto"/>
                <w:sz w:val="21"/>
                <w:szCs w:val="21"/>
              </w:rPr>
              <w:t>次/年计</w:t>
            </w:r>
            <w:r>
              <w:rPr>
                <w:rFonts w:hint="eastAsia" w:ascii="Times New Roman" w:hAnsi="Times New Roman" w:eastAsia="宋体"/>
                <w:b w:val="0"/>
                <w:bCs w:val="0"/>
                <w:color w:val="auto"/>
                <w:sz w:val="21"/>
                <w:szCs w:val="21"/>
                <w:lang w:val="en-US" w:eastAsia="zh-CN"/>
              </w:rPr>
              <w:t>，则</w:t>
            </w:r>
            <w:r>
              <w:rPr>
                <w:rFonts w:hint="eastAsia" w:ascii="Times New Roman" w:hAnsi="Times New Roman" w:eastAsia="宋体"/>
                <w:b w:val="0"/>
                <w:color w:val="auto"/>
                <w:sz w:val="21"/>
                <w:szCs w:val="21"/>
                <w:lang w:val="en-US" w:eastAsia="zh-CN"/>
              </w:rPr>
              <w:t>初期雨水量为644t/a。</w:t>
            </w:r>
            <w:r>
              <w:rPr>
                <w:rFonts w:hint="eastAsia" w:ascii="Times New Roman" w:hAnsi="Times New Roman" w:eastAsia="宋体" w:cs="Times New Roman"/>
                <w:b w:val="0"/>
                <w:bCs w:val="0"/>
                <w:color w:val="auto"/>
                <w:kern w:val="2"/>
                <w:sz w:val="21"/>
                <w:szCs w:val="21"/>
                <w:lang w:val="en-US" w:eastAsia="zh-CN" w:bidi="ar-SA"/>
              </w:rPr>
              <w:t>本项目原料存放在厂房内，不露天设置，下雨时不涉及相关污染物，不会对雨水造成污染</w:t>
            </w:r>
            <w:r>
              <w:rPr>
                <w:rFonts w:hint="eastAsia" w:cs="Times New Roman"/>
                <w:b w:val="0"/>
                <w:bCs w:val="0"/>
                <w:color w:val="auto"/>
                <w:kern w:val="2"/>
                <w:sz w:val="21"/>
                <w:szCs w:val="21"/>
                <w:lang w:val="en-US" w:eastAsia="zh-CN" w:bidi="ar-SA"/>
              </w:rPr>
              <w:t>。</w:t>
            </w:r>
            <w:r>
              <w:rPr>
                <w:rFonts w:ascii="Times New Roman" w:hAnsi="Times New Roman" w:eastAsia="宋体"/>
                <w:b w:val="0"/>
                <w:color w:val="auto"/>
                <w:sz w:val="21"/>
                <w:szCs w:val="21"/>
              </w:rPr>
              <w:t>初期雨水</w:t>
            </w:r>
            <w:r>
              <w:rPr>
                <w:rFonts w:hint="eastAsia" w:ascii="Times New Roman" w:hAnsi="Times New Roman" w:eastAsia="宋体"/>
                <w:b w:val="0"/>
                <w:color w:val="auto"/>
                <w:sz w:val="21"/>
                <w:szCs w:val="21"/>
              </w:rPr>
              <w:t>经初期雨水收集池收集后</w:t>
            </w:r>
            <w:r>
              <w:rPr>
                <w:rFonts w:hint="eastAsia"/>
                <w:b w:val="0"/>
                <w:color w:val="auto"/>
                <w:sz w:val="21"/>
                <w:szCs w:val="21"/>
                <w:lang w:val="en-US" w:eastAsia="zh-CN"/>
              </w:rPr>
              <w:t>接管至海门经济技术开发区污水处理厂，</w:t>
            </w:r>
            <w:r>
              <w:rPr>
                <w:rFonts w:hint="eastAsia" w:ascii="Times New Roman" w:hAnsi="Times New Roman" w:eastAsia="宋体"/>
                <w:b w:val="0"/>
                <w:color w:val="auto"/>
                <w:sz w:val="21"/>
                <w:szCs w:val="21"/>
              </w:rPr>
              <w:t>后期雨水排入市政雨水管网，最终排入</w:t>
            </w:r>
            <w:r>
              <w:rPr>
                <w:rFonts w:hint="eastAsia" w:ascii="Times New Roman" w:hAnsi="Times New Roman" w:eastAsia="宋体"/>
                <w:b w:val="0"/>
                <w:color w:val="auto"/>
                <w:sz w:val="21"/>
                <w:szCs w:val="21"/>
                <w:lang w:val="en-US" w:eastAsia="zh-CN"/>
              </w:rPr>
              <w:t>浒通河</w:t>
            </w:r>
            <w:r>
              <w:rPr>
                <w:rFonts w:hint="eastAsia" w:eastAsia="宋体"/>
                <w:b w:val="0"/>
                <w:bCs w:val="0"/>
                <w:color w:val="auto"/>
                <w:sz w:val="21"/>
                <w:szCs w:val="21"/>
              </w:rPr>
              <w:t>。</w:t>
            </w:r>
          </w:p>
          <w:p w14:paraId="17BFF215">
            <w:pPr>
              <w:pStyle w:val="52"/>
              <w:numPr>
                <w:ilvl w:val="0"/>
                <w:numId w:val="0"/>
              </w:numPr>
              <w:ind w:left="630" w:leftChars="200" w:hanging="210" w:hangingChars="100"/>
              <w:jc w:val="center"/>
              <w:rPr>
                <w:rFonts w:hint="eastAsia" w:ascii="Times New Roman"/>
                <w:b/>
                <w:bCs/>
                <w:color w:val="auto"/>
                <w:sz w:val="21"/>
                <w:szCs w:val="21"/>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650240</wp:posOffset>
                      </wp:positionH>
                      <wp:positionV relativeFrom="paragraph">
                        <wp:posOffset>1010920</wp:posOffset>
                      </wp:positionV>
                      <wp:extent cx="642620" cy="5715"/>
                      <wp:effectExtent l="0" t="44450" r="5080" b="64135"/>
                      <wp:wrapNone/>
                      <wp:docPr id="66" name="直接箭头连接符 66"/>
                      <wp:cNvGraphicFramePr/>
                      <a:graphic xmlns:a="http://schemas.openxmlformats.org/drawingml/2006/main">
                        <a:graphicData uri="http://schemas.microsoft.com/office/word/2010/wordprocessingShape">
                          <wps:wsp>
                            <wps:cNvCnPr/>
                            <wps:spPr>
                              <a:xfrm>
                                <a:off x="1823085" y="2323465"/>
                                <a:ext cx="64262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2pt;margin-top:79.6pt;height:0.45pt;width:50.6pt;z-index:251665408;mso-width-relative:page;mso-height-relative:page;" filled="f" stroked="t" coordsize="21600,21600" o:gfxdata="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oKCdgAAAALAQAADwAAAAAAAAABACAAAAAi&#10;AAAAZHJzL2Rvd25yZXYueG1sUEsBAhQAFAAAAAgAh07iQLcQbHsKAgAA1wMAAA4AAAAAAAAAAQAg&#10;AAAAJwEAAGRycy9lMm9Eb2MueG1sUEsFBgAAAAAGAAYAWQEAAKMFAAAAAA==&#10;">
                      <v:fill on="f" focussize="0,0"/>
                      <v:stroke color="#000000 [3213]" joinstyle="round" endarrow="open"/>
                      <v:imagedata o:title=""/>
                      <o:lock v:ext="edit" aspectratio="f"/>
                    </v:shape>
                  </w:pict>
                </mc:Fallback>
              </mc:AlternateContent>
            </w:r>
            <w:r>
              <w:rPr>
                <w:color w:val="auto"/>
                <w:sz w:val="21"/>
              </w:rPr>
              <mc:AlternateContent>
                <mc:Choice Requires="wpc">
                  <w:drawing>
                    <wp:inline distT="0" distB="0" distL="114300" distR="114300">
                      <wp:extent cx="4937125" cy="2599055"/>
                      <wp:effectExtent l="0" t="0" r="0" b="0"/>
                      <wp:docPr id="86" name="画布 86"/>
                      <wp:cNvGraphicFramePr/>
                      <a:graphic xmlns:a="http://schemas.openxmlformats.org/drawingml/2006/main">
                        <a:graphicData uri="http://schemas.microsoft.com/office/word/2010/wordprocessingCanvas">
                          <wpc:wpc>
                            <wpc:bg/>
                            <wpc:whole/>
                            <wps:wsp>
                              <wps:cNvPr id="90" name="矩形 53"/>
                              <wps:cNvSpPr/>
                              <wps:spPr>
                                <a:xfrm>
                                  <a:off x="1609725" y="447040"/>
                                  <a:ext cx="7429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F246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60"/>
                              <wps:cNvSpPr/>
                              <wps:spPr>
                                <a:xfrm>
                                  <a:off x="0" y="466090"/>
                                  <a:ext cx="1113155" cy="4660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4FA0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新鲜用水5025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矩形 87"/>
                              <wps:cNvSpPr/>
                              <wps:spPr>
                                <a:xfrm>
                                  <a:off x="2360930" y="8445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1415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矩形 28"/>
                              <wps:cNvSpPr/>
                              <wps:spPr>
                                <a:xfrm>
                                  <a:off x="1608455" y="1294130"/>
                                  <a:ext cx="127571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98C43">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切削液配置用水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矩形 30"/>
                              <wps:cNvSpPr/>
                              <wps:spPr>
                                <a:xfrm>
                                  <a:off x="2360930" y="9321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E9CA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24.75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0" name="肘形连接符 31"/>
                              <wps:cNvCnPr>
                                <a:stCxn id="53" idx="1"/>
                                <a:endCxn id="28" idx="1"/>
                              </wps:cNvCnPr>
                              <wps:spPr>
                                <a:xfrm rot="10800000" flipV="1">
                                  <a:off x="1608455" y="599440"/>
                                  <a:ext cx="3175" cy="847090"/>
                                </a:xfrm>
                                <a:prstGeom prst="bentConnector3">
                                  <a:avLst>
                                    <a:gd name="adj1" fmla="val 18850000"/>
                                  </a:avLst>
                                </a:prstGeom>
                                <a:ln w="63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122" name="矩形 32"/>
                              <wps:cNvSpPr/>
                              <wps:spPr>
                                <a:xfrm>
                                  <a:off x="3408680" y="1294130"/>
                                  <a:ext cx="142430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5B9B4">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废切削液作危废处置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直接箭头连接符 33"/>
                              <wps:cNvCnPr>
                                <a:stCxn id="28" idx="3"/>
                                <a:endCxn id="32" idx="1"/>
                              </wps:cNvCnPr>
                              <wps:spPr>
                                <a:xfrm>
                                  <a:off x="2884170" y="1446530"/>
                                  <a:ext cx="52451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4" name="矩形 34"/>
                              <wps:cNvSpPr/>
                              <wps:spPr>
                                <a:xfrm>
                                  <a:off x="3018155" y="10845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B851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任意多边形 42"/>
                              <wps:cNvSpPr/>
                              <wps:spPr>
                                <a:xfrm>
                                  <a:off x="1922780" y="132080"/>
                                  <a:ext cx="375920" cy="325755"/>
                                </a:xfrm>
                                <a:custGeom>
                                  <a:avLst/>
                                  <a:gdLst/>
                                  <a:ahLst/>
                                  <a:cxnLst>
                                    <a:cxn ang="0">
                                      <a:pos x="0" y="325755"/>
                                    </a:cxn>
                                    <a:cxn ang="0">
                                      <a:pos x="169545" y="126365"/>
                                    </a:cxn>
                                    <a:cxn ang="0">
                                      <a:pos x="219710" y="207645"/>
                                    </a:cxn>
                                    <a:cxn ang="0">
                                      <a:pos x="375920" y="0"/>
                                    </a:cxn>
                                  </a:cxnLst>
                                  <a:pathLst>
                                    <a:path w="592" h="513">
                                      <a:moveTo>
                                        <a:pt x="0" y="513"/>
                                      </a:moveTo>
                                      <a:cubicBezTo>
                                        <a:pt x="104" y="371"/>
                                        <a:pt x="209" y="230"/>
                                        <a:pt x="267" y="199"/>
                                      </a:cubicBezTo>
                                      <a:cubicBezTo>
                                        <a:pt x="325" y="168"/>
                                        <a:pt x="292" y="360"/>
                                        <a:pt x="346" y="327"/>
                                      </a:cubicBezTo>
                                      <a:cubicBezTo>
                                        <a:pt x="400" y="294"/>
                                        <a:pt x="551" y="54"/>
                                        <a:pt x="592" y="0"/>
                                      </a:cubicBezTo>
                                    </a:path>
                                  </a:pathLst>
                                </a:custGeom>
                                <a:noFill/>
                                <a:ln w="9525" cap="flat" cmpd="sng">
                                  <a:solidFill>
                                    <a:srgbClr val="000000"/>
                                  </a:solidFill>
                                  <a:prstDash val="solid"/>
                                  <a:headEnd type="none" w="med" len="med"/>
                                  <a:tailEnd type="triangle" w="med" len="med"/>
                                </a:ln>
                              </wps:spPr>
                              <wps:bodyPr upright="1"/>
                            </wps:wsp>
                            <wps:wsp>
                              <wps:cNvPr id="126" name="任意多边形 42"/>
                              <wps:cNvSpPr/>
                              <wps:spPr>
                                <a:xfrm>
                                  <a:off x="1998980" y="979805"/>
                                  <a:ext cx="375920" cy="325755"/>
                                </a:xfrm>
                                <a:custGeom>
                                  <a:avLst/>
                                  <a:gdLst/>
                                  <a:ahLst/>
                                  <a:cxnLst>
                                    <a:cxn ang="0">
                                      <a:pos x="0" y="325755"/>
                                    </a:cxn>
                                    <a:cxn ang="0">
                                      <a:pos x="169545" y="126365"/>
                                    </a:cxn>
                                    <a:cxn ang="0">
                                      <a:pos x="219710" y="207645"/>
                                    </a:cxn>
                                    <a:cxn ang="0">
                                      <a:pos x="375920" y="0"/>
                                    </a:cxn>
                                  </a:cxnLst>
                                  <a:pathLst>
                                    <a:path w="592" h="513">
                                      <a:moveTo>
                                        <a:pt x="0" y="513"/>
                                      </a:moveTo>
                                      <a:cubicBezTo>
                                        <a:pt x="104" y="371"/>
                                        <a:pt x="209" y="230"/>
                                        <a:pt x="267" y="199"/>
                                      </a:cubicBezTo>
                                      <a:cubicBezTo>
                                        <a:pt x="325" y="168"/>
                                        <a:pt x="292" y="360"/>
                                        <a:pt x="346" y="327"/>
                                      </a:cubicBezTo>
                                      <a:cubicBezTo>
                                        <a:pt x="400" y="294"/>
                                        <a:pt x="551" y="54"/>
                                        <a:pt x="592" y="0"/>
                                      </a:cubicBezTo>
                                    </a:path>
                                  </a:pathLst>
                                </a:custGeom>
                                <a:noFill/>
                                <a:ln w="9525" cap="flat" cmpd="sng">
                                  <a:solidFill>
                                    <a:srgbClr val="000000"/>
                                  </a:solidFill>
                                  <a:prstDash val="solid"/>
                                  <a:headEnd type="none" w="med" len="med"/>
                                  <a:tailEnd type="triangle" w="med" len="med"/>
                                </a:ln>
                              </wps:spPr>
                              <wps:bodyPr upright="1"/>
                            </wps:wsp>
                            <wps:wsp>
                              <wps:cNvPr id="127" name="矩形 102"/>
                              <wps:cNvSpPr/>
                              <wps:spPr>
                                <a:xfrm>
                                  <a:off x="1084580" y="2463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83B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矩形 103"/>
                              <wps:cNvSpPr/>
                              <wps:spPr>
                                <a:xfrm>
                                  <a:off x="1075055" y="11226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5A84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53"/>
                              <wps:cNvSpPr/>
                              <wps:spPr>
                                <a:xfrm>
                                  <a:off x="560705" y="2018030"/>
                                  <a:ext cx="7429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7602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36"/>
                              <wps:cNvCnPr/>
                              <wps:spPr>
                                <a:xfrm>
                                  <a:off x="151130" y="2189480"/>
                                  <a:ext cx="40068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矩形 102"/>
                              <wps:cNvSpPr/>
                              <wps:spPr>
                                <a:xfrm>
                                  <a:off x="189230" y="181800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808B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53"/>
                              <wps:cNvSpPr/>
                              <wps:spPr>
                                <a:xfrm>
                                  <a:off x="2867025" y="2018030"/>
                                  <a:ext cx="2070100" cy="2952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DC51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海门经济技术开发区污水处理厂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直接箭头连接符 63"/>
                              <wps:cNvCnPr/>
                              <wps:spPr>
                                <a:xfrm>
                                  <a:off x="2666365" y="2193290"/>
                                  <a:ext cx="30861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矩形 102"/>
                              <wps:cNvSpPr/>
                              <wps:spPr>
                                <a:xfrm>
                                  <a:off x="1246505" y="179895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724E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直接箭头连接符 60"/>
                              <wps:cNvCnPr/>
                              <wps:spPr>
                                <a:xfrm>
                                  <a:off x="1303655" y="2179955"/>
                                  <a:ext cx="40068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矩形 53"/>
                              <wps:cNvSpPr/>
                              <wps:spPr>
                                <a:xfrm>
                                  <a:off x="1703705" y="1884680"/>
                                  <a:ext cx="94234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401E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初期雨水收集池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矩形 102"/>
                              <wps:cNvSpPr/>
                              <wps:spPr>
                                <a:xfrm>
                                  <a:off x="2703830" y="18465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3AB8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04.65pt;width:388.75pt;" coordsize="4937125,2599055" editas="canvas" o:gfxdata="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">
                      <o:lock v:ext="edit" aspectratio="f"/>
                      <v:shape id="_x0000_s1026" o:spid="_x0000_s1026" style="position:absolute;left:0;top:0;height:2599055;width:4937125;" filled="f" stroked="f" coordsize="21600,21600" o:gfxdata="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">
                        <v:fill on="f" focussize="0,0"/>
                        <v:stroke on="f"/>
                        <v:imagedata o:title=""/>
                        <o:lock v:ext="edit" aspectratio="f"/>
                      </v:shape>
                      <v:rect id="矩形 53" o:spid="_x0000_s1026" o:spt="1" style="position:absolute;left:1609725;top:447040;height:304800;width:742950;v-text-anchor:middle;" filled="f" stroked="t" coordsize="21600,21600" o:gfxdata="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0prdg1QAAAAUBAAAPAAAAAAAAAAEAIAAAACIAAABkcnMvZG93bnJldi54&#10;bWxQSwECFAAUAAAACACHTuJAGyqbpG8CAADLBAAADgAAAAAAAAABACAAAAAkAQAAZHJzL2Uyb0Rv&#10;Yy54bWxQSwUGAAAAAAYABgBZAQAABQYAAAAA&#10;">
                        <v:fill on="f" focussize="0,0"/>
                        <v:stroke weight="1pt" color="#000000 [3213]" joinstyle="round"/>
                        <v:imagedata o:title=""/>
                        <o:lock v:ext="edit" aspectratio="f"/>
                        <v:textbox>
                          <w:txbxContent>
                            <w:p w14:paraId="02EF246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v:textbox>
                      </v:rect>
                      <v:rect id="矩形 60" o:spid="_x0000_s1026" o:spt="1" style="position:absolute;left:0;top:466090;height:466090;width:1113155;v-text-anchor:middle;" filled="f" stroked="f" coordsize="21600,21600" o:gfxdata="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97ZsP9UAAAAFAQAA&#10;DwAAAAAAAAABACAAAAAiAAAAZHJzL2Rvd25yZXYueG1sUEsBAhQAFAAAAAgAh07iQLPsFh1VAgAA&#10;ngQAAA4AAAAAAAAAAQAgAAAAJAEAAGRycy9lMm9Eb2MueG1sUEsFBgAAAAAGAAYAWQEAAOsFAAAA&#10;AA==&#10;">
                        <v:fill on="f" focussize="0,0"/>
                        <v:stroke on="f" weight="1pt"/>
                        <v:imagedata o:title=""/>
                        <o:lock v:ext="edit" aspectratio="f"/>
                        <v:textbox>
                          <w:txbxContent>
                            <w:p w14:paraId="2664FA0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新鲜用水5025</w:t>
                              </w:r>
                            </w:p>
                          </w:txbxContent>
                        </v:textbox>
                      </v:rect>
                      <v:rect id="矩形 87" o:spid="_x0000_s1026" o:spt="1" style="position:absolute;left:2360930;top:84455;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DeVWdYAAAAFAQAADwAAAAAAAAABACAAAAAiAAAAZHJzL2Rvd25yZXYueG1sUEsBAhQAFAAAAAgA&#10;h07iQI19dAJgAgAAogQAAA4AAAAAAAAAAQAgAAAAJQEAAGRycy9lMm9Eb2MueG1sUEsFBgAAAAAG&#10;AAYAWQEAAPcFAAAAAA==&#10;">
                        <v:fill on="f" focussize="0,0"/>
                        <v:stroke on="f" weight="2pt"/>
                        <v:imagedata o:title=""/>
                        <o:lock v:ext="edit" aspectratio="f"/>
                        <v:textbox>
                          <w:txbxContent>
                            <w:p w14:paraId="6E01415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v:textbox>
                      </v:rect>
                      <v:rect id="矩形 28" o:spid="_x0000_s1026" o:spt="1" style="position:absolute;left:1608455;top:1294130;height:304800;width:1275715;v-text-anchor:middle;" filled="f" stroked="t" coordsize="21600,21600" o:gfxdata="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prdg1QAAAAUBAAAPAAAAAAAAAAEAIAAAACIAAABkcnMvZG93bnJldi54bWxQ&#10;SwECFAAUAAAACACHTuJAdBYuK2wCAADOBAAADgAAAAAAAAABACAAAAAkAQAAZHJzL2Uyb0RvYy54&#10;bWxQSwUGAAAAAAYABgBZAQAAAgYAAAAA&#10;">
                        <v:fill on="f" focussize="0,0"/>
                        <v:stroke weight="1pt" color="#000000 [3213]" joinstyle="round"/>
                        <v:imagedata o:title=""/>
                        <o:lock v:ext="edit" aspectratio="f"/>
                        <v:textbox>
                          <w:txbxContent>
                            <w:p w14:paraId="4C498C43">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切削液配置用水</w:t>
                              </w:r>
                            </w:p>
                          </w:txbxContent>
                        </v:textbox>
                      </v:rect>
                      <v:rect id="矩形 30" o:spid="_x0000_s1026" o:spt="1" style="position:absolute;left:2360930;top:932180;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N5VZ1gAAAAUBAAAPAAAAAAAAAAEAIAAAACIAAABkcnMvZG93bnJldi54bWxQSwECFAAUAAAACACH&#10;TuJAsj4u9V8CAACjBAAADgAAAAAAAAABACAAAAAlAQAAZHJzL2Uyb0RvYy54bWxQSwUGAAAAAAYA&#10;BgBZAQAA9gUAAAAA&#10;">
                        <v:fill on="f" focussize="0,0"/>
                        <v:stroke on="f" weight="2pt"/>
                        <v:imagedata o:title=""/>
                        <o:lock v:ext="edit" aspectratio="f"/>
                        <v:textbox>
                          <w:txbxContent>
                            <w:p w14:paraId="796E9CA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24.75</w:t>
                              </w:r>
                            </w:p>
                          </w:txbxContent>
                        </v:textbox>
                      </v:rect>
                      <v:shape id="肘形连接符 31" o:spid="_x0000_s1026" o:spt="34" type="#_x0000_t34" style="position:absolute;left:1608455;top:599440;flip:y;height:847090;width:3175;rotation:11796480f;" filled="f" stroked="t" coordsize="21600,21600" o:gfxdata="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6Ric1QAAAAUBAAAPAAAAAAAA&#10;AAEAIAAAACIAAABkcnMvZG93bnJldi54bWxQSwECFAAUAAAACACHTuJAGfi0YU4CAABxBAAADgAA&#10;AAAAAAABACAAAAAkAQAAZHJzL2Uyb0RvYy54bWxQSwUGAAAAAAYABgBZAQAA5AUAAAAA&#10;" adj="4071600">
                        <v:fill on="f" focussize="0,0"/>
                        <v:stroke weight="0.5pt" color="#000000 [3213]" joinstyle="round" startarrow="open" endarrow="open"/>
                        <v:imagedata o:title=""/>
                        <o:lock v:ext="edit" aspectratio="f"/>
                      </v:shape>
                      <v:rect id="矩形 32" o:spid="_x0000_s1026" o:spt="1" style="position:absolute;left:3408680;top:1294130;height:304800;width:1424305;v-text-anchor:middle;" filled="f" stroked="f" coordsize="21600,21600" o:gfxdata="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3&#10;tmw/1QAAAAUBAAAPAAAAAAAAAAEAIAAAACIAAABkcnMvZG93bnJldi54bWxQSwECFAAUAAAACACH&#10;TuJAwr6LyGACAAClBAAADgAAAAAAAAABACAAAAAkAQAAZHJzL2Uyb0RvYy54bWxQSwUGAAAAAAYA&#10;BgBZAQAA9gUAAAAA&#10;">
                        <v:fill on="f" focussize="0,0"/>
                        <v:stroke on="f" weight="1pt"/>
                        <v:imagedata o:title=""/>
                        <o:lock v:ext="edit" aspectratio="f"/>
                        <v:textbox>
                          <w:txbxContent>
                            <w:p w14:paraId="0B55B9B4">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废切削液作危废处置</w:t>
                              </w:r>
                            </w:p>
                          </w:txbxContent>
                        </v:textbox>
                      </v:rect>
                      <v:shape id="直接箭头连接符 33" o:spid="_x0000_s1026" o:spt="32" type="#_x0000_t32" style="position:absolute;left:2884170;top:1446530;height:0;width:524510;" filled="f" stroked="t" coordsize="21600,21600" o:gfxdata="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5Mgl&#10;1wAAAAUBAAAPAAAAAAAAAAEAIAAAACIAAABkcnMvZG93bnJldi54bWxQSwECFAAUAAAACACHTuJA&#10;Bxk0ZSICAAAXBAAADgAAAAAAAAABACAAAAAmAQAAZHJzL2Uyb0RvYy54bWxQSwUGAAAAAAYABgBZ&#10;AQAAugUAAAAA&#10;">
                        <v:fill on="f" focussize="0,0"/>
                        <v:stroke weight="0.5pt" color="#000000 [3213]" joinstyle="round" endarrow="open"/>
                        <v:imagedata o:title=""/>
                        <o:lock v:ext="edit" aspectratio="f"/>
                      </v:shape>
                      <v:rect id="矩形 34" o:spid="_x0000_s1026" o:spt="1" style="position:absolute;left:3018155;top:1084580;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DeVWdYAAAAFAQAADwAAAAAAAAABACAAAAAiAAAAZHJzL2Rvd25yZXYueG1sUEsBAhQAFAAAAAgA&#10;h07iQKkdoL5gAgAApAQAAA4AAAAAAAAAAQAgAAAAJQEAAGRycy9lMm9Eb2MueG1sUEsFBgAAAAAG&#10;AAYAWQEAAPcFAAAAAA==&#10;">
                        <v:fill on="f" focussize="0,0"/>
                        <v:stroke on="f" weight="2pt"/>
                        <v:imagedata o:title=""/>
                        <o:lock v:ext="edit" aspectratio="f"/>
                        <v:textbox>
                          <w:txbxContent>
                            <w:p w14:paraId="50CB851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0.25</w:t>
                              </w:r>
                            </w:p>
                          </w:txbxContent>
                        </v:textbox>
                      </v:rect>
                      <v:shape id="任意多边形 42" o:spid="_x0000_s1026" o:spt="100" style="position:absolute;left:1922780;top:132080;height:325755;width:375920;" filled="f" stroked="t" coordsize="592,513" o:gfxdata="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2eVuzXAAAABQEAAA8AAAAAAAAAAQAgAAAAIgAAAGRycy9kb3ducmV2LnhtbFBLAQIU&#10;ABQAAAAIAIdO4kDQo2eK2AIAAHEGAAAOAAAAAAAAAAEAIAAAACYBAABkcnMvZTJvRG9jLnhtbFBL&#10;BQYAAAAABgAGAFkBAABwBgAAAAA=&#10;" path="m0,513c104,371,209,230,267,199c325,168,292,360,346,327c400,294,551,54,592,0e">
                        <v:path o:connectlocs="0,325755;169545,126365;219710,207645;375920,0" o:connectangles="0,0,0,0"/>
                        <v:fill on="f" focussize="0,0"/>
                        <v:stroke color="#000000" joinstyle="round" endarrow="block"/>
                        <v:imagedata o:title=""/>
                        <o:lock v:ext="edit" aspectratio="f"/>
                      </v:shape>
                      <v:shape id="任意多边形 42" o:spid="_x0000_s1026" o:spt="100" style="position:absolute;left:1998980;top:979805;height:325755;width:375920;" filled="f" stroked="t" coordsize="592,513" o:gfxdata="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2eVuzXAAAABQEAAA8AAAAAAAAAAQAgAAAAIgAAAGRycy9kb3ducmV2LnhtbFBLAQIU&#10;ABQAAAAIAIdO4kBPbs802AIAAHEGAAAOAAAAAAAAAAEAIAAAACYBAABkcnMvZTJvRG9jLnhtbFBL&#10;BQYAAAAABgAGAFkBAABwBgAAAAA=&#10;" path="m0,513c104,371,209,230,267,199c325,168,292,360,346,327c400,294,551,54,592,0e">
                        <v:path o:connectlocs="0,325755;169545,126365;219710,207645;375920,0" o:connectangles="0,0,0,0"/>
                        <v:fill on="f" focussize="0,0"/>
                        <v:stroke color="#000000" joinstyle="round" endarrow="block"/>
                        <v:imagedata o:title=""/>
                        <o:lock v:ext="edit" aspectratio="f"/>
                      </v:shape>
                      <v:rect id="矩形 102" o:spid="_x0000_s1026" o:spt="1" style="position:absolute;left:1084580;top:246380;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eV&#10;WdYAAAAFAQAADwAAAAAAAAABACAAAAAiAAAAZHJzL2Rvd25yZXYueG1sUEsBAhQAFAAAAAgAh07i&#10;QCtlw2hdAgAApAQAAA4AAAAAAAAAAQAgAAAAJQEAAGRycy9lMm9Eb2MueG1sUEsFBgAAAAAGAAYA&#10;WQEAAPQFAAAAAA==&#10;">
                        <v:fill on="f" focussize="0,0"/>
                        <v:stroke on="f" weight="2pt"/>
                        <v:imagedata o:title=""/>
                        <o:lock v:ext="edit" aspectratio="f"/>
                        <v:textbox>
                          <w:txbxContent>
                            <w:p w14:paraId="71EE83B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v:textbox>
                      </v:rect>
                      <v:rect id="矩形 103" o:spid="_x0000_s1026" o:spt="1" style="position:absolute;left:1075055;top:1122680;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N5VZ1gAAAAUBAAAPAAAAAAAAAAEAIAAAACIAAABkcnMvZG93bnJldi54bWxQSwECFAAUAAAACACH&#10;TuJA8CROx18CAAClBAAADgAAAAAAAAABACAAAAAlAQAAZHJzL2Uyb0RvYy54bWxQSwUGAAAAAAYA&#10;BgBZAQAA9gUAAAAA&#10;">
                        <v:fill on="f" focussize="0,0"/>
                        <v:stroke on="f" weight="2pt"/>
                        <v:imagedata o:title=""/>
                        <o:lock v:ext="edit" aspectratio="f"/>
                        <v:textbox>
                          <w:txbxContent>
                            <w:p w14:paraId="1455A84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xbxContent>
                        </v:textbox>
                      </v:rect>
                      <v:rect id="矩形 53" o:spid="_x0000_s1026" o:spt="1" style="position:absolute;left:560705;top:2018030;height:304800;width:742950;v-text-anchor:middle;" filled="f" stroked="t" coordsize="21600,21600" o:gfxdata="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Smt2DVAAAABQEAAA8AAAAAAAAAAQAgAAAAIgAAAGRycy9kb3ducmV2Lnht&#10;bFBLAQIUABQAAAAIAIdO4kB8/FDsbgIAAMsEAAAOAAAAAAAAAAEAIAAAACQBAABkcnMvZTJvRG9j&#10;LnhtbFBLBQYAAAAABgAGAFkBAAAEBgAAAAA=&#10;">
                        <v:fill on="f" focussize="0,0"/>
                        <v:stroke weight="1pt" color="#000000 [3213]" joinstyle="round"/>
                        <v:imagedata o:title=""/>
                        <o:lock v:ext="edit" aspectratio="f"/>
                        <v:textbox>
                          <w:txbxContent>
                            <w:p w14:paraId="4AF7602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w:t>
                              </w:r>
                            </w:p>
                          </w:txbxContent>
                        </v:textbox>
                      </v:rect>
                      <v:shape id="_x0000_s1026" o:spid="_x0000_s1026" o:spt="32" type="#_x0000_t32" style="position:absolute;left:151130;top:2189480;height:3810;width:400685;" filled="f" stroked="t" coordsize="21600,21600" o:gfxdata="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3nKj3WAAAABQEAAA8AAAAAAAAAAQAgAAAAIgAAAGRy&#10;cy9kb3ducmV2LnhtbFBLAQIUABQAAAAIAIdO4kCIrl8lBwIAANYDAAAOAAAAAAAAAAEAIAAAACUB&#10;AABkcnMvZTJvRG9jLnhtbFBLBQYAAAAABgAGAFkBAACeBQAAAAA=&#10;">
                        <v:fill on="f" focussize="0,0"/>
                        <v:stroke color="#000000 [3213]" joinstyle="round" endarrow="open"/>
                        <v:imagedata o:title=""/>
                        <o:lock v:ext="edit" aspectratio="f"/>
                      </v:shape>
                      <v:rect id="矩形 102" o:spid="_x0000_s1026" o:spt="1" style="position:absolute;left:189230;top:1818005;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DeVWdYAAAAFAQAADwAAAAAAAAABACAAAAAiAAAAZHJzL2Rvd25yZXYueG1sUEsBAhQAFAAAAAgA&#10;h07iQIqFmOBgAgAAowQAAA4AAAAAAAAAAQAgAAAAJQEAAGRycy9lMm9Eb2MueG1sUEsFBgAAAAAG&#10;AAYAWQEAAPcFAAAAAA==&#10;">
                        <v:fill on="f" focussize="0,0"/>
                        <v:stroke on="f" weight="2pt"/>
                        <v:imagedata o:title=""/>
                        <o:lock v:ext="edit" aspectratio="f"/>
                        <v:textbox>
                          <w:txbxContent>
                            <w:p w14:paraId="009808B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v:rect id="矩形 53" o:spid="_x0000_s1026" o:spt="1" style="position:absolute;left:2867025;top:2018030;height:295275;width:2070100;v-text-anchor:middle;" filled="f" stroked="f" coordsize="21600,21600" o:gfxdata="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3tmw/&#10;1QAAAAUBAAAPAAAAAAAAAAEAIAAAACIAAABkcnMvZG93bnJldi54bWxQSwECFAAUAAAACACHTuJA&#10;+QwxBV0CAACkBAAADgAAAAAAAAABACAAAAAkAQAAZHJzL2Uyb0RvYy54bWxQSwUGAAAAAAYABgBZ&#10;AQAA8wUAAAAA&#10;">
                        <v:fill on="f" focussize="0,0"/>
                        <v:stroke on="f" weight="1pt"/>
                        <v:imagedata o:title=""/>
                        <o:lock v:ext="edit" aspectratio="f"/>
                        <v:textbox>
                          <w:txbxContent>
                            <w:p w14:paraId="148DC51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海门经济技术开发区污水处理厂</w:t>
                              </w:r>
                            </w:p>
                          </w:txbxContent>
                        </v:textbox>
                      </v:rect>
                      <v:shape id="_x0000_s1026" o:spid="_x0000_s1026" o:spt="32" type="#_x0000_t32" style="position:absolute;left:2666365;top:2193290;height:1905;width:308610;" filled="f" stroked="t" coordsize="21600,21600" o:gfxdata="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&#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5yo91gAAAAUBAAAPAAAAAAAAAAEAIAAAACIAAABk&#10;cnMvZG93bnJldi54bWxQSwECFAAUAAAACACHTuJAQFr/iwgCAADXAwAADgAAAAAAAAABACAAAAAl&#10;AQAAZHJzL2Uyb0RvYy54bWxQSwUGAAAAAAYABgBZAQAAnwUAAAAA&#10;">
                        <v:fill on="f" focussize="0,0"/>
                        <v:stroke color="#000000 [3213]" joinstyle="round" endarrow="open"/>
                        <v:imagedata o:title=""/>
                        <o:lock v:ext="edit" aspectratio="f"/>
                      </v:shape>
                      <v:rect id="矩形 102" o:spid="_x0000_s1026" o:spt="1" style="position:absolute;left:1246505;top:1798955;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3lVnWAAAABQEAAA8AAAAAAAAAAQAgAAAAIgAAAGRycy9kb3ducmV2LnhtbFBLAQIUABQAAAAI&#10;AIdO4kD/mZBFYQIAAKQEAAAOAAAAAAAAAAEAIAAAACUBAABkcnMvZTJvRG9jLnhtbFBLBQYAAAAA&#10;BgAGAFkBAAD4BQAAAAA=&#10;">
                        <v:fill on="f" focussize="0,0"/>
                        <v:stroke on="f" weight="2pt"/>
                        <v:imagedata o:title=""/>
                        <o:lock v:ext="edit" aspectratio="f"/>
                        <v:textbox>
                          <w:txbxContent>
                            <w:p w14:paraId="1E8724E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v:shape id="_x0000_s1026" o:spid="_x0000_s1026" o:spt="32" type="#_x0000_t32" style="position:absolute;left:1303655;top:2179955;height:3810;width:400685;" filled="f" stroked="t" coordsize="21600,21600" o:gfxdata="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3nKj3WAAAABQEAAA8AAAAAAAAAAQAgAAAAIgAAAGRy&#10;cy9kb3ducmV2LnhtbFBLAQIUABQAAAAIAIdO4kCkxRCxBwIAANcDAAAOAAAAAAAAAAEAIAAAACUB&#10;AABkcnMvZTJvRG9jLnhtbFBLBQYAAAAABgAGAFkBAACeBQAAAAA=&#10;">
                        <v:fill on="f" focussize="0,0"/>
                        <v:stroke color="#000000 [3213]" joinstyle="round" endarrow="open"/>
                        <v:imagedata o:title=""/>
                        <o:lock v:ext="edit" aspectratio="f"/>
                      </v:shape>
                      <v:rect id="矩形 53" o:spid="_x0000_s1026" o:spt="1" style="position:absolute;left:1703705;top:1884680;height:495300;width:942340;v-text-anchor:middle;" filled="f" stroked="t" coordsize="21600,21600" o:gfxdata="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Smt2DVAAAABQEAAA8AAAAAAAAAAQAgAAAAIgAAAGRycy9kb3ducmV2Lnht&#10;bFBLAQIUABQAAAAIAIdO4kDGefcXbgIAAMwEAAAOAAAAAAAAAAEAIAAAACQBAABkcnMvZTJvRG9j&#10;LnhtbFBLBQYAAAAABgAGAFkBAAAEBgAAAAA=&#10;">
                        <v:fill on="f" focussize="0,0"/>
                        <v:stroke weight="1pt" color="#000000 [3213]" joinstyle="round"/>
                        <v:imagedata o:title=""/>
                        <o:lock v:ext="edit" aspectratio="f"/>
                        <v:textbox>
                          <w:txbxContent>
                            <w:p w14:paraId="0DD401E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初期雨水收集池</w:t>
                              </w:r>
                            </w:p>
                          </w:txbxContent>
                        </v:textbox>
                      </v:rect>
                      <v:rect id="矩形 102" o:spid="_x0000_s1026" o:spt="1" style="position:absolute;left:2703830;top:1846580;height:266700;width:523875;v-text-anchor:middle;" filled="f" stroked="f" coordsize="21600,21600" o:gfxdata="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3lVnWAAAABQEAAA8AAAAAAAAAAQAgAAAAIgAAAGRycy9kb3ducmV2LnhtbFBLAQIUABQAAAAI&#10;AIdO4kCX7G4/YQIAAKQEAAAOAAAAAAAAAAEAIAAAACUBAABkcnMvZTJvRG9jLnhtbFBLBQYAAAAA&#10;BgAGAFkBAAD4BQAAAAA=&#10;">
                        <v:fill on="f" focussize="0,0"/>
                        <v:stroke on="f" weight="2pt"/>
                        <v:imagedata o:title=""/>
                        <o:lock v:ext="edit" aspectratio="f"/>
                        <v:textbox>
                          <w:txbxContent>
                            <w:p w14:paraId="0363AB8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w10:wrap type="none"/>
                      <w10:anchorlock/>
                    </v:group>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298450</wp:posOffset>
                      </wp:positionH>
                      <wp:positionV relativeFrom="paragraph">
                        <wp:posOffset>-6548755</wp:posOffset>
                      </wp:positionV>
                      <wp:extent cx="742950" cy="304800"/>
                      <wp:effectExtent l="6350" t="6350" r="12700" b="12700"/>
                      <wp:wrapNone/>
                      <wp:docPr id="32" name="矩形 53"/>
                      <wp:cNvGraphicFramePr/>
                      <a:graphic xmlns:a="http://schemas.openxmlformats.org/drawingml/2006/main">
                        <a:graphicData uri="http://schemas.microsoft.com/office/word/2010/wordprocessingShape">
                          <wps:wsp>
                            <wps:cNvSpPr/>
                            <wps:spPr>
                              <a:xfrm>
                                <a:off x="0" y="0"/>
                                <a:ext cx="7429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5421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3" o:spid="_x0000_s1026" o:spt="1" style="position:absolute;left:0pt;margin-left:23.5pt;margin-top:-515.65pt;height:24pt;width:58.5pt;z-index:251669504;v-text-anchor:middle;mso-width-relative:page;mso-height-relative:page;" filled="f" stroked="t" coordsize="21600,21600" o:gfxdata="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ZjY7NsAAAANAQAADwAAAAAAAAABACAAAAAiAAAAZHJzL2Rvd25yZXYueG1sUEsB&#10;AhQAFAAAAAgAh07iQMBji1pkAgAAwAQAAA4AAAAAAAAAAQAgAAAAKgEAAGRycy9lMm9Eb2MueG1s&#10;UEsFBgAAAAAGAAYAWQEAAAAGAAAAAA==&#10;">
                      <v:fill on="f" focussize="0,0"/>
                      <v:stroke weight="1pt" color="#000000 [3213]" joinstyle="round"/>
                      <v:imagedata o:title=""/>
                      <o:lock v:ext="edit" aspectratio="f"/>
                      <v:textbox>
                        <w:txbxContent>
                          <w:p w14:paraId="1FD5421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v:textbox>
                    </v:rect>
                  </w:pict>
                </mc:Fallback>
              </mc:AlternateContent>
            </w:r>
            <w:r>
              <w:rPr>
                <w:rFonts w:hint="eastAsia" w:ascii="Times New Roman" w:hAnsi="Times New Roman" w:eastAsia="宋体" w:cs="Times New Roman"/>
                <w:b/>
                <w:bCs/>
                <w:color w:val="auto"/>
                <w:sz w:val="21"/>
                <w:szCs w:val="21"/>
                <w:lang w:val="en-US" w:eastAsia="zh-CN"/>
              </w:rPr>
              <w:t>图2-1 本项目水平衡图 单位：t/a</w:t>
            </w:r>
          </w:p>
          <w:p w14:paraId="06F43D82">
            <w:pPr>
              <w:pStyle w:val="52"/>
              <w:numPr>
                <w:ilvl w:val="0"/>
                <w:numId w:val="0"/>
              </w:numPr>
              <w:jc w:val="both"/>
              <w:rPr>
                <w:rFonts w:hint="eastAsia" w:ascii="Times New Roman" w:hAnsi="Times New Roman" w:eastAsia="宋体" w:cs="Times New Roman"/>
                <w:b/>
                <w:bCs/>
                <w:color w:val="auto"/>
                <w:sz w:val="21"/>
                <w:szCs w:val="21"/>
                <w:lang w:val="en-US" w:eastAsia="zh-CN"/>
              </w:rPr>
            </w:pP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3712210</wp:posOffset>
                      </wp:positionH>
                      <wp:positionV relativeFrom="paragraph">
                        <wp:posOffset>2372360</wp:posOffset>
                      </wp:positionV>
                      <wp:extent cx="400050" cy="0"/>
                      <wp:effectExtent l="0" t="48895" r="0" b="65405"/>
                      <wp:wrapNone/>
                      <wp:docPr id="129" name="直接箭头连接符 129"/>
                      <wp:cNvGraphicFramePr/>
                      <a:graphic xmlns:a="http://schemas.openxmlformats.org/drawingml/2006/main">
                        <a:graphicData uri="http://schemas.microsoft.com/office/word/2010/wordprocessingShape">
                          <wps:wsp>
                            <wps:cNvCnPr/>
                            <wps:spPr>
                              <a:xfrm>
                                <a:off x="5023485" y="7950200"/>
                                <a:ext cx="40005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2.3pt;margin-top:186.8pt;height:0pt;width:31.5pt;z-index:251666432;mso-width-relative:page;mso-height-relative:page;" filled="f" stroked="t" coordsize="21600,21600" o:gfxdata="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DuBnNkAAAALAQAADwAAAAAAAAABACAAAAAiAAAA&#10;ZHJzL2Rvd25yZXYueG1sUEsBAhQAFAAAAAgAh07iQFq7EfUGAgAA1gMAAA4AAAAAAAAAAQAgAAAA&#10;KAEAAGRycy9lMm9Eb2MueG1sUEsFBgAAAAAGAAYAWQEAAKAFAAAAAA==&#10;">
                      <v:fill on="f" focussize="0,0"/>
                      <v:stroke weight="0.5pt" color="#000000 [3213]" joinstyle="round" endarrow="open"/>
                      <v:imagedata o:title=""/>
                      <o:lock v:ext="edit" aspectratio="f"/>
                    </v:shape>
                  </w:pict>
                </mc:Fallback>
              </mc:AlternateContent>
            </w:r>
            <w:r>
              <w:rPr>
                <w:color w:val="auto"/>
                <w:sz w:val="21"/>
              </w:rPr>
              <mc:AlternateContent>
                <mc:Choice Requires="wpc">
                  <w:drawing>
                    <wp:inline distT="0" distB="0" distL="114300" distR="114300">
                      <wp:extent cx="5252085" cy="3496310"/>
                      <wp:effectExtent l="0" t="0" r="0" b="0"/>
                      <wp:docPr id="130" name="画布 130"/>
                      <wp:cNvGraphicFramePr/>
                      <a:graphic xmlns:a="http://schemas.openxmlformats.org/drawingml/2006/main">
                        <a:graphicData uri="http://schemas.microsoft.com/office/word/2010/wordprocessingCanvas">
                          <wpc:wpc>
                            <wpc:bg/>
                            <wpc:whole/>
                            <wps:wsp>
                              <wps:cNvPr id="131" name="矩形 63"/>
                              <wps:cNvSpPr/>
                              <wps:spPr>
                                <a:xfrm>
                                  <a:off x="1932305" y="655955"/>
                                  <a:ext cx="7429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D5BF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矩形 72"/>
                              <wps:cNvSpPr/>
                              <wps:spPr>
                                <a:xfrm>
                                  <a:off x="1903730" y="1408430"/>
                                  <a:ext cx="127571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4E287">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切削液配置用水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34"/>
                              <wps:cNvSpPr/>
                              <wps:spPr>
                                <a:xfrm>
                                  <a:off x="1865630" y="2227580"/>
                                  <a:ext cx="733425" cy="301625"/>
                                </a:xfrm>
                                <a:prstGeom prst="rect">
                                  <a:avLst/>
                                </a:prstGeom>
                                <a:noFill/>
                                <a:ln w="9525" cap="flat" cmpd="sng">
                                  <a:solidFill>
                                    <a:srgbClr val="000000"/>
                                  </a:solidFill>
                                  <a:prstDash val="solid"/>
                                  <a:miter/>
                                  <a:headEnd type="none" w="med" len="med"/>
                                  <a:tailEnd type="none" w="med" len="med"/>
                                </a:ln>
                              </wps:spPr>
                              <wps:txbx>
                                <w:txbxContent>
                                  <w:p w14:paraId="75BAC17B">
                                    <w:pPr>
                                      <w:adjustRightInd w:val="0"/>
                                      <w:snapToGrid w:val="0"/>
                                      <w:rPr>
                                        <w:b/>
                                        <w:szCs w:val="21"/>
                                      </w:rPr>
                                    </w:pPr>
                                    <w:r>
                                      <w:rPr>
                                        <w:rFonts w:hint="eastAsia" w:hAnsi="宋体"/>
                                        <w:szCs w:val="21"/>
                                      </w:rPr>
                                      <w:t>生活用水</w:t>
                                    </w:r>
                                  </w:p>
                                </w:txbxContent>
                              </wps:txbx>
                              <wps:bodyPr upright="1"/>
                            </wps:wsp>
                            <wps:wsp>
                              <wps:cNvPr id="134" name="矩形 39"/>
                              <wps:cNvSpPr/>
                              <wps:spPr>
                                <a:xfrm>
                                  <a:off x="3065780" y="2227580"/>
                                  <a:ext cx="638175" cy="297180"/>
                                </a:xfrm>
                                <a:prstGeom prst="rect">
                                  <a:avLst/>
                                </a:prstGeom>
                                <a:noFill/>
                                <a:ln w="6350" cap="flat" cmpd="sng">
                                  <a:solidFill>
                                    <a:srgbClr val="000000"/>
                                  </a:solidFill>
                                  <a:prstDash val="solid"/>
                                  <a:miter/>
                                  <a:headEnd type="none" w="med" len="med"/>
                                  <a:tailEnd type="none" w="med" len="med"/>
                                </a:ln>
                              </wps:spPr>
                              <wps:txbx>
                                <w:txbxContent>
                                  <w:p w14:paraId="163D48B5">
                                    <w:pPr>
                                      <w:adjustRightInd w:val="0"/>
                                      <w:snapToGrid w:val="0"/>
                                      <w:rPr>
                                        <w:b/>
                                        <w:szCs w:val="21"/>
                                      </w:rPr>
                                    </w:pPr>
                                    <w:r>
                                      <w:rPr>
                                        <w:rFonts w:hint="eastAsia"/>
                                        <w:szCs w:val="21"/>
                                      </w:rPr>
                                      <w:t>化粪池</w:t>
                                    </w:r>
                                  </w:p>
                                </w:txbxContent>
                              </wps:txbx>
                              <wps:bodyPr upright="1"/>
                            </wps:wsp>
                            <wps:wsp>
                              <wps:cNvPr id="135" name="任意多边形 42"/>
                              <wps:cNvSpPr/>
                              <wps:spPr>
                                <a:xfrm>
                                  <a:off x="2284730" y="341630"/>
                                  <a:ext cx="375920" cy="325755"/>
                                </a:xfrm>
                                <a:custGeom>
                                  <a:avLst/>
                                  <a:gdLst/>
                                  <a:ahLst/>
                                  <a:cxnLst>
                                    <a:cxn ang="0">
                                      <a:pos x="0" y="325755"/>
                                    </a:cxn>
                                    <a:cxn ang="0">
                                      <a:pos x="169545" y="126365"/>
                                    </a:cxn>
                                    <a:cxn ang="0">
                                      <a:pos x="219710" y="207645"/>
                                    </a:cxn>
                                    <a:cxn ang="0">
                                      <a:pos x="375920" y="0"/>
                                    </a:cxn>
                                  </a:cxnLst>
                                  <a:pathLst>
                                    <a:path w="592" h="513">
                                      <a:moveTo>
                                        <a:pt x="0" y="513"/>
                                      </a:moveTo>
                                      <a:cubicBezTo>
                                        <a:pt x="104" y="371"/>
                                        <a:pt x="209" y="230"/>
                                        <a:pt x="267" y="199"/>
                                      </a:cubicBezTo>
                                      <a:cubicBezTo>
                                        <a:pt x="325" y="168"/>
                                        <a:pt x="292" y="360"/>
                                        <a:pt x="346" y="327"/>
                                      </a:cubicBezTo>
                                      <a:cubicBezTo>
                                        <a:pt x="400" y="294"/>
                                        <a:pt x="551" y="54"/>
                                        <a:pt x="592" y="0"/>
                                      </a:cubicBezTo>
                                    </a:path>
                                  </a:pathLst>
                                </a:custGeom>
                                <a:noFill/>
                                <a:ln w="9525" cap="flat" cmpd="sng">
                                  <a:solidFill>
                                    <a:srgbClr val="000000"/>
                                  </a:solidFill>
                                  <a:prstDash val="solid"/>
                                  <a:headEnd type="none" w="med" len="med"/>
                                  <a:tailEnd type="triangle" w="med" len="med"/>
                                </a:ln>
                              </wps:spPr>
                              <wps:bodyPr upright="1"/>
                            </wps:wsp>
                            <wps:wsp>
                              <wps:cNvPr id="136" name="任意多边形 42"/>
                              <wps:cNvSpPr/>
                              <wps:spPr>
                                <a:xfrm>
                                  <a:off x="2589530" y="1084580"/>
                                  <a:ext cx="375920" cy="325755"/>
                                </a:xfrm>
                                <a:custGeom>
                                  <a:avLst/>
                                  <a:gdLst/>
                                  <a:ahLst/>
                                  <a:cxnLst>
                                    <a:cxn ang="0">
                                      <a:pos x="0" y="325755"/>
                                    </a:cxn>
                                    <a:cxn ang="0">
                                      <a:pos x="169545" y="126365"/>
                                    </a:cxn>
                                    <a:cxn ang="0">
                                      <a:pos x="219710" y="207645"/>
                                    </a:cxn>
                                    <a:cxn ang="0">
                                      <a:pos x="375920" y="0"/>
                                    </a:cxn>
                                  </a:cxnLst>
                                  <a:pathLst>
                                    <a:path w="592" h="513">
                                      <a:moveTo>
                                        <a:pt x="0" y="513"/>
                                      </a:moveTo>
                                      <a:cubicBezTo>
                                        <a:pt x="104" y="371"/>
                                        <a:pt x="209" y="230"/>
                                        <a:pt x="267" y="199"/>
                                      </a:cubicBezTo>
                                      <a:cubicBezTo>
                                        <a:pt x="325" y="168"/>
                                        <a:pt x="292" y="360"/>
                                        <a:pt x="346" y="327"/>
                                      </a:cubicBezTo>
                                      <a:cubicBezTo>
                                        <a:pt x="400" y="294"/>
                                        <a:pt x="551" y="54"/>
                                        <a:pt x="592" y="0"/>
                                      </a:cubicBezTo>
                                    </a:path>
                                  </a:pathLst>
                                </a:custGeom>
                                <a:noFill/>
                                <a:ln w="9525" cap="flat" cmpd="sng">
                                  <a:solidFill>
                                    <a:srgbClr val="000000"/>
                                  </a:solidFill>
                                  <a:prstDash val="solid"/>
                                  <a:headEnd type="none" w="med" len="med"/>
                                  <a:tailEnd type="triangle" w="med" len="med"/>
                                </a:ln>
                              </wps:spPr>
                              <wps:bodyPr upright="1"/>
                            </wps:wsp>
                            <wps:wsp>
                              <wps:cNvPr id="137" name="任意多边形 42"/>
                              <wps:cNvSpPr/>
                              <wps:spPr>
                                <a:xfrm>
                                  <a:off x="2246630" y="1903730"/>
                                  <a:ext cx="375920" cy="325755"/>
                                </a:xfrm>
                                <a:custGeom>
                                  <a:avLst/>
                                  <a:gdLst/>
                                  <a:ahLst/>
                                  <a:cxnLst>
                                    <a:cxn ang="0">
                                      <a:pos x="0" y="325755"/>
                                    </a:cxn>
                                    <a:cxn ang="0">
                                      <a:pos x="169545" y="126365"/>
                                    </a:cxn>
                                    <a:cxn ang="0">
                                      <a:pos x="219710" y="207645"/>
                                    </a:cxn>
                                    <a:cxn ang="0">
                                      <a:pos x="375920" y="0"/>
                                    </a:cxn>
                                  </a:cxnLst>
                                  <a:pathLst>
                                    <a:path w="592" h="513">
                                      <a:moveTo>
                                        <a:pt x="0" y="513"/>
                                      </a:moveTo>
                                      <a:cubicBezTo>
                                        <a:pt x="104" y="371"/>
                                        <a:pt x="209" y="230"/>
                                        <a:pt x="267" y="199"/>
                                      </a:cubicBezTo>
                                      <a:cubicBezTo>
                                        <a:pt x="325" y="168"/>
                                        <a:pt x="292" y="360"/>
                                        <a:pt x="346" y="327"/>
                                      </a:cubicBezTo>
                                      <a:cubicBezTo>
                                        <a:pt x="400" y="294"/>
                                        <a:pt x="551" y="54"/>
                                        <a:pt x="592" y="0"/>
                                      </a:cubicBezTo>
                                    </a:path>
                                  </a:pathLst>
                                </a:custGeom>
                                <a:noFill/>
                                <a:ln w="9525" cap="flat" cmpd="sng">
                                  <a:solidFill>
                                    <a:srgbClr val="000000"/>
                                  </a:solidFill>
                                  <a:prstDash val="solid"/>
                                  <a:headEnd type="none" w="med" len="med"/>
                                  <a:tailEnd type="triangle" w="med" len="med"/>
                                </a:ln>
                              </wps:spPr>
                              <wps:bodyPr upright="1"/>
                            </wps:wsp>
                            <wps:wsp>
                              <wps:cNvPr id="138" name="矩形 95"/>
                              <wps:cNvSpPr/>
                              <wps:spPr>
                                <a:xfrm>
                                  <a:off x="2694305" y="26543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D6A9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矩形 96"/>
                              <wps:cNvSpPr/>
                              <wps:spPr>
                                <a:xfrm>
                                  <a:off x="3037205" y="97980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4694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24.75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矩形 97"/>
                              <wps:cNvSpPr/>
                              <wps:spPr>
                                <a:xfrm>
                                  <a:off x="3723005" y="1408430"/>
                                  <a:ext cx="1424305"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B2902">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废切削液作危废处置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矩形 98"/>
                              <wps:cNvSpPr/>
                              <wps:spPr>
                                <a:xfrm>
                                  <a:off x="1398905" y="49403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F201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肘形连接符 99"/>
                              <wps:cNvCnPr>
                                <a:stCxn id="63" idx="1"/>
                                <a:endCxn id="113" idx="1"/>
                              </wps:cNvCnPr>
                              <wps:spPr>
                                <a:xfrm rot="10800000" flipV="1">
                                  <a:off x="1864995" y="807720"/>
                                  <a:ext cx="66675" cy="1570355"/>
                                </a:xfrm>
                                <a:prstGeom prst="bentConnector3">
                                  <a:avLst>
                                    <a:gd name="adj1" fmla="val 457143"/>
                                  </a:avLst>
                                </a:prstGeom>
                                <a:ln w="63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143" name="直接箭头连接符 100"/>
                              <wps:cNvCnPr>
                                <a:endCxn id="72" idx="1"/>
                              </wps:cNvCnPr>
                              <wps:spPr>
                                <a:xfrm>
                                  <a:off x="1054735" y="1553210"/>
                                  <a:ext cx="848995" cy="762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4" name="矩形 101"/>
                              <wps:cNvSpPr/>
                              <wps:spPr>
                                <a:xfrm>
                                  <a:off x="341630" y="1122680"/>
                                  <a:ext cx="1189990" cy="3048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7835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新鲜用水6275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矩形 104"/>
                              <wps:cNvSpPr/>
                              <wps:spPr>
                                <a:xfrm>
                                  <a:off x="1541780" y="12369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0180F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直接箭头连接符 105"/>
                              <wps:cNvCnPr>
                                <a:stCxn id="72" idx="3"/>
                                <a:endCxn id="97" idx="1"/>
                              </wps:cNvCnPr>
                              <wps:spPr>
                                <a:xfrm>
                                  <a:off x="3179445" y="1560830"/>
                                  <a:ext cx="54356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7" name="直接箭头连接符 106"/>
                              <wps:cNvCnPr>
                                <a:stCxn id="113" idx="3"/>
                                <a:endCxn id="118" idx="1"/>
                              </wps:cNvCnPr>
                              <wps:spPr>
                                <a:xfrm flipV="1">
                                  <a:off x="2599055" y="2376170"/>
                                  <a:ext cx="46672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8" name="矩形 37"/>
                              <wps:cNvSpPr/>
                              <wps:spPr>
                                <a:xfrm>
                                  <a:off x="4103370" y="2151380"/>
                                  <a:ext cx="1148715" cy="439420"/>
                                </a:xfrm>
                                <a:prstGeom prst="rect">
                                  <a:avLst/>
                                </a:prstGeom>
                                <a:noFill/>
                                <a:ln>
                                  <a:noFill/>
                                </a:ln>
                              </wps:spPr>
                              <wps:txbx>
                                <w:txbxContent>
                                  <w:p w14:paraId="26D3E2CB">
                                    <w:pPr>
                                      <w:rPr>
                                        <w:b/>
                                        <w:szCs w:val="21"/>
                                      </w:rPr>
                                    </w:pPr>
                                    <w:r>
                                      <w:rPr>
                                        <w:rFonts w:hint="eastAsia" w:ascii="Times New Roman" w:hAnsi="Times New Roman" w:cs="Times New Roman"/>
                                        <w:color w:val="auto"/>
                                        <w:sz w:val="21"/>
                                        <w:szCs w:val="21"/>
                                        <w:lang w:eastAsia="zh-CN"/>
                                      </w:rPr>
                                      <w:t>海门经济技术开发区污水处理厂</w:t>
                                    </w:r>
                                  </w:p>
                                </w:txbxContent>
                              </wps:txbx>
                              <wps:bodyPr upright="1"/>
                            </wps:wsp>
                            <wps:wsp>
                              <wps:cNvPr id="149" name="矩形 108"/>
                              <wps:cNvSpPr/>
                              <wps:spPr>
                                <a:xfrm>
                                  <a:off x="1532255" y="201803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4C8E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矩形 109"/>
                              <wps:cNvSpPr/>
                              <wps:spPr>
                                <a:xfrm>
                                  <a:off x="2570480" y="209423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319A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10"/>
                              <wps:cNvSpPr/>
                              <wps:spPr>
                                <a:xfrm>
                                  <a:off x="3703955" y="20370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7BC1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矩形 111"/>
                              <wps:cNvSpPr/>
                              <wps:spPr>
                                <a:xfrm>
                                  <a:off x="2570480" y="178943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14D0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53"/>
                              <wps:cNvSpPr/>
                              <wps:spPr>
                                <a:xfrm>
                                  <a:off x="1589405" y="2961005"/>
                                  <a:ext cx="74295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5B10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直接箭头连接符 95"/>
                              <wps:cNvCnPr/>
                              <wps:spPr>
                                <a:xfrm>
                                  <a:off x="941705" y="3103880"/>
                                  <a:ext cx="64262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直接箭头连接符 96"/>
                              <wps:cNvCnPr/>
                              <wps:spPr>
                                <a:xfrm>
                                  <a:off x="2322830" y="3103880"/>
                                  <a:ext cx="64262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矩形 102"/>
                              <wps:cNvSpPr/>
                              <wps:spPr>
                                <a:xfrm>
                                  <a:off x="970280" y="2760980"/>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0418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矩形 102"/>
                              <wps:cNvSpPr/>
                              <wps:spPr>
                                <a:xfrm>
                                  <a:off x="2370455" y="278955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17EB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矩形 53"/>
                              <wps:cNvSpPr/>
                              <wps:spPr>
                                <a:xfrm>
                                  <a:off x="2999105" y="2941955"/>
                                  <a:ext cx="117030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0AA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初期雨水收集池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 name="肘形连接符 103"/>
                              <wps:cNvCnPr>
                                <a:stCxn id="100" idx="3"/>
                                <a:endCxn id="148" idx="2"/>
                              </wps:cNvCnPr>
                              <wps:spPr>
                                <a:xfrm flipV="1">
                                  <a:off x="4169410" y="2590800"/>
                                  <a:ext cx="508635" cy="508635"/>
                                </a:xfrm>
                                <a:prstGeom prst="bentConnector2">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4" name="矩形 102"/>
                              <wps:cNvSpPr/>
                              <wps:spPr>
                                <a:xfrm>
                                  <a:off x="4180205" y="2732405"/>
                                  <a:ext cx="5238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3525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75.3pt;width:413.55pt;" coordsize="5252085,3496310" editas="canvas" o:gfxdata="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">
                      <o:lock v:ext="edit" aspectratio="f"/>
                      <v:shape id="_x0000_s1026" o:spid="_x0000_s1026" style="position:absolute;left:0;top:0;height:3496310;width:5252085;" filled="f" stroked="f" coordsize="21600,21600" o:gfxdata="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">
                        <v:fill on="f" focussize="0,0"/>
                        <v:stroke on="f"/>
                        <v:imagedata o:title=""/>
                        <o:lock v:ext="edit" aspectratio="f"/>
                      </v:shape>
                      <v:rect id="矩形 63" o:spid="_x0000_s1026" o:spt="1" style="position:absolute;left:1932305;top:655955;height:304800;width:742950;v-text-anchor:middle;" filled="f" stroked="t" coordsize="21600,21600" o:gfxdata="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GI2qNUAAAAFAQAADwAAAAAAAAABACAAAAAiAAAAZHJzL2Rvd25yZXYu&#10;eG1sUEsBAhQAFAAAAAgAh07iQFcrx/lwAgAAzAQAAA4AAAAAAAAAAQAgAAAAJAEAAGRycy9lMm9E&#10;b2MueG1sUEsFBgAAAAAGAAYAWQEAAAYGAAAAAA==&#10;">
                        <v:fill on="f" focussize="0,0"/>
                        <v:stroke weight="1pt" color="#000000 [3213]" joinstyle="round"/>
                        <v:imagedata o:title=""/>
                        <o:lock v:ext="edit" aspectratio="f"/>
                        <v:textbox>
                          <w:txbxContent>
                            <w:p w14:paraId="08FD5BF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冷却水</w:t>
                              </w:r>
                            </w:p>
                          </w:txbxContent>
                        </v:textbox>
                      </v:rect>
                      <v:rect id="矩形 72" o:spid="_x0000_s1026" o:spt="1" style="position:absolute;left:1903730;top:1408430;height:304800;width:1275715;v-text-anchor:middle;" filled="f" stroked="t" coordsize="21600,21600" o:gfxdata="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8Yjao1QAAAAUBAAAPAAAAAAAAAAEAIAAAACIAAABkcnMvZG93bnJldi54bWxQ&#10;SwECFAAUAAAACACHTuJAD6Ssr2wCAADOBAAADgAAAAAAAAABACAAAAAkAQAAZHJzL2Uyb0RvYy54&#10;bWxQSwUGAAAAAAYABgBZAQAAAgYAAAAA&#10;">
                        <v:fill on="f" focussize="0,0"/>
                        <v:stroke weight="1pt" color="#000000 [3213]" joinstyle="round"/>
                        <v:imagedata o:title=""/>
                        <o:lock v:ext="edit" aspectratio="f"/>
                        <v:textbox>
                          <w:txbxContent>
                            <w:p w14:paraId="3F74E287">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切削液配置用水</w:t>
                              </w:r>
                            </w:p>
                          </w:txbxContent>
                        </v:textbox>
                      </v:rect>
                      <v:rect id="矩形 34" o:spid="_x0000_s1026" o:spt="1" style="position:absolute;left:1865630;top:2227580;height:301625;width:733425;" filled="f" stroked="t" coordsize="21600,21600" o:gfxdata="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&#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nG83UAAAABQEAAA8AAAAAAAAAAQAgAAAAIgAAAGRy&#10;cy9kb3ducmV2LnhtbFBLAQIUABQAAAAIAIdO4kBXu4OeCQIAAA4EAAAOAAAAAAAAAAEAIAAAACMB&#10;AABkcnMvZTJvRG9jLnhtbFBLBQYAAAAABgAGAFkBAACeBQAAAAA=&#10;">
                        <v:fill on="f" focussize="0,0"/>
                        <v:stroke color="#000000" joinstyle="miter"/>
                        <v:imagedata o:title=""/>
                        <o:lock v:ext="edit" aspectratio="f"/>
                        <v:textbox>
                          <w:txbxContent>
                            <w:p w14:paraId="75BAC17B">
                              <w:pPr>
                                <w:adjustRightInd w:val="0"/>
                                <w:snapToGrid w:val="0"/>
                                <w:rPr>
                                  <w:b/>
                                  <w:szCs w:val="21"/>
                                </w:rPr>
                              </w:pPr>
                              <w:r>
                                <w:rPr>
                                  <w:rFonts w:hint="eastAsia" w:hAnsi="宋体"/>
                                  <w:szCs w:val="21"/>
                                </w:rPr>
                                <w:t>生活用水</w:t>
                              </w:r>
                            </w:p>
                          </w:txbxContent>
                        </v:textbox>
                      </v:rect>
                      <v:rect id="矩形 39" o:spid="_x0000_s1026" o:spt="1" style="position:absolute;left:3065780;top:2227580;height:297180;width:638175;" filled="f" stroked="t" coordsize="21600,21600" o:gfxdata="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d7n1NMAAAAFAQAADwAAAAAAAAABACAAAAAiAAAAZHJz&#10;L2Rvd25yZXYueG1sUEsBAhQAFAAAAAgAh07iQB4udrsJAgAADgQAAA4AAAAAAAAAAQAgAAAAIgEA&#10;AGRycy9lMm9Eb2MueG1sUEsFBgAAAAAGAAYAWQEAAJ0FAAAAAA==&#10;">
                        <v:fill on="f" focussize="0,0"/>
                        <v:stroke weight="0.5pt" color="#000000" joinstyle="miter"/>
                        <v:imagedata o:title=""/>
                        <o:lock v:ext="edit" aspectratio="f"/>
                        <v:textbox>
                          <w:txbxContent>
                            <w:p w14:paraId="163D48B5">
                              <w:pPr>
                                <w:adjustRightInd w:val="0"/>
                                <w:snapToGrid w:val="0"/>
                                <w:rPr>
                                  <w:b/>
                                  <w:szCs w:val="21"/>
                                </w:rPr>
                              </w:pPr>
                              <w:r>
                                <w:rPr>
                                  <w:rFonts w:hint="eastAsia"/>
                                  <w:szCs w:val="21"/>
                                </w:rPr>
                                <w:t>化粪池</w:t>
                              </w:r>
                            </w:p>
                          </w:txbxContent>
                        </v:textbox>
                      </v:rect>
                      <v:shape id="任意多边形 42" o:spid="_x0000_s1026" o:spt="100" style="position:absolute;left:2284730;top:341630;height:325755;width:375920;" filled="f" stroked="t" coordsize="592,513" o:gfxdata="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Va1yTXAAAABQEAAA8AAAAAAAAAAQAgAAAAIgAAAGRycy9kb3ducmV2LnhtbFBL&#10;AQIUABQAAAAIAIdO4kACpHyj2wIAAHEGAAAOAAAAAAAAAAEAIAAAACYBAABkcnMvZTJvRG9jLnht&#10;bFBLBQYAAAAABgAGAFkBAABzBgAAAAA=&#10;" path="m0,513c104,371,209,230,267,199c325,168,292,360,346,327c400,294,551,54,592,0e">
                        <v:path o:connectlocs="0,325755;169545,126365;219710,207645;375920,0" o:connectangles="0,0,0,0"/>
                        <v:fill on="f" focussize="0,0"/>
                        <v:stroke color="#000000" joinstyle="round" endarrow="block"/>
                        <v:imagedata o:title=""/>
                        <o:lock v:ext="edit" aspectratio="f"/>
                      </v:shape>
                      <v:shape id="任意多边形 42" o:spid="_x0000_s1026" o:spt="100" style="position:absolute;left:2589530;top:1084580;height:325755;width:375920;" filled="f" stroked="t" coordsize="592,513" o:gfxdata="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1Wtck1wAAAAUBAAAPAAAAAAAAAAEAIAAAACIAAABkcnMvZG93bnJldi54bWxQSwEC&#10;FAAUAAAACACHTuJA7G5SV9kCAAByBgAADgAAAAAAAAABACAAAAAmAQAAZHJzL2Uyb0RvYy54bWxQ&#10;SwUGAAAAAAYABgBZAQAAcQYAAAAA&#10;" path="m0,513c104,371,209,230,267,199c325,168,292,360,346,327c400,294,551,54,592,0e">
                        <v:path o:connectlocs="0,325755;169545,126365;219710,207645;375920,0" o:connectangles="0,0,0,0"/>
                        <v:fill on="f" focussize="0,0"/>
                        <v:stroke color="#000000" joinstyle="round" endarrow="block"/>
                        <v:imagedata o:title=""/>
                        <o:lock v:ext="edit" aspectratio="f"/>
                      </v:shape>
                      <v:shape id="任意多边形 42" o:spid="_x0000_s1026" o:spt="100" style="position:absolute;left:2246630;top:1903730;height:325755;width:375920;" filled="f" stroked="t" coordsize="592,513" o:gfxdata="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Va1yTXAAAABQEAAA8AAAAAAAAAAQAgAAAAIgAAAGRycy9kb3ducmV2LnhtbFBL&#10;AQIUABQAAAAIAIdO4kB8v0+22wIAAHIGAAAOAAAAAAAAAAEAIAAAACYBAABkcnMvZTJvRG9jLnht&#10;bFBLBQYAAAAABgAGAFkBAABzBgAAAAA=&#10;" path="m0,513c104,371,209,230,267,199c325,168,292,360,346,327c400,294,551,54,592,0e">
                        <v:path o:connectlocs="0,325755;169545,126365;219710,207645;375920,0" o:connectangles="0,0,0,0"/>
                        <v:fill on="f" focussize="0,0"/>
                        <v:stroke color="#000000" joinstyle="round" endarrow="block"/>
                        <v:imagedata o:title=""/>
                        <o:lock v:ext="edit" aspectratio="f"/>
                      </v:shape>
                      <v:rect id="矩形 95" o:spid="_x0000_s1026" o:spt="1" style="position:absolute;left:2694305;top:26543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I8xSR&#10;1gAAAAUBAAAPAAAAAAAAAAEAIAAAACIAAABkcnMvZG93bnJldi54bWxQSwECFAAUAAAACACHTuJA&#10;qKy2G1wCAACjBAAADgAAAAAAAAABACAAAAAlAQAAZHJzL2Uyb0RvYy54bWxQSwUGAAAAAAYABgBZ&#10;AQAA8wUAAAAA&#10;">
                        <v:fill on="f" focussize="0,0"/>
                        <v:stroke on="f" weight="2pt"/>
                        <v:imagedata o:title=""/>
                        <o:lock v:ext="edit" aspectratio="f"/>
                        <v:textbox>
                          <w:txbxContent>
                            <w:p w14:paraId="061D6A9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v:textbox>
                      </v:rect>
                      <v:rect id="矩形 96" o:spid="_x0000_s1026" o:spt="1" style="position:absolute;left:3037205;top:979805;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jz&#10;FJHWAAAABQEAAA8AAAAAAAAAAQAgAAAAIgAAAGRycy9kb3ducmV2LnhtbFBLAQIUABQAAAAIAIdO&#10;4kAIn3LvXgIAAKMEAAAOAAAAAAAAAAEAIAAAACUBAABkcnMvZTJvRG9jLnhtbFBLBQYAAAAABgAG&#10;AFkBAAD1BQAAAAA=&#10;">
                        <v:fill on="f" focussize="0,0"/>
                        <v:stroke on="f" weight="2pt"/>
                        <v:imagedata o:title=""/>
                        <o:lock v:ext="edit" aspectratio="f"/>
                        <v:textbox>
                          <w:txbxContent>
                            <w:p w14:paraId="6AD4694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24.75</w:t>
                              </w:r>
                            </w:p>
                          </w:txbxContent>
                        </v:textbox>
                      </v:rect>
                      <v:rect id="矩形 97" o:spid="_x0000_s1026" o:spt="1" style="position:absolute;left:3723005;top:1408430;height:304800;width:1424305;v-text-anchor:middle;" filled="f" stroked="f" coordsize="21600,21600" o:gfxdata="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9y7ffU&#10;AAAABQEAAA8AAAAAAAAAAQAgAAAAIgAAAGRycy9kb3ducmV2LnhtbFBLAQIUABQAAAAIAIdO4kAv&#10;hhlCXQIAAKUEAAAOAAAAAAAAAAEAIAAAACMBAABkcnMvZTJvRG9jLnhtbFBLBQYAAAAABgAGAFkB&#10;AADyBQAAAAA=&#10;">
                        <v:fill on="f" focussize="0,0"/>
                        <v:stroke on="f" weight="1pt"/>
                        <v:imagedata o:title=""/>
                        <o:lock v:ext="edit" aspectratio="f"/>
                        <v:textbox>
                          <w:txbxContent>
                            <w:p w14:paraId="6DAB2902">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废切削液作危废处置</w:t>
                              </w:r>
                            </w:p>
                          </w:txbxContent>
                        </v:textbox>
                      </v:rect>
                      <v:rect id="矩形 98" o:spid="_x0000_s1026" o:spt="1" style="position:absolute;left:1398905;top:49403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8xSR1gAAAAUBAAAPAAAAAAAAAAEAIAAAACIAAABkcnMvZG93bnJldi54bWxQSwECFAAUAAAACACH&#10;TuJAjG/3hV8CAACjBAAADgAAAAAAAAABACAAAAAlAQAAZHJzL2Uyb0RvYy54bWxQSwUGAAAAAAYA&#10;BgBZAQAA9gUAAAAA&#10;">
                        <v:fill on="f" focussize="0,0"/>
                        <v:stroke on="f" weight="2pt"/>
                        <v:imagedata o:title=""/>
                        <o:lock v:ext="edit" aspectratio="f"/>
                        <v:textbox>
                          <w:txbxContent>
                            <w:p w14:paraId="3ABF201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w:t>
                              </w:r>
                            </w:p>
                          </w:txbxContent>
                        </v:textbox>
                      </v:rect>
                      <v:shape id="肘形连接符 99" o:spid="_x0000_s1026" o:spt="34" type="#_x0000_t34" style="position:absolute;left:1864995;top:807720;flip:y;height:1570355;width:66675;rotation:11796480f;" filled="f" stroked="t" coordsize="21600,21600" o:gfxdata="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e58VDXAAAABQEAAA8AAAAA&#10;AAAAAQAgAAAAIgAAAGRycy9kb3ducmV2LnhtbFBLAQIUABQAAAAIAIdO4kBi44vlTgIAAHIEAAAO&#10;AAAAAAAAAAEAIAAAACYBAABkcnMvZTJvRG9jLnhtbFBLBQYAAAAABgAGAFkBAADmBQAAAAA=&#10;" adj="98743">
                        <v:fill on="f" focussize="0,0"/>
                        <v:stroke weight="0.5pt" color="#000000 [3213]" joinstyle="round" startarrow="open" endarrow="open"/>
                        <v:imagedata o:title=""/>
                        <o:lock v:ext="edit" aspectratio="f"/>
                      </v:shape>
                      <v:shape id="直接箭头连接符 100" o:spid="_x0000_s1026" o:spt="32" type="#_x0000_t32" style="position:absolute;left:1054735;top:1553210;height:7620;width:848995;" filled="f" stroked="t" coordsize="21600,21600" o:gfxdata="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yBJ7dYAAAAFAQAA&#10;DwAAAAAAAAABACAAAAAiAAAAZHJzL2Rvd25yZXYueG1sUEsBAhQAFAAAAAgAh07iQMPiOrobAgAA&#10;AQQAAA4AAAAAAAAAAQAgAAAAJQEAAGRycy9lMm9Eb2MueG1sUEsFBgAAAAAGAAYAWQEAALIFAAAA&#10;AA==&#10;">
                        <v:fill on="f" focussize="0,0"/>
                        <v:stroke weight="0.5pt" color="#000000 [3213]" joinstyle="round" endarrow="open"/>
                        <v:imagedata o:title=""/>
                        <o:lock v:ext="edit" aspectratio="f"/>
                      </v:shape>
                      <v:rect id="矩形 101" o:spid="_x0000_s1026" o:spt="1" style="position:absolute;left:341630;top:1122680;height:304800;width:1189990;v-text-anchor:middle;" filled="f" stroked="f" coordsize="21600,21600" o:gfxdata="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3Lt&#10;99QAAAAFAQAADwAAAAAAAAABACAAAAAiAAAAZHJzL2Rvd25yZXYueG1sUEsBAhQAFAAAAAgAh07i&#10;QKgXTFxfAgAApQQAAA4AAAAAAAAAAQAgAAAAIwEAAGRycy9lMm9Eb2MueG1sUEsFBgAAAAAGAAYA&#10;WQEAAPQFAAAAAA==&#10;">
                        <v:fill on="f" focussize="0,0"/>
                        <v:stroke on="f" weight="1pt"/>
                        <v:imagedata o:title=""/>
                        <o:lock v:ext="edit" aspectratio="f"/>
                        <v:textbox>
                          <w:txbxContent>
                            <w:p w14:paraId="19F7835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新鲜用水6275</w:t>
                              </w:r>
                            </w:p>
                          </w:txbxContent>
                        </v:textbox>
                      </v:rect>
                      <v:rect id="矩形 104" o:spid="_x0000_s1026" o:spt="1" style="position:absolute;left:1541780;top:123698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jz&#10;FJHWAAAABQEAAA8AAAAAAAAAAQAgAAAAIgAAAGRycy9kb3ducmV2LnhtbFBLAQIUABQAAAAIAIdO&#10;4kCMTGarXgIAAKUEAAAOAAAAAAAAAAEAIAAAACUBAABkcnMvZTJvRG9jLnhtbFBLBQYAAAAABgAG&#10;AFkBAAD1BQAAAAA=&#10;">
                        <v:fill on="f" focussize="0,0"/>
                        <v:stroke on="f" weight="2pt"/>
                        <v:imagedata o:title=""/>
                        <o:lock v:ext="edit" aspectratio="f"/>
                        <v:textbox>
                          <w:txbxContent>
                            <w:p w14:paraId="590180F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xbxContent>
                        </v:textbox>
                      </v:rect>
                      <v:shape id="直接箭头连接符 105" o:spid="_x0000_s1026" o:spt="32" type="#_x0000_t32" style="position:absolute;left:3179445;top:1560830;height:0;width:543560;" filled="f" stroked="t" coordsize="21600,21600" o:gfxdata="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IEnt&#10;1gAAAAUBAAAPAAAAAAAAAAEAIAAAACIAAABkcnMvZG93bnJldi54bWxQSwECFAAUAAAACACHTuJA&#10;MmIIfCMCAAAYBAAADgAAAAAAAAABACAAAAAlAQAAZHJzL2Uyb0RvYy54bWxQSwUGAAAAAAYABgBZ&#10;AQAAugUAAAAA&#10;">
                        <v:fill on="f" focussize="0,0"/>
                        <v:stroke weight="0.5pt" color="#000000 [3213]" joinstyle="round" endarrow="open"/>
                        <v:imagedata o:title=""/>
                        <o:lock v:ext="edit" aspectratio="f"/>
                      </v:shape>
                      <v:shape id="直接箭头连接符 106" o:spid="_x0000_s1026" o:spt="32" type="#_x0000_t32" style="position:absolute;left:2599055;top:2376170;flip:y;height:2540;width:466725;" filled="f" stroked="t" coordsize="21600,21600" o:gfxdata="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Bpz81wAAAAUBAAAPAAAAAAAAAAEAIAAAACIAAABkcnMvZG93bnJldi54bWxQSwECFAAU&#10;AAAACACHTuJAsB8aMisCAAAnBAAADgAAAAAAAAABACAAAAAmAQAAZHJzL2Uyb0RvYy54bWxQSwUG&#10;AAAAAAYABgBZAQAAwwUAAAAA&#10;">
                        <v:fill on="f" focussize="0,0"/>
                        <v:stroke weight="0.5pt" color="#000000 [3213]" joinstyle="round" endarrow="open"/>
                        <v:imagedata o:title=""/>
                        <o:lock v:ext="edit" aspectratio="f"/>
                      </v:shape>
                      <v:rect id="矩形 37" o:spid="_x0000_s1026" o:spt="1" style="position:absolute;left:4103370;top:2151380;height:439420;width:1148715;" filled="f" stroked="f" coordsize="21600,21600" o:gfxdata="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9WI&#10;vtcAAAAFAQAADwAAAAAAAAABACAAAAAiAAAAZHJzL2Rvd25yZXYueG1sUEsBAhQAFAAAAAgAh07i&#10;QPfsYW2xAQAAUAMAAA4AAAAAAAAAAQAgAAAAJgEAAGRycy9lMm9Eb2MueG1sUEsFBgAAAAAGAAYA&#10;WQEAAEkFAAAAAA==&#10;">
                        <v:fill on="f" focussize="0,0"/>
                        <v:stroke on="f"/>
                        <v:imagedata o:title=""/>
                        <o:lock v:ext="edit" aspectratio="f"/>
                        <v:textbox>
                          <w:txbxContent>
                            <w:p w14:paraId="26D3E2CB">
                              <w:pPr>
                                <w:rPr>
                                  <w:b/>
                                  <w:szCs w:val="21"/>
                                </w:rPr>
                              </w:pPr>
                              <w:r>
                                <w:rPr>
                                  <w:rFonts w:hint="eastAsia" w:ascii="Times New Roman" w:hAnsi="Times New Roman" w:cs="Times New Roman"/>
                                  <w:color w:val="auto"/>
                                  <w:sz w:val="21"/>
                                  <w:szCs w:val="21"/>
                                  <w:lang w:eastAsia="zh-CN"/>
                                </w:rPr>
                                <w:t>海门经济技术开发区污水处理厂</w:t>
                              </w:r>
                            </w:p>
                          </w:txbxContent>
                        </v:textbox>
                      </v:rect>
                      <v:rect id="矩形 108" o:spid="_x0000_s1026" o:spt="1" style="position:absolute;left:1532255;top:201803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8xSR1gAAAAUBAAAPAAAAAAAAAAEAIAAAACIAAABkcnMvZG93bnJldi54bWxQSwECFAAUAAAACACH&#10;TuJArhssE18CAAClBAAADgAAAAAAAAABACAAAAAlAQAAZHJzL2Uyb0RvYy54bWxQSwUGAAAAAAYA&#10;BgBZAQAA9gUAAAAA&#10;">
                        <v:fill on="f" focussize="0,0"/>
                        <v:stroke on="f" weight="2pt"/>
                        <v:imagedata o:title=""/>
                        <o:lock v:ext="edit" aspectratio="f"/>
                        <v:textbox>
                          <w:txbxContent>
                            <w:p w14:paraId="5144C8E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w:t>
                              </w:r>
                            </w:p>
                          </w:txbxContent>
                        </v:textbox>
                      </v:rect>
                      <v:rect id="矩形 109" o:spid="_x0000_s1026" o:spt="1" style="position:absolute;left:2570480;top:209423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8xSR1gAAAAUBAAAPAAAAAAAAAAEAIAAAACIAAABkcnMvZG93bnJldi54bWxQSwECFAAUAAAACACH&#10;TuJAiXYaVl8CAAClBAAADgAAAAAAAAABACAAAAAlAQAAZHJzL2Uyb0RvYy54bWxQSwUGAAAAAAYA&#10;BgBZAQAA9gUAAAAA&#10;">
                        <v:fill on="f" focussize="0,0"/>
                        <v:stroke on="f" weight="2pt"/>
                        <v:imagedata o:title=""/>
                        <o:lock v:ext="edit" aspectratio="f"/>
                        <v:textbox>
                          <w:txbxContent>
                            <w:p w14:paraId="6AC319A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w:t>
                              </w:r>
                            </w:p>
                          </w:txbxContent>
                        </v:textbox>
                      </v:rect>
                      <v:rect id="矩形 110" o:spid="_x0000_s1026" o:spt="1" style="position:absolute;left:3703955;top:203708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8xSR1gAAAAUBAAAPAAAAAAAAAAEAIAAAACIAAABkcnMvZG93bnJldi54bWxQSwECFAAUAAAACACH&#10;TuJAwzc+P18CAAClBAAADgAAAAAAAAABACAAAAAlAQAAZHJzL2Uyb0RvYy54bWxQSwUGAAAAAAYA&#10;BgBZAQAA9gUAAAAA&#10;">
                        <v:fill on="f" focussize="0,0"/>
                        <v:stroke on="f" weight="2pt"/>
                        <v:imagedata o:title=""/>
                        <o:lock v:ext="edit" aspectratio="f"/>
                        <v:textbox>
                          <w:txbxContent>
                            <w:p w14:paraId="75D7BC1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w:t>
                              </w:r>
                            </w:p>
                          </w:txbxContent>
                        </v:textbox>
                      </v:rect>
                      <v:rect id="矩形 111" o:spid="_x0000_s1026" o:spt="1" style="position:absolute;left:2570480;top:178943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jzFJHWAAAABQEAAA8AAAAAAAAAAQAgAAAAIgAAAGRycy9kb3ducmV2LnhtbFBLAQIUABQAAAAI&#10;AIdO4kCZa68tYQIAAKUEAAAOAAAAAAAAAAEAIAAAACUBAABkcnMvZTJvRG9jLnhtbFBLBQYAAAAA&#10;BgAGAFkBAAD4BQAAAAA=&#10;">
                        <v:fill on="f" focussize="0,0"/>
                        <v:stroke on="f" weight="2pt"/>
                        <v:imagedata o:title=""/>
                        <o:lock v:ext="edit" aspectratio="f"/>
                        <v:textbox>
                          <w:txbxContent>
                            <w:p w14:paraId="5EB14D0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w:t>
                              </w:r>
                            </w:p>
                          </w:txbxContent>
                        </v:textbox>
                      </v:rect>
                      <v:rect id="矩形 53" o:spid="_x0000_s1026" o:spt="1" style="position:absolute;left:1589405;top:2961005;height:304800;width:742950;v-text-anchor:middle;" filled="f" stroked="t" coordsize="21600,21600" o:gfxdata="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GI2qNUAAAAFAQAADwAAAAAAAAABACAAAAAiAAAAZHJzL2Rvd25yZXYu&#10;eG1sUEsBAhQAFAAAAAgAh07iQMV0Tt1wAgAAzAQAAA4AAAAAAAAAAQAgAAAAJAEAAGRycy9lMm9E&#10;b2MueG1sUEsFBgAAAAAGAAYAWQEAAAYGAAAAAA==&#10;">
                        <v:fill on="f" focussize="0,0"/>
                        <v:stroke weight="1pt" color="#000000 [3213]" joinstyle="round"/>
                        <v:imagedata o:title=""/>
                        <o:lock v:ext="edit" aspectratio="f"/>
                        <v:textbox>
                          <w:txbxContent>
                            <w:p w14:paraId="6235B10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w:t>
                              </w:r>
                            </w:p>
                          </w:txbxContent>
                        </v:textbox>
                      </v:rect>
                      <v:shape id="_x0000_s1026" o:spid="_x0000_s1026" o:spt="32" type="#_x0000_t32" style="position:absolute;left:941705;top:3103880;height:5715;width:642620;" filled="f" stroked="t" coordsize="21600,21600" o:gfxdata="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Or9dUAAAAFAQAADwAAAAAAAAABACAAAAAiAAAAZHJz&#10;L2Rvd25yZXYueG1sUEsBAhQAFAAAAAgAh07iQGK1c6IHAgAA1gMAAA4AAAAAAAAAAQAgAAAAJAEA&#10;AGRycy9lMm9Eb2MueG1sUEsFBgAAAAAGAAYAWQEAAJ0FAAAAAA==&#10;">
                        <v:fill on="f" focussize="0,0"/>
                        <v:stroke color="#000000 [3213]" joinstyle="round" endarrow="open"/>
                        <v:imagedata o:title=""/>
                        <o:lock v:ext="edit" aspectratio="f"/>
                      </v:shape>
                      <v:shape id="_x0000_s1026" o:spid="_x0000_s1026" o:spt="32" type="#_x0000_t32" style="position:absolute;left:2322830;top:3103880;height:5715;width:642620;" filled="f" stroked="t" coordsize="21600,21600" o:gfxdata="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Ujq/XVAAAABQEAAA8AAAAAAAAAAQAgAAAAIgAAAGRy&#10;cy9kb3ducmV2LnhtbFBLAQIUABQAAAAIAIdO4kCNy7oECAIAANcDAAAOAAAAAAAAAAEAIAAAACQB&#10;AABkcnMvZTJvRG9jLnhtbFBLBQYAAAAABgAGAFkBAACeBQAAAAA=&#10;">
                        <v:fill on="f" focussize="0,0"/>
                        <v:stroke color="#000000 [3213]" joinstyle="round" endarrow="open"/>
                        <v:imagedata o:title=""/>
                        <o:lock v:ext="edit" aspectratio="f"/>
                      </v:shape>
                      <v:rect id="矩形 102" o:spid="_x0000_s1026" o:spt="1" style="position:absolute;left:970280;top:2760980;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PMU&#10;kdYAAAAFAQAADwAAAAAAAAABACAAAAAiAAAAZHJzL2Rvd25yZXYueG1sUEsBAhQAFAAAAAgAh07i&#10;QKoqimZdAgAAowQAAA4AAAAAAAAAAQAgAAAAJQEAAGRycy9lMm9Eb2MueG1sUEsFBgAAAAAGAAYA&#10;WQEAAPQFAAAAAA==&#10;">
                        <v:fill on="f" focussize="0,0"/>
                        <v:stroke on="f" weight="2pt"/>
                        <v:imagedata o:title=""/>
                        <o:lock v:ext="edit" aspectratio="f"/>
                        <v:textbox>
                          <w:txbxContent>
                            <w:p w14:paraId="7660418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v:rect id="矩形 102" o:spid="_x0000_s1026" o:spt="1" style="position:absolute;left:2370455;top:2789555;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8xSR1gAAAAUBAAAPAAAAAAAAAAEAIAAAACIAAABkcnMvZG93bnJldi54bWxQSwECFAAUAAAACACH&#10;TuJAHSfngV8CAACkBAAADgAAAAAAAAABACAAAAAlAQAAZHJzL2Uyb0RvYy54bWxQSwUGAAAAAAYA&#10;BgBZAQAA9gUAAAAA&#10;">
                        <v:fill on="f" focussize="0,0"/>
                        <v:stroke on="f" weight="2pt"/>
                        <v:imagedata o:title=""/>
                        <o:lock v:ext="edit" aspectratio="f"/>
                        <v:textbox>
                          <w:txbxContent>
                            <w:p w14:paraId="06E17EB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v:rect id="矩形 53" o:spid="_x0000_s1026" o:spt="1" style="position:absolute;left:2999105;top:2941955;height:314325;width:1170305;v-text-anchor:middle;" filled="f" stroked="t" coordsize="21600,21600" o:gfxdata="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xiNqjVAAAABQEAAA8AAAAAAAAAAQAgAAAAIgAAAGRycy9kb3ducmV2Lnht&#10;bFBLAQIUABQAAAAIAIdO4kDXPARzbgIAAM4EAAAOAAAAAAAAAAEAIAAAACQBAABkcnMvZTJvRG9j&#10;LnhtbFBLBQYAAAAABgAGAFkBAAAEBgAAAAA=&#10;">
                        <v:fill on="f" focussize="0,0"/>
                        <v:stroke weight="1pt" color="#000000 [3213]" joinstyle="round"/>
                        <v:imagedata o:title=""/>
                        <o:lock v:ext="edit" aspectratio="f"/>
                        <v:textbox>
                          <w:txbxContent>
                            <w:p w14:paraId="42BC0AA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初期雨水收集池</w:t>
                              </w:r>
                            </w:p>
                          </w:txbxContent>
                        </v:textbox>
                      </v:rect>
                      <v:shape id="_x0000_s1026" o:spid="_x0000_s1026" o:spt="33" type="#_x0000_t33" style="position:absolute;left:4169410;top:2590800;flip:y;height:508635;width:508635;" filled="f" stroked="t" coordsize="21600,21600" o:gfxdata="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b3R&#10;U9QAAAAFAQAADwAAAAAAAAABACAAAAAiAAAAZHJzL2Rvd25yZXYueG1sUEsBAhQAFAAAAAgAh07i&#10;QAYdwIwmAgAAHwQAAA4AAAAAAAAAAQAgAAAAIwEAAGRycy9lMm9Eb2MueG1sUEsFBgAAAAAGAAYA&#10;WQEAALsFAAAAAA==&#10;">
                        <v:fill on="f" focussize="0,0"/>
                        <v:stroke color="#000000 [3213]" joinstyle="round" endarrow="open"/>
                        <v:imagedata o:title=""/>
                        <o:lock v:ext="edit" aspectratio="f"/>
                      </v:shape>
                      <v:rect id="矩形 102" o:spid="_x0000_s1026" o:spt="1" style="position:absolute;left:4180205;top:2732405;height:266700;width:523875;v-text-anchor:middle;" filled="f" stroked="f" coordsize="21600,21600" o:gfxdata="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PMUkdYAAAAFAQAADwAAAAAAAAABACAAAAAiAAAAZHJzL2Rvd25yZXYueG1sUEsBAhQAFAAAAAgA&#10;h07iQHPH+2VgAgAApQQAAA4AAAAAAAAAAQAgAAAAJQEAAGRycy9lMm9Eb2MueG1sUEsFBgAAAAAG&#10;AAYAWQEAAPcFAAAAAA==&#10;">
                        <v:fill on="f" focussize="0,0"/>
                        <v:stroke on="f" weight="2pt"/>
                        <v:imagedata o:title=""/>
                        <o:lock v:ext="edit" aspectratio="f"/>
                        <v:textbox>
                          <w:txbxContent>
                            <w:p w14:paraId="3233525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644</w:t>
                              </w:r>
                            </w:p>
                          </w:txbxContent>
                        </v:textbox>
                      </v:rect>
                      <w10:wrap type="none"/>
                      <w10:anchorlock/>
                    </v:group>
                  </w:pict>
                </mc:Fallback>
              </mc:AlternateContent>
            </w:r>
          </w:p>
          <w:p w14:paraId="32B9CF23">
            <w:pPr>
              <w:pStyle w:val="52"/>
              <w:numPr>
                <w:ilvl w:val="0"/>
                <w:numId w:val="0"/>
              </w:numPr>
              <w:ind w:leftChars="200"/>
              <w:jc w:val="center"/>
              <w:rPr>
                <w:rFonts w:hint="default"/>
                <w:b/>
                <w:color w:val="auto"/>
                <w:sz w:val="21"/>
                <w:szCs w:val="21"/>
                <w:lang w:val="en-US"/>
              </w:rPr>
            </w:pPr>
            <w:r>
              <w:rPr>
                <w:rFonts w:hint="eastAsia" w:ascii="Times New Roman" w:hAnsi="Times New Roman" w:eastAsia="宋体" w:cs="Times New Roman"/>
                <w:b/>
                <w:bCs/>
                <w:color w:val="auto"/>
                <w:sz w:val="21"/>
                <w:szCs w:val="21"/>
                <w:lang w:val="en-US" w:eastAsia="zh-CN"/>
              </w:rPr>
              <w:t>图2-2 全厂水平衡图 单位：t/a</w:t>
            </w:r>
          </w:p>
        </w:tc>
      </w:tr>
      <w:tr w14:paraId="07A1A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496" w:type="dxa"/>
            <w:noWrap w:val="0"/>
            <w:vAlign w:val="center"/>
          </w:tcPr>
          <w:p w14:paraId="3F02599B">
            <w:pPr>
              <w:pStyle w:val="37"/>
              <w:adjustRightInd w:val="0"/>
              <w:snapToGrid w:val="0"/>
              <w:spacing w:before="0" w:beforeAutospacing="0" w:after="0" w:afterAutospacing="0"/>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工艺流程和产排污环节</w:t>
            </w:r>
          </w:p>
        </w:tc>
        <w:tc>
          <w:tcPr>
            <w:tcW w:w="8488" w:type="dxa"/>
            <w:noWrap w:val="0"/>
            <w:vAlign w:val="top"/>
          </w:tcPr>
          <w:p w14:paraId="5D30EC24">
            <w:pPr>
              <w:numPr>
                <w:ilvl w:val="0"/>
                <w:numId w:val="0"/>
              </w:numPr>
              <w:spacing w:line="360" w:lineRule="auto"/>
              <w:ind w:firstLine="422" w:firstLineChars="200"/>
              <w:rPr>
                <w:b/>
                <w:bCs/>
                <w:color w:val="auto"/>
                <w:sz w:val="21"/>
                <w:szCs w:val="21"/>
              </w:rPr>
            </w:pPr>
            <w:r>
              <w:rPr>
                <w:rFonts w:ascii="Times New Roman" w:hAnsi="Times New Roman" w:eastAsia="宋体" w:cs="Times New Roman"/>
                <w:b/>
                <w:bCs/>
                <w:color w:val="auto"/>
                <w:kern w:val="2"/>
                <w:sz w:val="21"/>
                <w:szCs w:val="21"/>
                <w:lang w:val="en-US" w:eastAsia="zh-CN" w:bidi="ar-SA"/>
              </w:rPr>
              <w:t>2、</w:t>
            </w:r>
            <w:r>
              <w:rPr>
                <w:b/>
                <w:bCs/>
                <w:color w:val="auto"/>
                <w:sz w:val="21"/>
                <w:szCs w:val="21"/>
              </w:rPr>
              <w:t>生产工艺流程</w:t>
            </w:r>
          </w:p>
          <w:p w14:paraId="4860AA2A">
            <w:pPr>
              <w:numPr>
                <w:ilvl w:val="0"/>
                <w:numId w:val="0"/>
              </w:num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锻造分为自由锻造和模型锻造。</w:t>
            </w:r>
          </w:p>
          <w:p w14:paraId="3BA24411">
            <w:pPr>
              <w:numPr>
                <w:ilvl w:val="0"/>
                <w:numId w:val="0"/>
              </w:num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自由锻造是将金属坯料放在铁毡上承受冲击或压力而成形的加工方法。</w:t>
            </w:r>
          </w:p>
          <w:p w14:paraId="4086FA13">
            <w:pPr>
              <w:numPr>
                <w:ilvl w:val="0"/>
                <w:numId w:val="0"/>
              </w:num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模型锻造是将金属坯料放在模锻的模膛内，承受冲击或压力而成形的加工方法。</w:t>
            </w:r>
          </w:p>
          <w:p w14:paraId="751748CF">
            <w:pPr>
              <w:numPr>
                <w:ilvl w:val="0"/>
                <w:numId w:val="0"/>
              </w:numPr>
              <w:spacing w:line="360" w:lineRule="auto"/>
              <w:ind w:firstLine="422" w:firstLineChars="200"/>
              <w:rPr>
                <w:rFonts w:hint="eastAsia"/>
                <w:b w:val="0"/>
                <w:bCs w:val="0"/>
                <w:color w:val="auto"/>
                <w:sz w:val="21"/>
                <w:szCs w:val="21"/>
                <w:lang w:val="en-US" w:eastAsia="zh-CN"/>
              </w:rPr>
            </w:pPr>
            <w:r>
              <w:rPr>
                <w:rFonts w:hint="eastAsia"/>
                <w:b/>
                <w:bCs/>
                <w:color w:val="auto"/>
                <w:sz w:val="21"/>
                <w:szCs w:val="21"/>
                <w:lang w:val="en-US" w:eastAsia="zh-CN"/>
              </w:rPr>
              <w:t>注：本项目产品加工过程中涉及的各种参数（如加热温度、加热时长、锻造时长、锻造尺寸、是否进行热处理及热处理的时间温度、冷却方式、冷却时间等全部根据客户订单要求进行，无固定加工参数。）</w:t>
            </w:r>
          </w:p>
          <w:p w14:paraId="3C404904">
            <w:pPr>
              <w:numPr>
                <w:ilvl w:val="0"/>
                <w:numId w:val="0"/>
              </w:numPr>
              <w:spacing w:line="360" w:lineRule="auto"/>
              <w:ind w:firstLine="422" w:firstLineChars="200"/>
              <w:rPr>
                <w:rFonts w:hint="default"/>
                <w:b/>
                <w:bCs/>
                <w:color w:val="auto"/>
                <w:lang w:val="en-US" w:eastAsia="zh-CN"/>
              </w:rPr>
            </w:pPr>
            <w:r>
              <w:rPr>
                <w:rFonts w:hint="eastAsia"/>
                <w:b/>
                <w:bCs/>
                <w:color w:val="auto"/>
                <w:sz w:val="21"/>
                <w:szCs w:val="21"/>
                <w:lang w:val="en-US" w:eastAsia="zh-CN"/>
              </w:rPr>
              <w:t>（1）模锻</w:t>
            </w:r>
          </w:p>
          <w:p w14:paraId="594B8D94">
            <w:pPr>
              <w:spacing w:line="360" w:lineRule="auto"/>
              <w:rPr>
                <w:rFonts w:hint="eastAsia" w:eastAsia="宋体"/>
                <w:b/>
                <w:bCs/>
                <w:color w:val="auto"/>
                <w:sz w:val="21"/>
                <w:szCs w:val="21"/>
                <w:lang w:eastAsia="zh-CN"/>
              </w:rPr>
            </w:pPr>
            <w:r>
              <w:rPr>
                <w:color w:val="auto"/>
                <w:sz w:val="21"/>
              </w:rPr>
              <mc:AlternateContent>
                <mc:Choice Requires="wpc">
                  <w:drawing>
                    <wp:inline distT="0" distB="0" distL="114300" distR="114300">
                      <wp:extent cx="5252720" cy="4353560"/>
                      <wp:effectExtent l="0" t="0" r="0" b="0"/>
                      <wp:docPr id="3" name="画布 3"/>
                      <wp:cNvGraphicFramePr/>
                      <a:graphic xmlns:a="http://schemas.openxmlformats.org/drawingml/2006/main">
                        <a:graphicData uri="http://schemas.microsoft.com/office/word/2010/wordprocessingCanvas">
                          <wpc:wpc>
                            <wpc:bg/>
                            <wpc:whole/>
                            <wps:wsp>
                              <wps:cNvPr id="12" name="矩形 12"/>
                              <wps:cNvSpPr/>
                              <wps:spPr>
                                <a:xfrm>
                                  <a:off x="1821180" y="10668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39261C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原料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818005" y="6750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BC7B5F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自动带锯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1818005" y="122745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09C093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加热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1808480" y="17799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CD9CF00">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锻造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37"/>
                              <wps:cNvSpPr/>
                              <wps:spPr>
                                <a:xfrm>
                                  <a:off x="1808480" y="232283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54F502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1798955" y="287528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C981B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39"/>
                              <wps:cNvSpPr/>
                              <wps:spPr>
                                <a:xfrm>
                                  <a:off x="1789430" y="33801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C0D29D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箭头连接符 40"/>
                              <wps:cNvCnPr>
                                <a:stCxn id="12" idx="2"/>
                                <a:endCxn id="15" idx="0"/>
                              </wps:cNvCnPr>
                              <wps:spPr>
                                <a:xfrm flipH="1">
                                  <a:off x="2299335" y="411480"/>
                                  <a:ext cx="3175" cy="263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1" name="直接箭头连接符 41"/>
                              <wps:cNvCnPr>
                                <a:stCxn id="15" idx="2"/>
                                <a:endCxn id="16" idx="0"/>
                              </wps:cNvCnPr>
                              <wps:spPr>
                                <a:xfrm>
                                  <a:off x="2299335" y="979805"/>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2" name="直接箭头连接符 42"/>
                              <wps:cNvCnPr>
                                <a:stCxn id="16" idx="2"/>
                                <a:endCxn id="17" idx="0"/>
                              </wps:cNvCnPr>
                              <wps:spPr>
                                <a:xfrm flipH="1">
                                  <a:off x="2289810" y="1532255"/>
                                  <a:ext cx="9525"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4" name="直接箭头连接符 44"/>
                              <wps:cNvCnPr>
                                <a:stCxn id="17" idx="2"/>
                                <a:endCxn id="37" idx="0"/>
                              </wps:cNvCnPr>
                              <wps:spPr>
                                <a:xfrm>
                                  <a:off x="2289810" y="2084705"/>
                                  <a:ext cx="0" cy="2381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5" name="直接箭头连接符 45"/>
                              <wps:cNvCnPr>
                                <a:stCxn id="37" idx="2"/>
                                <a:endCxn id="38" idx="0"/>
                              </wps:cNvCnPr>
                              <wps:spPr>
                                <a:xfrm flipH="1">
                                  <a:off x="2280285" y="2627630"/>
                                  <a:ext cx="9525"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6" name="直接箭头连接符 46"/>
                              <wps:cNvCnPr>
                                <a:stCxn id="38" idx="2"/>
                                <a:endCxn id="39" idx="0"/>
                              </wps:cNvCnPr>
                              <wps:spPr>
                                <a:xfrm flipH="1">
                                  <a:off x="2270760" y="3180080"/>
                                  <a:ext cx="9525" cy="2000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7" name="矩形 47"/>
                              <wps:cNvSpPr/>
                              <wps:spPr>
                                <a:xfrm>
                                  <a:off x="3437255" y="1227455"/>
                                  <a:ext cx="781050"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2EB0A4C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3427730" y="675005"/>
                                  <a:ext cx="1285875"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3232480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G1-1、S1-1、S1-2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54"/>
                              <wps:cNvSpPr/>
                              <wps:spPr>
                                <a:xfrm>
                                  <a:off x="3446780" y="1779905"/>
                                  <a:ext cx="781050"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493EC19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S1-3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直接箭头连接符 55"/>
                              <wps:cNvCnPr>
                                <a:stCxn id="15" idx="3"/>
                                <a:endCxn id="51" idx="1"/>
                              </wps:cNvCnPr>
                              <wps:spPr>
                                <a:xfrm>
                                  <a:off x="2780030" y="827405"/>
                                  <a:ext cx="64770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56" name="直接箭头连接符 56"/>
                              <wps:cNvCnPr>
                                <a:stCxn id="16" idx="3"/>
                                <a:endCxn id="47" idx="1"/>
                              </wps:cNvCnPr>
                              <wps:spPr>
                                <a:xfrm>
                                  <a:off x="2780030" y="1379855"/>
                                  <a:ext cx="657225"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57" name="直接箭头连接符 57"/>
                              <wps:cNvCnPr>
                                <a:stCxn id="17" idx="3"/>
                                <a:endCxn id="54" idx="1"/>
                              </wps:cNvCnPr>
                              <wps:spPr>
                                <a:xfrm>
                                  <a:off x="2770505" y="1932305"/>
                                  <a:ext cx="676275"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4" name="矩形 4"/>
                              <wps:cNvSpPr/>
                              <wps:spPr>
                                <a:xfrm>
                                  <a:off x="1779905" y="39516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6FF8C1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入库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箭头连接符 5"/>
                              <wps:cNvCnPr>
                                <a:stCxn id="39" idx="2"/>
                                <a:endCxn id="4" idx="0"/>
                              </wps:cNvCnPr>
                              <wps:spPr>
                                <a:xfrm flipH="1">
                                  <a:off x="2261235" y="3684905"/>
                                  <a:ext cx="9525" cy="26670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 name="矩形 10"/>
                              <wps:cNvSpPr/>
                              <wps:spPr>
                                <a:xfrm>
                                  <a:off x="74930" y="675005"/>
                                  <a:ext cx="506730"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82E1D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19050" y="1227455"/>
                                  <a:ext cx="610870"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26C385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5405" y="1779905"/>
                                  <a:ext cx="506730"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E538B7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模具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23"/>
                              <wps:cNvCnPr>
                                <a:stCxn id="10" idx="2"/>
                                <a:endCxn id="11" idx="0"/>
                              </wps:cNvCnPr>
                              <wps:spPr>
                                <a:xfrm flipH="1">
                                  <a:off x="324485" y="979805"/>
                                  <a:ext cx="381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 name="直接箭头连接符 24"/>
                              <wps:cNvCnPr>
                                <a:stCxn id="11" idx="2"/>
                                <a:endCxn id="18" idx="0"/>
                              </wps:cNvCnPr>
                              <wps:spPr>
                                <a:xfrm flipH="1">
                                  <a:off x="318770" y="1532255"/>
                                  <a:ext cx="5715"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5" name="直接箭头连接符 25"/>
                              <wps:cNvCnPr>
                                <a:stCxn id="18" idx="3"/>
                                <a:endCxn id="17" idx="1"/>
                              </wps:cNvCnPr>
                              <wps:spPr>
                                <a:xfrm>
                                  <a:off x="572135" y="1932305"/>
                                  <a:ext cx="1236345"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 name="矩形 26"/>
                              <wps:cNvSpPr/>
                              <wps:spPr>
                                <a:xfrm>
                                  <a:off x="913130" y="1217930"/>
                                  <a:ext cx="876300" cy="32385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43EBACD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G1-3、S1-4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a:stCxn id="11" idx="3"/>
                                <a:endCxn id="26" idx="1"/>
                              </wps:cNvCnPr>
                              <wps:spPr>
                                <a:xfrm>
                                  <a:off x="629920" y="1379855"/>
                                  <a:ext cx="28321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342.8pt;width:413.6pt;" coordsize="5252720,4353560" editas="canvas" o:gfxdata="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">
                      <o:lock v:ext="edit" aspectratio="f"/>
                      <v:shape id="_x0000_s1026" o:spid="_x0000_s1026" style="position:absolute;left:0;top:0;height:4353560;width:5252720;" filled="f" stroked="f" coordsize="21600,21600" o:gfxdata="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eCF1BtcAAAAFAQAADwAAAAAAAAABACAAAAAiAAAAZHJzL2Rvd25yZXYueG1s&#10;UEsBAhQAFAAAAAgAh07iQPNsBRiKBwAAhk0AAA4AAAAAAAAAAQAgAAAAJgEAAGRycy9lMm9Eb2Mu&#10;eG1sUEsFBgAAAAAGAAYAWQEAACILAAAAAA==&#10;">
                        <v:fill on="f" focussize="0,0"/>
                        <v:stroke on="f"/>
                        <v:imagedata o:title=""/>
                        <o:lock v:ext="edit" aspectratio="f"/>
                      </v:shape>
                      <v:rect id="_x0000_s1026" o:spid="_x0000_s1026" o:spt="1" style="position:absolute;left:1821180;top:106680;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fpNTUAAAABQEAAA8AAAAAAAAAAQAgAAAAIgAAAGRycy9kb3ducmV2LnhtbFBL&#10;AQIUABQAAAAIAIdO4kDSDzQhbAIAAMoEAAAOAAAAAAAAAAEAIAAAACMBAABkcnMvZTJvRG9jLnht&#10;bFBLBQYAAAAABgAGAFkBAAABBgAAAAA=&#10;">
                        <v:fill on="f" focussize="0,0"/>
                        <v:stroke weight="0.5pt" color="#000000 [3213]" joinstyle="round"/>
                        <v:imagedata o:title=""/>
                        <o:lock v:ext="edit" aspectratio="f"/>
                        <v:textbox>
                          <w:txbxContent>
                            <w:p w14:paraId="139261C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原料</w:t>
                              </w:r>
                            </w:p>
                          </w:txbxContent>
                        </v:textbox>
                      </v:rect>
                      <v:rect id="_x0000_s1026" o:spid="_x0000_s1026" o:spt="1" style="position:absolute;left:1818005;top:675005;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fpNTUAAAABQEAAA8AAAAAAAAAAQAgAAAAIgAAAGRycy9kb3ducmV2LnhtbFBLAQIU&#10;ABQAAAAIAIdO4kD/1YtFaQIAAMoEAAAOAAAAAAAAAAEAIAAAACMBAABkcnMvZTJvRG9jLnhtbFBL&#10;BQYAAAAABgAGAFkBAAD+BQAAAAA=&#10;">
                        <v:fill on="f" focussize="0,0"/>
                        <v:stroke weight="0.5pt" color="#000000 [3213]" joinstyle="round"/>
                        <v:imagedata o:title=""/>
                        <o:lock v:ext="edit" aspectratio="f"/>
                        <v:textbox>
                          <w:txbxContent>
                            <w:p w14:paraId="7BC7B5F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自动带锯</w:t>
                              </w:r>
                            </w:p>
                          </w:txbxContent>
                        </v:textbox>
                      </v:rect>
                      <v:rect id="_x0000_s1026" o:spid="_x0000_s1026" o:spt="1" style="position:absolute;left:1818005;top:1227455;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6TU1AAAAAUBAAAPAAAAAAAAAAEAIAAAACIAAABkcnMvZG93bnJldi54bWxQ&#10;SwECFAAUAAAACACHTuJArA6noW0CAADLBAAADgAAAAAAAAABACAAAAAjAQAAZHJzL2Uyb0RvYy54&#10;bWxQSwUGAAAAAAYABgBZAQAAAgYAAAAA&#10;">
                        <v:fill on="f" focussize="0,0"/>
                        <v:stroke weight="0.5pt" color="#000000 [3213]" joinstyle="round"/>
                        <v:imagedata o:title=""/>
                        <o:lock v:ext="edit" aspectratio="f"/>
                        <v:textbox>
                          <w:txbxContent>
                            <w:p w14:paraId="409C093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加热</w:t>
                              </w:r>
                            </w:p>
                          </w:txbxContent>
                        </v:textbox>
                      </v:rect>
                      <v:rect id="_x0000_s1026" o:spid="_x0000_s1026" o:spt="1" style="position:absolute;left:1808480;top:1779905;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5+k1NQAAAAFAQAADwAAAAAAAAABACAAAAAiAAAAZHJzL2Rvd25yZXYueG1s&#10;UEsBAhQAFAAAAAgAh07iQHxNOQ5uAgAAywQAAA4AAAAAAAAAAQAgAAAAIwEAAGRycy9lMm9Eb2Mu&#10;eG1sUEsFBgAAAAAGAAYAWQEAAAMGAAAAAA==&#10;">
                        <v:fill on="f" focussize="0,0"/>
                        <v:stroke weight="0.5pt" color="#000000 [3213]" joinstyle="round"/>
                        <v:imagedata o:title=""/>
                        <o:lock v:ext="edit" aspectratio="f"/>
                        <v:textbox>
                          <w:txbxContent>
                            <w:p w14:paraId="5CD9CF00">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锻造</w:t>
                              </w:r>
                            </w:p>
                          </w:txbxContent>
                        </v:textbox>
                      </v:rect>
                      <v:rect id="_x0000_s1026" o:spid="_x0000_s1026" o:spt="1" style="position:absolute;left:1808480;top:2322830;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5+k1NQAAAAFAQAADwAAAAAAAAABACAAAAAiAAAAZHJzL2Rvd25yZXYueG1s&#10;UEsBAhQAFAAAAAgAh07iQJ4fDVFuAgAAywQAAA4AAAAAAAAAAQAgAAAAIwEAAGRycy9lMm9Eb2Mu&#10;eG1sUEsFBgAAAAAGAAYAWQEAAAMGAAAAAA==&#10;">
                        <v:fill on="f" focussize="0,0"/>
                        <v:stroke weight="0.5pt" color="#000000 [3213]" joinstyle="round"/>
                        <v:imagedata o:title=""/>
                        <o:lock v:ext="edit" aspectratio="f"/>
                        <v:textbox>
                          <w:txbxContent>
                            <w:p w14:paraId="154F502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热处理</w:t>
                              </w:r>
                            </w:p>
                          </w:txbxContent>
                        </v:textbox>
                      </v:rect>
                      <v:rect id="_x0000_s1026" o:spid="_x0000_s1026" o:spt="1" style="position:absolute;left:1798955;top:2875280;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6TU1AAAAAUBAAAPAAAAAAAAAAEAIAAAACIAAABkcnMvZG93bnJldi54&#10;bWxQSwECFAAUAAAACACHTuJAQMZWSnACAADLBAAADgAAAAAAAAABACAAAAAjAQAAZHJzL2Uyb0Rv&#10;Yy54bWxQSwUGAAAAAAYABgBZAQAABQYAAAAA&#10;">
                        <v:fill on="f" focussize="0,0"/>
                        <v:stroke weight="0.5pt" color="#000000 [3213]" joinstyle="round"/>
                        <v:imagedata o:title=""/>
                        <o:lock v:ext="edit" aspectratio="f"/>
                        <v:textbox>
                          <w:txbxContent>
                            <w:p w14:paraId="17C981B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冷却</w:t>
                              </w:r>
                            </w:p>
                          </w:txbxContent>
                        </v:textbox>
                      </v:rect>
                      <v:rect id="_x0000_s1026" o:spid="_x0000_s1026" o:spt="1" style="position:absolute;left:1789430;top:3380105;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5+k1NQAAAAFAQAADwAAAAAAAAABACAAAAAiAAAAZHJzL2Rvd25yZXYueG1s&#10;UEsBAhQAFAAAAAgAh07iQBceju1uAgAAywQAAA4AAAAAAAAAAQAgAAAAIwEAAGRycy9lMm9Eb2Mu&#10;eG1sUEsFBgAAAAAGAAYAWQEAAAMGAAAAAA==&#10;">
                        <v:fill on="f" focussize="0,0"/>
                        <v:stroke weight="0.5pt" color="#000000 [3213]" joinstyle="round"/>
                        <v:imagedata o:title=""/>
                        <o:lock v:ext="edit" aspectratio="f"/>
                        <v:textbox>
                          <w:txbxContent>
                            <w:p w14:paraId="6C0D29D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w:t>
                              </w:r>
                            </w:p>
                          </w:txbxContent>
                        </v:textbox>
                      </v:rect>
                      <v:shape id="_x0000_s1026" o:spid="_x0000_s1026" o:spt="32" type="#_x0000_t32" style="position:absolute;left:2299335;top:411480;flip:x;height:263525;width:3175;"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8mFE1wAAAAUBAAAPAAAAAAAAAAEAIAAAACIAAABkcnMvZG93bnJldi54bWxQSwECFAAUAAAACACH&#10;TuJAZ0ckRiUCAAAiBAAADgAAAAAAAAABACAAAAAmAQAAZHJzL2Uyb0RvYy54bWxQSwUGAAAAAAYA&#10;BgBZAQAAvQUAAAAA&#10;">
                        <v:fill on="f" focussize="0,0"/>
                        <v:stroke weight="0.5pt" color="#000000 [3213]" joinstyle="round" endarrow="open"/>
                        <v:imagedata o:title=""/>
                        <o:lock v:ext="edit" aspectratio="f"/>
                      </v:shape>
                      <v:shape id="_x0000_s1026" o:spid="_x0000_s1026" o:spt="32" type="#_x0000_t32" style="position:absolute;left:2299335;top:979805;height:247650;width:0;" filled="f" stroked="t" coordsize="21600,21600" o:gfxdata="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81LRV1gAA&#10;AAUBAAAPAAAAAAAAAAEAIAAAACIAAABkcnMvZG93bnJldi54bWxQSwECFAAUAAAACACHTuJAMqt/&#10;kyACAAAVBAAADgAAAAAAAAABACAAAAAlAQAAZHJzL2Uyb0RvYy54bWxQSwUGAAAAAAYABgBZAQAA&#10;twUAAAAA&#10;">
                        <v:fill on="f" focussize="0,0"/>
                        <v:stroke weight="0.5pt" color="#000000 [3213]" joinstyle="round" endarrow="open"/>
                        <v:imagedata o:title=""/>
                        <o:lock v:ext="edit" aspectratio="f"/>
                      </v:shape>
                      <v:shape id="_x0000_s1026" o:spid="_x0000_s1026" o:spt="32" type="#_x0000_t32" style="position:absolute;left:2289810;top:1532255;flip:x;height:247650;width:9525;"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vyYUTXAAAABQEAAA8AAAAAAAAAAQAgAAAAIgAAAGRycy9kb3ducmV2LnhtbFBLAQIUABQA&#10;AAAIAIdO4kADkaAhKgIAACMEAAAOAAAAAAAAAAEAIAAAACYBAABkcnMvZTJvRG9jLnhtbFBLBQYA&#10;AAAABgAGAFkBAADCBQAAAAA=&#10;">
                        <v:fill on="f" focussize="0,0"/>
                        <v:stroke weight="0.5pt" color="#000000 [3213]" joinstyle="round" endarrow="open"/>
                        <v:imagedata o:title=""/>
                        <o:lock v:ext="edit" aspectratio="f"/>
                      </v:shape>
                      <v:shape id="_x0000_s1026" o:spid="_x0000_s1026" o:spt="32" type="#_x0000_t32" style="position:absolute;left:2289810;top:2084705;height:238125;width:0;" filled="f" stroked="t" coordsize="21600,21600" o:gfxdata="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NS0VdYAAAAF&#10;AQAADwAAAAAAAAABACAAAAAiAAAAZHJzL2Rvd25yZXYueG1sUEsBAhQAFAAAAAgAh07iQDlb+goe&#10;AgAAFgQAAA4AAAAAAAAAAQAgAAAAJQEAAGRycy9lMm9Eb2MueG1sUEsFBgAAAAAGAAYAWQEAALUF&#10;AAAAAA==&#10;">
                        <v:fill on="f" focussize="0,0"/>
                        <v:stroke weight="0.5pt" color="#000000 [3213]" joinstyle="round" endarrow="open"/>
                        <v:imagedata o:title=""/>
                        <o:lock v:ext="edit" aspectratio="f"/>
                      </v:shape>
                      <v:shape id="_x0000_s1026" o:spid="_x0000_s1026" o:spt="32" type="#_x0000_t32" style="position:absolute;left:2280285;top:2627630;flip:x;height:247650;width:9525;"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8mFE1wAAAAUBAAAPAAAAAAAAAAEAIAAAACIAAABkcnMvZG93bnJldi54bWxQSwECFAAUAAAA&#10;CACHTuJAO6lhaygCAAAjBAAADgAAAAAAAAABACAAAAAmAQAAZHJzL2Uyb0RvYy54bWxQSwUGAAAA&#10;AAYABgBZAQAAwAUAAAAA&#10;">
                        <v:fill on="f" focussize="0,0"/>
                        <v:stroke weight="0.5pt" color="#000000 [3213]" joinstyle="round" endarrow="open"/>
                        <v:imagedata o:title=""/>
                        <o:lock v:ext="edit" aspectratio="f"/>
                      </v:shape>
                      <v:shape id="_x0000_s1026" o:spid="_x0000_s1026" o:spt="32" type="#_x0000_t32" style="position:absolute;left:2270760;top:3180080;flip:x;height:200025;width:9525;"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JhRNcAAAAFAQAADwAAAAAAAAABACAAAAAiAAAAZHJzL2Rvd25yZXYueG1sUEsBAhQAFAAA&#10;AAgAh07iQATA778pAgAAIwQAAA4AAAAAAAAAAQAgAAAAJgEAAGRycy9lMm9Eb2MueG1sUEsFBgAA&#10;AAAGAAYAWQEAAMEFAAAAAA==&#10;">
                        <v:fill on="f" focussize="0,0"/>
                        <v:stroke weight="0.5pt" color="#000000 [3213]" joinstyle="round" endarrow="open"/>
                        <v:imagedata o:title=""/>
                        <o:lock v:ext="edit" aspectratio="f"/>
                      </v:shape>
                      <v:rect id="_x0000_s1026" o:spid="_x0000_s1026" o:spt="1" style="position:absolute;left:3437255;top:1227455;height:304800;width:781050;v-text-anchor:middle;" filled="f" stroked="t" coordsize="21600,21600" o:gfxdata="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OvNe7VAAAABQEAAA8AAAAAAAAAAQAgAAAAIgAAAGRycy9kb3ducmV2Lnht&#10;bFBLAQIUABQAAAAIAIdO4kAd+9IUbgIAAMoEAAAOAAAAAAAAAAEAIAAAACQBAABkcnMvZTJvRG9j&#10;LnhtbFBLBQYAAAAABgAGAFkBAAAEBgAAAAA=&#10;">
                        <v:fill on="f" focussize="0,0"/>
                        <v:stroke weight="0.5pt" color="#000000 [3213]" joinstyle="round" dashstyle="dash"/>
                        <v:imagedata o:title=""/>
                        <o:lock v:ext="edit" aspectratio="f"/>
                        <v:textbox>
                          <w:txbxContent>
                            <w:p w14:paraId="2EB0A4C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G1-2</w:t>
                              </w:r>
                            </w:p>
                          </w:txbxContent>
                        </v:textbox>
                      </v:rect>
                      <v:rect id="_x0000_s1026" o:spid="_x0000_s1026" o:spt="1" style="position:absolute;left:3427730;top:675005;height:304800;width:1285875;v-text-anchor:middle;" filled="f" stroked="t" coordsize="21600,21600" o:gfxdata="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vNe7VAAAABQEAAA8AAAAAAAAAAQAgAAAAIgAAAGRycy9kb3ducmV2&#10;LnhtbFBLAQIUABQAAAAIAIdO4kBWApNvcQIAAMoEAAAOAAAAAAAAAAEAIAAAACQBAABkcnMvZTJv&#10;RG9jLnhtbFBLBQYAAAAABgAGAFkBAAAHBgAAAAA=&#10;">
                        <v:fill on="f" focussize="0,0"/>
                        <v:stroke weight="0.5pt" color="#000000 [3213]" joinstyle="round" dashstyle="dash"/>
                        <v:imagedata o:title=""/>
                        <o:lock v:ext="edit" aspectratio="f"/>
                        <v:textbox>
                          <w:txbxContent>
                            <w:p w14:paraId="3232480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G1-1、S1-1、S1-2</w:t>
                              </w:r>
                            </w:p>
                          </w:txbxContent>
                        </v:textbox>
                      </v:rect>
                      <v:rect id="_x0000_s1026" o:spid="_x0000_s1026" o:spt="1" style="position:absolute;left:3446780;top:1779905;height:304800;width:781050;v-text-anchor:middle;" filled="f" stroked="t" coordsize="21600,21600" o:gfxdata="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6817tUAAAAFAQAADwAAAAAAAAABACAAAAAiAAAAZHJzL2Rvd25yZXYu&#10;eG1sUEsBAhQAFAAAAAgAh07iQLdHSa5wAgAAygQAAA4AAAAAAAAAAQAgAAAAJAEAAGRycy9lMm9E&#10;b2MueG1sUEsFBgAAAAAGAAYAWQEAAAYGAAAAAA==&#10;">
                        <v:fill on="f" focussize="0,0"/>
                        <v:stroke weight="0.5pt" color="#000000 [3213]" joinstyle="round" dashstyle="dash"/>
                        <v:imagedata o:title=""/>
                        <o:lock v:ext="edit" aspectratio="f"/>
                        <v:textbox>
                          <w:txbxContent>
                            <w:p w14:paraId="493EC198">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S1-3</w:t>
                              </w:r>
                            </w:p>
                          </w:txbxContent>
                        </v:textbox>
                      </v:rect>
                      <v:shape id="_x0000_s1026" o:spid="_x0000_s1026" o:spt="32" type="#_x0000_t32" style="position:absolute;left:2780030;top:827405;height:0;width:647700;" filled="f" stroked="t" coordsize="21600,21600" o:gfxdata="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91l3UAAAA&#10;BQEAAA8AAAAAAAAAAQAgAAAAIgAAAGRycy9kb3ducmV2LnhtbFBLAQIUABQAAAAIAIdO4kBTKzpk&#10;IQIAABQEAAAOAAAAAAAAAAEAIAAAACMBAABkcnMvZTJvRG9jLnhtbFBLBQYAAAAABgAGAFkBAAC2&#10;BQAAAAA=&#10;">
                        <v:fill on="f" focussize="0,0"/>
                        <v:stroke weight="0.5pt" color="#000000 [3213]" joinstyle="round" dashstyle="dash" endarrow="open"/>
                        <v:imagedata o:title=""/>
                        <o:lock v:ext="edit" aspectratio="f"/>
                      </v:shape>
                      <v:shape id="_x0000_s1026" o:spid="_x0000_s1026" o:spt="32" type="#_x0000_t32" style="position:absolute;left:2780030;top:1379855;height:0;width:657225;" filled="f" stroked="t" coordsize="21600,21600" o:gfxdata="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P3WXdQA&#10;AAAFAQAADwAAAAAAAAABACAAAAAiAAAAZHJzL2Rvd25yZXYueG1sUEsBAhQAFAAAAAgAh07iQNIx&#10;Iq8jAgAAFQQAAA4AAAAAAAAAAQAgAAAAIwEAAGRycy9lMm9Eb2MueG1sUEsFBgAAAAAGAAYAWQEA&#10;ALgFAAAAAA==&#10;">
                        <v:fill on="f" focussize="0,0"/>
                        <v:stroke weight="0.5pt" color="#000000 [3213]" joinstyle="round" dashstyle="dash" endarrow="open"/>
                        <v:imagedata o:title=""/>
                        <o:lock v:ext="edit" aspectratio="f"/>
                      </v:shape>
                      <v:shape id="_x0000_s1026" o:spid="_x0000_s1026" o:spt="32" type="#_x0000_t32" style="position:absolute;left:2770505;top:1932305;height:0;width:676275;" filled="f" stroked="t" coordsize="21600,21600" o:gfxdata="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dZd1AAA&#10;AAUBAAAPAAAAAAAAAAEAIAAAACIAAABkcnMvZG93bnJldi54bWxQSwECFAAUAAAACACHTuJAndWN&#10;/CICAAAVBAAADgAAAAAAAAABACAAAAAjAQAAZHJzL2Uyb0RvYy54bWxQSwUGAAAAAAYABgBZAQAA&#10;twUAAAAA&#10;">
                        <v:fill on="f" focussize="0,0"/>
                        <v:stroke weight="0.5pt" color="#000000 [3213]" joinstyle="round" dashstyle="dash" endarrow="open"/>
                        <v:imagedata o:title=""/>
                        <o:lock v:ext="edit" aspectratio="f"/>
                      </v:shape>
                      <v:rect id="_x0000_s1026" o:spid="_x0000_s1026" o:spt="1" style="position:absolute;left:1779905;top:3951605;height:304800;width:962025;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6TU1AAAAAUBAAAPAAAAAAAAAAEAIAAAACIAAABkcnMvZG93bnJldi54bWxQ&#10;SwECFAAUAAAACACHTuJAMpi0pm0CAADJBAAADgAAAAAAAAABACAAAAAjAQAAZHJzL2Uyb0RvYy54&#10;bWxQSwUGAAAAAAYABgBZAQAAAgYAAAAA&#10;">
                        <v:fill on="f" focussize="0,0"/>
                        <v:stroke weight="0.5pt" color="#000000 [3213]" joinstyle="round"/>
                        <v:imagedata o:title=""/>
                        <o:lock v:ext="edit" aspectratio="f"/>
                        <v:textbox>
                          <w:txbxContent>
                            <w:p w14:paraId="56FF8C1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入库</w:t>
                              </w:r>
                            </w:p>
                          </w:txbxContent>
                        </v:textbox>
                      </v:rect>
                      <v:shape id="_x0000_s1026" o:spid="_x0000_s1026" o:spt="32" type="#_x0000_t32" style="position:absolute;left:2261235;top:3684905;flip:x;height:266700;width:9525;" filled="f" stroked="t" coordsize="21600,21600" o:gfxdata="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ood&#10;htUAAAAFAQAADwAAAAAAAAABACAAAAAiAAAAZHJzL2Rvd25yZXYueG1sUEsBAhQAFAAAAAgAh07i&#10;QEUQZNglAgAAIAQAAA4AAAAAAAAAAQAgAAAAJAEAAGRycy9lMm9Eb2MueG1sUEsFBgAAAAAGAAYA&#10;WQEAALsFAAAAAA==&#10;">
                        <v:fill on="f" focussize="0,0"/>
                        <v:stroke color="#000000 [3213]" joinstyle="round" endarrow="open"/>
                        <v:imagedata o:title=""/>
                        <o:lock v:ext="edit" aspectratio="f"/>
                      </v:shape>
                      <v:rect id="_x0000_s1026" o:spid="_x0000_s1026" o:spt="1" style="position:absolute;left:74930;top:675005;height:304800;width:506730;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6TU1AAAAAUBAAAPAAAAAAAAAAEAIAAAACIAAABkcnMvZG93bnJldi54bWxQSwEC&#10;FAAUAAAACACHTuJAYijcp2oCAADIBAAADgAAAAAAAAABACAAAAAjAQAAZHJzL2Uyb0RvYy54bWxQ&#10;SwUGAAAAAAYABgBZAQAA/wUAAAAA&#10;">
                        <v:fill on="f" focussize="0,0"/>
                        <v:stroke weight="0.5pt" color="#000000 [3213]" joinstyle="round"/>
                        <v:imagedata o:title=""/>
                        <o:lock v:ext="edit" aspectratio="f"/>
                        <v:textbox>
                          <w:txbxContent>
                            <w:p w14:paraId="5182E1D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原料</w:t>
                              </w:r>
                            </w:p>
                          </w:txbxContent>
                        </v:textbox>
                      </v:rect>
                      <v:rect id="_x0000_s1026" o:spid="_x0000_s1026" o:spt="1" style="position:absolute;left:19050;top:1227455;height:304800;width:610870;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5+k1NQAAAAFAQAADwAAAAAAAAABACAAAAAiAAAAZHJzL2Rvd25yZXYueG1sUEsB&#10;AhQAFAAAAAgAh07iQFGLyLhrAgAAyQQAAA4AAAAAAAAAAQAgAAAAIwEAAGRycy9lMm9Eb2MueG1s&#10;UEsFBgAAAAAGAAYAWQEAAAAGAAAAAA==&#10;">
                        <v:fill on="f" focussize="0,0"/>
                        <v:stroke weight="0.5pt" color="#000000 [3213]" joinstyle="round"/>
                        <v:imagedata o:title=""/>
                        <o:lock v:ext="edit" aspectratio="f"/>
                        <v:textbox>
                          <w:txbxContent>
                            <w:p w14:paraId="426C3850">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机加工</w:t>
                              </w:r>
                            </w:p>
                          </w:txbxContent>
                        </v:textbox>
                      </v:rect>
                      <v:rect id="_x0000_s1026" o:spid="_x0000_s1026" o:spt="1" style="position:absolute;left:65405;top:1779905;height:304800;width:506730;v-text-anchor:middle;" filled="f" stroked="t" coordsize="21600,21600" o:gfxdata="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5+k1NQAAAAFAQAADwAAAAAAAAABACAAAAAiAAAAZHJzL2Rvd25yZXYueG1sUEsB&#10;AhQAFAAAAAgAh07iQHcSwPdrAgAAyQQAAA4AAAAAAAAAAQAgAAAAIwEAAGRycy9lMm9Eb2MueG1s&#10;UEsFBgAAAAAGAAYAWQEAAAAGAAAAAA==&#10;">
                        <v:fill on="f" focussize="0,0"/>
                        <v:stroke weight="0.5pt" color="#000000 [3213]" joinstyle="round"/>
                        <v:imagedata o:title=""/>
                        <o:lock v:ext="edit" aspectratio="f"/>
                        <v:textbox>
                          <w:txbxContent>
                            <w:p w14:paraId="5E538B7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模具</w:t>
                              </w:r>
                            </w:p>
                          </w:txbxContent>
                        </v:textbox>
                      </v:rect>
                      <v:shape id="_x0000_s1026" o:spid="_x0000_s1026" o:spt="32" type="#_x0000_t32" style="position:absolute;left:324485;top:979805;flip:x;height:247650;width:3810;"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8mFE1wAAAAUBAAAPAAAAAAAAAAEAIAAAACIAAABkcnMvZG93bnJldi54bWxQSwECFAAUAAAACACH&#10;TuJAekStgiUCAAAhBAAADgAAAAAAAAABACAAAAAmAQAAZHJzL2Uyb0RvYy54bWxQSwUGAAAAAAYA&#10;BgBZAQAAvQUAAAAA&#10;">
                        <v:fill on="f" focussize="0,0"/>
                        <v:stroke weight="0.5pt" color="#000000 [3213]" joinstyle="round" endarrow="open"/>
                        <v:imagedata o:title=""/>
                        <o:lock v:ext="edit" aspectratio="f"/>
                      </v:shape>
                      <v:shape id="_x0000_s1026" o:spid="_x0000_s1026" o:spt="32" type="#_x0000_t32" style="position:absolute;left:318770;top:1532255;flip:x;height:247650;width:5715;" filled="f" stroked="t" coordsize="21600,21600" o:gfxdata="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8mFE1wAAAAUBAAAPAAAAAAAAAAEAIAAAACIAAABkcnMvZG93bnJldi54bWxQSwECFAAUAAAA&#10;CACHTuJA0IrM9ygCAAAiBAAADgAAAAAAAAABACAAAAAmAQAAZHJzL2Uyb0RvYy54bWxQSwUGAAAA&#10;AAYABgBZAQAAwAUAAAAA&#10;">
                        <v:fill on="f" focussize="0,0"/>
                        <v:stroke weight="0.5pt" color="#000000 [3213]" joinstyle="round" endarrow="open"/>
                        <v:imagedata o:title=""/>
                        <o:lock v:ext="edit" aspectratio="f"/>
                      </v:shape>
                      <v:shape id="_x0000_s1026" o:spid="_x0000_s1026" o:spt="32" type="#_x0000_t32" style="position:absolute;left:572135;top:1932305;height:0;width:1236345;" filled="f" stroked="t" coordsize="21600,21600" o:gfxdata="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zUtFXW&#10;AAAABQEAAA8AAAAAAAAAAQAgAAAAIgAAAGRycy9kb3ducmV2LnhtbFBLAQIUABQAAAAIAIdO4kBI&#10;PXU2IgIAABYEAAAOAAAAAAAAAAEAIAAAACUBAABkcnMvZTJvRG9jLnhtbFBLBQYAAAAABgAGAFkB&#10;AAC5BQAAAAA=&#10;">
                        <v:fill on="f" focussize="0,0"/>
                        <v:stroke weight="0.5pt" color="#000000 [3213]" joinstyle="round" endarrow="open"/>
                        <v:imagedata o:title=""/>
                        <o:lock v:ext="edit" aspectratio="f"/>
                      </v:shape>
                      <v:rect id="_x0000_s1026" o:spid="_x0000_s1026" o:spt="1" style="position:absolute;left:913130;top:1217930;height:323850;width:876300;v-text-anchor:middle;" filled="f" stroked="t" coordsize="21600,21600" o:gfxdata="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6817tUAAAAFAQAADwAAAAAAAAABACAAAAAiAAAAZHJzL2Rvd25yZXYueG1s&#10;UEsBAhQAFAAAAAgAh07iQJUdxWptAgAAyQQAAA4AAAAAAAAAAQAgAAAAJAEAAGRycy9lMm9Eb2Mu&#10;eG1sUEsFBgAAAAAGAAYAWQEAAAMGAAAAAA==&#10;">
                        <v:fill on="f" focussize="0,0"/>
                        <v:stroke weight="0.5pt" color="#000000 [3213]" joinstyle="round" dashstyle="dash"/>
                        <v:imagedata o:title=""/>
                        <o:lock v:ext="edit" aspectratio="f"/>
                        <v:textbox>
                          <w:txbxContent>
                            <w:p w14:paraId="43EBACD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G1-3、S1-4</w:t>
                              </w:r>
                            </w:p>
                          </w:txbxContent>
                        </v:textbox>
                      </v:rect>
                      <v:shape id="_x0000_s1026" o:spid="_x0000_s1026" o:spt="32" type="#_x0000_t32" style="position:absolute;left:629920;top:1379855;height:0;width:283210;" filled="f" stroked="t" coordsize="21600,21600" o:gfxdata="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P3WXdQAAAAF&#10;AQAADwAAAAAAAAABACAAAAAiAAAAZHJzL2Rvd25yZXYueG1sUEsBAhQAFAAAAAgAh07iQAxwv+0g&#10;AgAAFAQAAA4AAAAAAAAAAQAgAAAAIwEAAGRycy9lMm9Eb2MueG1sUEsFBgAAAAAGAAYAWQEAALUF&#10;AAAAAA==&#10;">
                        <v:fill on="f" focussize="0,0"/>
                        <v:stroke weight="0.5pt" color="#000000 [3213]" joinstyle="round" dashstyle="dash" endarrow="open"/>
                        <v:imagedata o:title=""/>
                        <o:lock v:ext="edit" aspectratio="f"/>
                      </v:shape>
                      <w10:wrap type="none"/>
                      <w10:anchorlock/>
                    </v:group>
                  </w:pict>
                </mc:Fallback>
              </mc:AlternateContent>
            </w:r>
          </w:p>
          <w:p w14:paraId="6E295A59">
            <w:pPr>
              <w:spacing w:line="360" w:lineRule="auto"/>
              <w:ind w:firstLine="422" w:firstLineChars="200"/>
              <w:jc w:val="center"/>
              <w:rPr>
                <w:rFonts w:hint="default" w:eastAsia="宋体"/>
                <w:b/>
                <w:bCs/>
                <w:color w:val="auto"/>
                <w:sz w:val="21"/>
                <w:szCs w:val="21"/>
                <w:lang w:val="en-US" w:eastAsia="zh-CN"/>
              </w:rPr>
            </w:pPr>
            <w:r>
              <w:rPr>
                <w:rFonts w:hint="eastAsia"/>
                <w:b/>
                <w:bCs/>
                <w:color w:val="auto"/>
                <w:sz w:val="21"/>
                <w:szCs w:val="21"/>
                <w:lang w:val="en-US" w:eastAsia="zh-CN"/>
              </w:rPr>
              <w:t>图2-1 模锻工艺流程及产污环节图</w:t>
            </w:r>
          </w:p>
          <w:p w14:paraId="2AEF2C83">
            <w:pPr>
              <w:spacing w:line="360" w:lineRule="auto"/>
              <w:ind w:firstLine="422" w:firstLineChars="200"/>
              <w:rPr>
                <w:b/>
                <w:bCs/>
                <w:color w:val="auto"/>
                <w:sz w:val="21"/>
                <w:szCs w:val="21"/>
              </w:rPr>
            </w:pPr>
            <w:r>
              <w:rPr>
                <w:b/>
                <w:bCs/>
                <w:color w:val="auto"/>
                <w:sz w:val="21"/>
                <w:szCs w:val="21"/>
              </w:rPr>
              <w:t>生产工艺流程及产污环节简述</w:t>
            </w:r>
          </w:p>
          <w:p w14:paraId="4A05C780">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原料为元钢、方钢、钢锭。</w:t>
            </w:r>
          </w:p>
          <w:p w14:paraId="47959EC9">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自动带锯：根据工艺要求将原料按重量使用自动带锯锯切，去多余的帽口和水口，自动带锯锯床使用切削液，设备内置切削液循环使用系统，切削液不与原料接触，该工序产生废边角料S1-1，废切削液S1-2、自动带锯废气G1-1。</w:t>
            </w:r>
          </w:p>
          <w:p w14:paraId="7DEBA14B">
            <w:pPr>
              <w:spacing w:line="360" w:lineRule="auto"/>
              <w:ind w:firstLine="420" w:firstLineChars="200"/>
              <w:rPr>
                <w:rFonts w:hint="default" w:cs="Times New Roman"/>
                <w:b w:val="0"/>
                <w:bCs/>
                <w:color w:val="auto"/>
                <w:sz w:val="21"/>
                <w:szCs w:val="21"/>
                <w:lang w:val="en-US" w:eastAsia="zh-CN"/>
              </w:rPr>
            </w:pPr>
            <w:r>
              <w:rPr>
                <w:rFonts w:hint="eastAsia" w:cs="Times New Roman"/>
                <w:b w:val="0"/>
                <w:bCs/>
                <w:color w:val="auto"/>
                <w:sz w:val="21"/>
                <w:szCs w:val="21"/>
                <w:lang w:val="en-US" w:eastAsia="zh-CN"/>
              </w:rPr>
              <w:t>（2）加热：将自动带锯处理过的原料放入天然气加热炉中加热，天然气加热炉温度控制在1230-1260度。该工序产生天然气燃烧废气G1-2。</w:t>
            </w:r>
          </w:p>
          <w:p w14:paraId="603433A4">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（3）锻造：锻造温度控制在1180-1240度，先墩拔到合适的尺寸，再放入模具中锻压，锻造设备为空气锤，最后精锻成型，该工序产生固废氧化皮S1-3，由合作钢厂回收。</w:t>
            </w:r>
          </w:p>
          <w:p w14:paraId="76EAB676">
            <w:pPr>
              <w:spacing w:line="360" w:lineRule="auto"/>
              <w:ind w:firstLine="420" w:firstLineChars="200"/>
              <w:rPr>
                <w:rFonts w:hint="default"/>
                <w:color w:val="auto"/>
                <w:lang w:val="en-US" w:eastAsia="zh-CN"/>
              </w:rPr>
            </w:pPr>
            <w:r>
              <w:rPr>
                <w:rFonts w:hint="eastAsia" w:cs="Times New Roman"/>
                <w:b w:val="0"/>
                <w:bCs/>
                <w:color w:val="auto"/>
                <w:sz w:val="21"/>
                <w:szCs w:val="21"/>
                <w:lang w:val="en-US" w:eastAsia="zh-CN"/>
              </w:rPr>
              <w:t>（4）模具机加工：本项目模锻工序使用的模具自制，将原料元钢/方钢/钢锭根据产品尺寸，通过机加工设备，制作成相应大小的模具，</w:t>
            </w:r>
            <w:r>
              <w:rPr>
                <w:rFonts w:hint="eastAsia" w:ascii="Times New Roman" w:hAnsi="Times New Roman" w:eastAsia="宋体" w:cs="Times New Roman"/>
                <w:b w:val="0"/>
                <w:bCs w:val="0"/>
                <w:color w:val="auto"/>
                <w:sz w:val="21"/>
                <w:szCs w:val="21"/>
                <w:lang w:val="en-US" w:eastAsia="zh-CN"/>
              </w:rPr>
              <w:t>机加工过程中使用切削液，启到抑尘作用，故无金属颗粒物产生。</w:t>
            </w:r>
            <w:r>
              <w:rPr>
                <w:rFonts w:hint="eastAsia" w:cs="Times New Roman"/>
                <w:b w:val="0"/>
                <w:bCs/>
                <w:color w:val="auto"/>
                <w:sz w:val="21"/>
                <w:szCs w:val="21"/>
                <w:lang w:val="en-US" w:eastAsia="zh-CN"/>
              </w:rPr>
              <w:t>该工序产生含油金属屑S1-4，机加工废气G1-3。</w:t>
            </w:r>
          </w:p>
          <w:p w14:paraId="5282F243">
            <w:pPr>
              <w:spacing w:line="360" w:lineRule="auto"/>
              <w:ind w:firstLine="420" w:firstLineChars="200"/>
              <w:rPr>
                <w:rFonts w:hint="default" w:cs="Times New Roman"/>
                <w:b w:val="0"/>
                <w:bCs/>
                <w:color w:val="auto"/>
                <w:sz w:val="21"/>
                <w:szCs w:val="21"/>
                <w:lang w:val="en-US" w:eastAsia="zh-CN"/>
              </w:rPr>
            </w:pPr>
            <w:r>
              <w:rPr>
                <w:rFonts w:hint="eastAsia" w:cs="Times New Roman"/>
                <w:b w:val="0"/>
                <w:bCs/>
                <w:color w:val="auto"/>
                <w:sz w:val="21"/>
                <w:szCs w:val="21"/>
                <w:lang w:val="en-US" w:eastAsia="zh-CN"/>
              </w:rPr>
              <w:t>（4）热处理：若客户订单要求进行热处理，则将锻造后的锻件放入电阻炉中进行加热处理，加热温度在800℃左右，具体加热温度及时间根据订单要求进行，热处理的作用是提高锻件的硬度和耐磨度，改善锻件工艺性能。如果客户未要求进行热处理，则锻造好的锻件直接进行冷却。</w:t>
            </w:r>
          </w:p>
          <w:p w14:paraId="449B26FA">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（5）冷却： 根据订单要求，部分产品室温冷却，部分产品锻造后下水冷却，冷却水池30m</w:t>
            </w:r>
            <w:r>
              <w:rPr>
                <w:rFonts w:hint="eastAsia" w:cs="Times New Roman"/>
                <w:b w:val="0"/>
                <w:bCs/>
                <w:color w:val="auto"/>
                <w:sz w:val="21"/>
                <w:szCs w:val="21"/>
                <w:vertAlign w:val="superscript"/>
                <w:lang w:val="en-US" w:eastAsia="zh-CN"/>
              </w:rPr>
              <w:t>3</w:t>
            </w:r>
            <w:r>
              <w:rPr>
                <w:rFonts w:hint="eastAsia" w:cs="Times New Roman"/>
                <w:b w:val="0"/>
                <w:bCs/>
                <w:color w:val="auto"/>
                <w:sz w:val="21"/>
                <w:szCs w:val="21"/>
                <w:lang w:val="en-US" w:eastAsia="zh-CN"/>
              </w:rPr>
              <w:t>，冷却水循环使用，所有产品冷却至400度时移走。</w:t>
            </w:r>
          </w:p>
          <w:p w14:paraId="23E93F57">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（6）检验： 使用卡尺检验尺寸，超声波探伤检验产品质量，</w:t>
            </w:r>
            <w:r>
              <w:rPr>
                <w:rFonts w:hint="eastAsia" w:ascii="Times New Roman" w:hAnsi="Times New Roman" w:cs="Times New Roman"/>
                <w:b w:val="0"/>
                <w:bCs w:val="0"/>
                <w:color w:val="auto"/>
                <w:sz w:val="21"/>
                <w:szCs w:val="21"/>
                <w:lang w:val="en-US" w:eastAsia="zh-CN"/>
              </w:rPr>
              <w:t>其原理为：利用超声能透入金属材料的深处，并由一截面进入另一截面时，在界面边缘发生反射的特点来检查零件缺陷的一种方法。当超声波束自零件表面由探头通至金属内部，遇到缺陷与零件底面时就分别发生反射波，在荧光屏上形成脉冲波形，可以通过这些脉冲波形来判断缺陷位置和大小</w:t>
            </w:r>
            <w:r>
              <w:rPr>
                <w:rFonts w:hint="eastAsia" w:cs="Times New Roman"/>
                <w:b w:val="0"/>
                <w:bCs/>
                <w:color w:val="auto"/>
                <w:sz w:val="21"/>
                <w:szCs w:val="21"/>
                <w:lang w:val="en-US" w:eastAsia="zh-CN"/>
              </w:rPr>
              <w:t>。</w:t>
            </w:r>
          </w:p>
          <w:p w14:paraId="4EED0D65">
            <w:pPr>
              <w:spacing w:line="360" w:lineRule="auto"/>
              <w:ind w:firstLine="420" w:firstLineChars="200"/>
              <w:rPr>
                <w:rFonts w:hint="eastAsia"/>
                <w:color w:val="auto"/>
                <w:lang w:val="en-US" w:eastAsia="zh-CN"/>
              </w:rPr>
            </w:pPr>
            <w:r>
              <w:rPr>
                <w:rFonts w:hint="eastAsia" w:cs="Times New Roman"/>
                <w:b w:val="0"/>
                <w:bCs/>
                <w:color w:val="auto"/>
                <w:sz w:val="21"/>
                <w:szCs w:val="21"/>
                <w:lang w:val="en-US" w:eastAsia="zh-CN"/>
              </w:rPr>
              <w:t>（7）入库： 合格产品按要求入库存放。</w:t>
            </w:r>
          </w:p>
          <w:p w14:paraId="702E412A">
            <w:pPr>
              <w:numPr>
                <w:ilvl w:val="0"/>
                <w:numId w:val="0"/>
              </w:numPr>
              <w:spacing w:line="360" w:lineRule="auto"/>
              <w:ind w:firstLine="422" w:firstLineChars="200"/>
              <w:rPr>
                <w:rFonts w:hint="eastAsia"/>
                <w:b/>
                <w:bCs/>
                <w:color w:val="auto"/>
                <w:sz w:val="21"/>
                <w:szCs w:val="21"/>
                <w:lang w:val="en-US" w:eastAsia="zh-CN"/>
              </w:rPr>
            </w:pPr>
            <w:r>
              <w:rPr>
                <w:rFonts w:hint="eastAsia"/>
                <w:b/>
                <w:bCs/>
                <w:color w:val="auto"/>
                <w:sz w:val="21"/>
                <w:szCs w:val="21"/>
                <w:lang w:val="en-US" w:eastAsia="zh-CN"/>
              </w:rPr>
              <w:t>（2）自由锻</w:t>
            </w:r>
          </w:p>
          <w:p w14:paraId="4935FF81">
            <w:pPr>
              <w:numPr>
                <w:ilvl w:val="0"/>
                <w:numId w:val="0"/>
              </w:numPr>
              <w:spacing w:line="360" w:lineRule="auto"/>
              <w:rPr>
                <w:rFonts w:hint="eastAsia"/>
                <w:b/>
                <w:bCs/>
                <w:color w:val="auto"/>
                <w:sz w:val="21"/>
                <w:szCs w:val="21"/>
                <w:lang w:val="en-US" w:eastAsia="zh-CN"/>
              </w:rPr>
            </w:pPr>
            <w:r>
              <w:rPr>
                <w:color w:val="auto"/>
                <w:sz w:val="21"/>
              </w:rPr>
              <mc:AlternateContent>
                <mc:Choice Requires="wpc">
                  <w:drawing>
                    <wp:inline distT="0" distB="0" distL="114300" distR="114300">
                      <wp:extent cx="5252720" cy="5076190"/>
                      <wp:effectExtent l="0" t="0" r="0" b="0"/>
                      <wp:docPr id="58" name="画布 58"/>
                      <wp:cNvGraphicFramePr/>
                      <a:graphic xmlns:a="http://schemas.openxmlformats.org/drawingml/2006/main">
                        <a:graphicData uri="http://schemas.microsoft.com/office/word/2010/wordprocessingCanvas">
                          <wpc:wpc>
                            <wpc:bg/>
                            <wpc:whole/>
                            <wps:wsp>
                              <wps:cNvPr id="59" name="矩形 12"/>
                              <wps:cNvSpPr/>
                              <wps:spPr>
                                <a:xfrm>
                                  <a:off x="1335405" y="10668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E4229B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原料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15"/>
                              <wps:cNvSpPr/>
                              <wps:spPr>
                                <a:xfrm>
                                  <a:off x="1332230" y="6750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9144B9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自动带锯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矩形 16"/>
                              <wps:cNvSpPr/>
                              <wps:spPr>
                                <a:xfrm>
                                  <a:off x="1332230" y="122745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DCD8064">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加热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17"/>
                              <wps:cNvSpPr/>
                              <wps:spPr>
                                <a:xfrm>
                                  <a:off x="1332230" y="17799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F1F384F">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锻造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37"/>
                              <wps:cNvSpPr/>
                              <wps:spPr>
                                <a:xfrm>
                                  <a:off x="1332230" y="285623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9186C8">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冷却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38"/>
                              <wps:cNvSpPr/>
                              <wps:spPr>
                                <a:xfrm>
                                  <a:off x="1332230" y="3418205"/>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2D6B1D1">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精加工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39"/>
                              <wps:cNvSpPr/>
                              <wps:spPr>
                                <a:xfrm>
                                  <a:off x="1332230" y="396113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8C0076">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检验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40"/>
                              <wps:cNvCnPr>
                                <a:stCxn id="12" idx="2"/>
                                <a:endCxn id="15" idx="0"/>
                              </wps:cNvCnPr>
                              <wps:spPr>
                                <a:xfrm flipH="1">
                                  <a:off x="1813560" y="411480"/>
                                  <a:ext cx="3175" cy="263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3" name="直接箭头连接符 41"/>
                              <wps:cNvCnPr>
                                <a:stCxn id="15" idx="2"/>
                                <a:endCxn id="16" idx="0"/>
                              </wps:cNvCnPr>
                              <wps:spPr>
                                <a:xfrm>
                                  <a:off x="1813560" y="979805"/>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4" name="直接箭头连接符 42"/>
                              <wps:cNvCnPr>
                                <a:stCxn id="16" idx="2"/>
                                <a:endCxn id="17" idx="0"/>
                              </wps:cNvCnPr>
                              <wps:spPr>
                                <a:xfrm>
                                  <a:off x="1813560" y="1532255"/>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5" name="直接箭头连接符 44"/>
                              <wps:cNvCnPr>
                                <a:stCxn id="17" idx="2"/>
                                <a:endCxn id="37" idx="0"/>
                              </wps:cNvCnPr>
                              <wps:spPr>
                                <a:xfrm>
                                  <a:off x="1813560" y="2084705"/>
                                  <a:ext cx="0" cy="2381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6" name="直接箭头连接符 45"/>
                              <wps:cNvCnPr>
                                <a:stCxn id="37" idx="2"/>
                                <a:endCxn id="38" idx="0"/>
                              </wps:cNvCnPr>
                              <wps:spPr>
                                <a:xfrm>
                                  <a:off x="1813560" y="3180080"/>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7" name="直接箭头连接符 46"/>
                              <wps:cNvCnPr>
                                <a:stCxn id="38" idx="2"/>
                                <a:endCxn id="39" idx="0"/>
                              </wps:cNvCnPr>
                              <wps:spPr>
                                <a:xfrm>
                                  <a:off x="1813560" y="3761105"/>
                                  <a:ext cx="0" cy="2000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8" name="矩形 47"/>
                              <wps:cNvSpPr/>
                              <wps:spPr>
                                <a:xfrm>
                                  <a:off x="2818130" y="1227455"/>
                                  <a:ext cx="781050"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710A571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矩形 51"/>
                              <wps:cNvSpPr/>
                              <wps:spPr>
                                <a:xfrm>
                                  <a:off x="2837180" y="675005"/>
                                  <a:ext cx="1209675"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07FD311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G2-1、S2-1、S2-2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矩形 54"/>
                              <wps:cNvSpPr/>
                              <wps:spPr>
                                <a:xfrm>
                                  <a:off x="2827655" y="1779905"/>
                                  <a:ext cx="781050"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3EE36C0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S2-3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 name="直接箭头连接符 55"/>
                              <wps:cNvCnPr>
                                <a:stCxn id="15" idx="3"/>
                                <a:endCxn id="51" idx="1"/>
                              </wps:cNvCnPr>
                              <wps:spPr>
                                <a:xfrm>
                                  <a:off x="2294255" y="827405"/>
                                  <a:ext cx="542925"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2" name="直接箭头连接符 56"/>
                              <wps:cNvCnPr>
                                <a:stCxn id="16" idx="3"/>
                                <a:endCxn id="47" idx="1"/>
                              </wps:cNvCnPr>
                              <wps:spPr>
                                <a:xfrm>
                                  <a:off x="2294255" y="1379855"/>
                                  <a:ext cx="523875"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3" name="直接箭头连接符 57"/>
                              <wps:cNvCnPr>
                                <a:stCxn id="17" idx="3"/>
                                <a:endCxn id="54" idx="1"/>
                              </wps:cNvCnPr>
                              <wps:spPr>
                                <a:xfrm>
                                  <a:off x="2294255" y="1932305"/>
                                  <a:ext cx="53340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4" name="矩形 39"/>
                              <wps:cNvSpPr/>
                              <wps:spPr>
                                <a:xfrm>
                                  <a:off x="1332230" y="451358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845D740">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入库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直接箭头连接符 85"/>
                              <wps:cNvCnPr>
                                <a:stCxn id="70" idx="2"/>
                                <a:endCxn id="84" idx="0"/>
                              </wps:cNvCnPr>
                              <wps:spPr>
                                <a:xfrm>
                                  <a:off x="1813560" y="4265930"/>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8" name="矩形 54"/>
                              <wps:cNvSpPr/>
                              <wps:spPr>
                                <a:xfrm>
                                  <a:off x="2846705" y="3418205"/>
                                  <a:ext cx="1189990" cy="304800"/>
                                </a:xfrm>
                                <a:prstGeom prst="rect">
                                  <a:avLst/>
                                </a:prstGeom>
                                <a:noFill/>
                                <a:ln w="6350">
                                  <a:solidFill>
                                    <a:schemeClr val="tx1"/>
                                  </a:solidFill>
                                  <a:prstDash val="dash"/>
                                </a:ln>
                              </wps:spPr>
                              <wps:style>
                                <a:lnRef idx="2">
                                  <a:schemeClr val="accent1">
                                    <a:lumMod val="75000"/>
                                  </a:schemeClr>
                                </a:lnRef>
                                <a:fillRef idx="1">
                                  <a:schemeClr val="accent1"/>
                                </a:fillRef>
                                <a:effectRef idx="0">
                                  <a:srgbClr val="FFFFFF"/>
                                </a:effectRef>
                                <a:fontRef idx="minor">
                                  <a:schemeClr val="lt1"/>
                                </a:fontRef>
                              </wps:style>
                              <wps:txbx>
                                <w:txbxContent>
                                  <w:p w14:paraId="153979C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G2-3、S2-4、S2-5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直接箭头连接符 89"/>
                              <wps:cNvCnPr>
                                <a:stCxn id="69" idx="3"/>
                                <a:endCxn id="88" idx="1"/>
                              </wps:cNvCnPr>
                              <wps:spPr>
                                <a:xfrm>
                                  <a:off x="2294255" y="3570605"/>
                                  <a:ext cx="55245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6" name="矩形 37"/>
                              <wps:cNvSpPr/>
                              <wps:spPr>
                                <a:xfrm>
                                  <a:off x="1332230" y="2303780"/>
                                  <a:ext cx="962025" cy="3048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D54B44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a:stCxn id="6" idx="2"/>
                                <a:endCxn id="68" idx="0"/>
                              </wps:cNvCnPr>
                              <wps:spPr>
                                <a:xfrm>
                                  <a:off x="1813560" y="2608580"/>
                                  <a:ext cx="0" cy="24765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399.7pt;width:413.6pt;" coordsize="5252720,5076190" editas="canvas" o:gfxdata="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">
                      <o:lock v:ext="edit" aspectratio="f"/>
                      <v:shape id="_x0000_s1026" o:spid="_x0000_s1026" style="position:absolute;left:0;top:0;height:5076190;width:5252720;" filled="f" stroked="f" coordsize="21600,21600" o:gfxdata="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A8/QUp1wAAAAUBAAAPAAAA&#10;AAAAAAEAIAAAACIAAABkcnMvZG93bnJldi54bWxQSwECFAAUAAAACACHTuJAvpr+AYoGAAD8QgAA&#10;DgAAAAAAAAABACAAAAAmAQAAZHJzL2Uyb0RvYy54bWxQSwUGAAAAAAYABgBZAQAAIgoAAAAA&#10;">
                        <v:fill on="f" focussize="0,0"/>
                        <v:stroke on="f"/>
                        <v:imagedata o:title=""/>
                        <o:lock v:ext="edit" aspectratio="f"/>
                      </v:shape>
                      <v:rect id="矩形 12" o:spid="_x0000_s1026" o:spt="1" style="position:absolute;left:1335405;top:106680;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Q9T71AAAAAUBAAAPAAAAAAAAAAEAIAAAACIAAABkcnMvZG93bnJldi54bWxQ&#10;SwECFAAUAAAACACHTuJAt+fXCW0CAADKBAAADgAAAAAAAAABACAAAAAjAQAAZHJzL2Uyb0RvYy54&#10;bWxQSwUGAAAAAAYABgBZAQAAAgYAAAAA&#10;">
                        <v:fill on="f" focussize="0,0"/>
                        <v:stroke weight="0.5pt" color="#000000 [3213]" joinstyle="round"/>
                        <v:imagedata o:title=""/>
                        <o:lock v:ext="edit" aspectratio="f"/>
                        <v:textbox>
                          <w:txbxContent>
                            <w:p w14:paraId="3E4229B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原料</w:t>
                              </w:r>
                            </w:p>
                          </w:txbxContent>
                        </v:textbox>
                      </v:rect>
                      <v:rect id="矩形 15" o:spid="_x0000_s1026" o:spt="1" style="position:absolute;left:1332230;top:675005;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tD1PvUAAAABQEAAA8AAAAAAAAAAQAgAAAAIgAAAGRycy9kb3ducmV2Lnht&#10;bFBLAQIUABQAAAAIAIdO4kDMVGTabwIAAMoEAAAOAAAAAAAAAAEAIAAAACMBAABkcnMvZTJvRG9j&#10;LnhtbFBLBQYAAAAABgAGAFkBAAAEBgAAAAA=&#10;">
                        <v:fill on="f" focussize="0,0"/>
                        <v:stroke weight="0.5pt" color="#000000 [3213]" joinstyle="round"/>
                        <v:imagedata o:title=""/>
                        <o:lock v:ext="edit" aspectratio="f"/>
                        <v:textbox>
                          <w:txbxContent>
                            <w:p w14:paraId="49144B9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自动带锯</w:t>
                              </w:r>
                            </w:p>
                          </w:txbxContent>
                        </v:textbox>
                      </v:rect>
                      <v:rect id="矩形 16" o:spid="_x0000_s1026" o:spt="1" style="position:absolute;left:1332230;top:1227455;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tD1PvUAAAABQEAAA8AAAAAAAAAAQAgAAAAIgAAAGRycy9kb3ducmV2Lnht&#10;bFBLAQIUABQAAAAIAIdO4kBAYaOtbwIAAMsEAAAOAAAAAAAAAAEAIAAAACMBAABkcnMvZTJvRG9j&#10;LnhtbFBLBQYAAAAABgAGAFkBAAAEBgAAAAA=&#10;">
                        <v:fill on="f" focussize="0,0"/>
                        <v:stroke weight="0.5pt" color="#000000 [3213]" joinstyle="round"/>
                        <v:imagedata o:title=""/>
                        <o:lock v:ext="edit" aspectratio="f"/>
                        <v:textbox>
                          <w:txbxContent>
                            <w:p w14:paraId="2DCD8064">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加热</w:t>
                              </w:r>
                            </w:p>
                          </w:txbxContent>
                        </v:textbox>
                      </v:rect>
                      <v:rect id="矩形 17" o:spid="_x0000_s1026" o:spt="1" style="position:absolute;left:1332230;top:1779905;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7Q9T71AAAAAUBAAAPAAAAAAAAAAEAIAAAACIAAABkcnMvZG93bnJldi54&#10;bWxQSwECFAAUAAAACACHTuJAsMlEq3ACAADLBAAADgAAAAAAAAABACAAAAAjAQAAZHJzL2Uyb0Rv&#10;Yy54bWxQSwUGAAAAAAYABgBZAQAABQYAAAAA&#10;">
                        <v:fill on="f" focussize="0,0"/>
                        <v:stroke weight="0.5pt" color="#000000 [3213]" joinstyle="round"/>
                        <v:imagedata o:title=""/>
                        <o:lock v:ext="edit" aspectratio="f"/>
                        <v:textbox>
                          <w:txbxContent>
                            <w:p w14:paraId="2F1F384F">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锻造</w:t>
                              </w:r>
                            </w:p>
                          </w:txbxContent>
                        </v:textbox>
                      </v:rect>
                      <v:rect id="矩形 37" o:spid="_x0000_s1026" o:spt="1" style="position:absolute;left:1332230;top:2856230;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Q9T71AAAAAUBAAAPAAAAAAAAAAEAIAAAACIAAABkcnMvZG93bnJldi54bWxQ&#10;SwECFAAUAAAACACHTuJAHEa5K20CAADLBAAADgAAAAAAAAABACAAAAAjAQAAZHJzL2Uyb0RvYy54&#10;bWxQSwUGAAAAAAYABgBZAQAAAgYAAAAA&#10;">
                        <v:fill on="f" focussize="0,0"/>
                        <v:stroke weight="0.5pt" color="#000000 [3213]" joinstyle="round"/>
                        <v:imagedata o:title=""/>
                        <o:lock v:ext="edit" aspectratio="f"/>
                        <v:textbox>
                          <w:txbxContent>
                            <w:p w14:paraId="099186C8">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冷却</w:t>
                              </w:r>
                            </w:p>
                          </w:txbxContent>
                        </v:textbox>
                      </v:rect>
                      <v:rect id="矩形 38" o:spid="_x0000_s1026" o:spt="1" style="position:absolute;left:1332230;top:3418205;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7Q9T71AAAAAUBAAAPAAAAAAAAAAEAIAAAACIAAABkcnMvZG93bnJldi54&#10;bWxQSwECFAAUAAAACACHTuJA2F4XR3ACAADLBAAADgAAAAAAAAABACAAAAAjAQAAZHJzL2Uyb0Rv&#10;Yy54bWxQSwUGAAAAAAYABgBZAQAABQYAAAAA&#10;">
                        <v:fill on="f" focussize="0,0"/>
                        <v:stroke weight="0.5pt" color="#000000 [3213]" joinstyle="round"/>
                        <v:imagedata o:title=""/>
                        <o:lock v:ext="edit" aspectratio="f"/>
                        <v:textbox>
                          <w:txbxContent>
                            <w:p w14:paraId="32D6B1D1">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精加工</w:t>
                              </w:r>
                            </w:p>
                          </w:txbxContent>
                        </v:textbox>
                      </v:rect>
                      <v:rect id="矩形 39" o:spid="_x0000_s1026" o:spt="1" style="position:absolute;left:1332230;top:3961130;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PU+9QAAAAFAQAADwAAAAAAAAABACAAAAAiAAAAZHJzL2Rvd25yZXYueG1s&#10;UEsBAhQAFAAAAAgAh07iQMb/Hf1uAgAAywQAAA4AAAAAAAAAAQAgAAAAIwEAAGRycy9lMm9Eb2Mu&#10;eG1sUEsFBgAAAAAGAAYAWQEAAAMGAAAAAA==&#10;">
                        <v:fill on="f" focussize="0,0"/>
                        <v:stroke weight="0.5pt" color="#000000 [3213]" joinstyle="round"/>
                        <v:imagedata o:title=""/>
                        <o:lock v:ext="edit" aspectratio="f"/>
                        <v:textbox>
                          <w:txbxContent>
                            <w:p w14:paraId="7A8C0076">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检验</w:t>
                              </w:r>
                            </w:p>
                          </w:txbxContent>
                        </v:textbox>
                      </v:rect>
                      <v:shape id="直接箭头连接符 40" o:spid="_x0000_s1026" o:spt="32" type="#_x0000_t32" style="position:absolute;left:1813560;top:411480;flip:x;height:263525;width:3175;" filled="f" stroked="t" coordsize="21600,21600" o:gfxdata="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8uEWvYAAAABQEAAA8AAAAAAAAAAQAgAAAAIgAAAGRycy9kb3ducmV2LnhtbFBLAQIUABQAAAAI&#10;AIdO4kAX9z2rJgIAACIEAAAOAAAAAAAAAAEAIAAAACcBAABkcnMvZTJvRG9jLnhtbFBLBQYAAAAA&#10;BgAGAFkBAAC/BQAAAAA=&#10;">
                        <v:fill on="f" focussize="0,0"/>
                        <v:stroke weight="0.5pt" color="#000000 [3213]" joinstyle="round" endarrow="open"/>
                        <v:imagedata o:title=""/>
                        <o:lock v:ext="edit" aspectratio="f"/>
                      </v:shape>
                      <v:shape id="直接箭头连接符 41" o:spid="_x0000_s1026" o:spt="32" type="#_x0000_t32" style="position:absolute;left:1813560;top:979805;height:247650;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jEetcA&#10;AAAFAQAADwAAAAAAAAABACAAAAAiAAAAZHJzL2Rvd25yZXYueG1sUEsBAhQAFAAAAAgAh07iQEAL&#10;ulMgAgAAFQQAAA4AAAAAAAAAAQAgAAAAJgEAAGRycy9lMm9Eb2MueG1sUEsFBgAAAAAGAAYAWQEA&#10;ALgFAAAAAA==&#10;">
                        <v:fill on="f" focussize="0,0"/>
                        <v:stroke weight="0.5pt" color="#000000 [3213]" joinstyle="round" endarrow="open"/>
                        <v:imagedata o:title=""/>
                        <o:lock v:ext="edit" aspectratio="f"/>
                      </v:shape>
                      <v:shape id="直接箭头连接符 42" o:spid="_x0000_s1026" o:spt="32" type="#_x0000_t32" style="position:absolute;left:1813560;top:1532255;height:247650;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gIxHrX&#10;AAAABQEAAA8AAAAAAAAAAQAgAAAAIgAAAGRycy9kb3ducmV2LnhtbFBLAQIUABQAAAAIAIdO4kBH&#10;6zLIIQIAABYEAAAOAAAAAAAAAAEAIAAAACYBAABkcnMvZTJvRG9jLnhtbFBLBQYAAAAABgAGAFkB&#10;AAC5BQAAAAA=&#10;">
                        <v:fill on="f" focussize="0,0"/>
                        <v:stroke weight="0.5pt" color="#000000 [3213]" joinstyle="round" endarrow="open"/>
                        <v:imagedata o:title=""/>
                        <o:lock v:ext="edit" aspectratio="f"/>
                      </v:shape>
                      <v:shape id="直接箭头连接符 44" o:spid="_x0000_s1026" o:spt="32" type="#_x0000_t32" style="position:absolute;left:1813560;top:2084705;height:238125;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gIxHrXAAAA&#10;BQEAAA8AAAAAAAAAAQAgAAAAIgAAAGRycy9kb3ducmV2LnhtbFBLAQIUABQAAAAIAIdO4kC4Baus&#10;HgIAABYEAAAOAAAAAAAAAAEAIAAAACYBAABkcnMvZTJvRG9jLnhtbFBLBQYAAAAABgAGAFkBAAC2&#10;BQAAAAA=&#10;">
                        <v:fill on="f" focussize="0,0"/>
                        <v:stroke weight="0.5pt" color="#000000 [3213]" joinstyle="round" endarrow="open"/>
                        <v:imagedata o:title=""/>
                        <o:lock v:ext="edit" aspectratio="f"/>
                      </v:shape>
                      <v:shape id="直接箭头连接符 45" o:spid="_x0000_s1026" o:spt="32" type="#_x0000_t32" style="position:absolute;left:1813560;top:3180080;height:247650;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4CMR6&#10;1wAAAAUBAAAPAAAAAAAAAAEAIAAAACIAAABkcnMvZG93bnJldi54bWxQSwECFAAUAAAACACHTuJA&#10;ne1e3CICAAAWBAAADgAAAAAAAAABACAAAAAmAQAAZHJzL2Uyb0RvYy54bWxQSwUGAAAAAAYABgBZ&#10;AQAAugUAAAAA&#10;">
                        <v:fill on="f" focussize="0,0"/>
                        <v:stroke weight="0.5pt" color="#000000 [3213]" joinstyle="round" endarrow="open"/>
                        <v:imagedata o:title=""/>
                        <o:lock v:ext="edit" aspectratio="f"/>
                      </v:shape>
                      <v:shape id="直接箭头连接符 46" o:spid="_x0000_s1026" o:spt="32" type="#_x0000_t32" style="position:absolute;left:1813560;top:3761105;height:200025;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jEetcA&#10;AAAFAQAADwAAAAAAAAABACAAAAAiAAAAZHJzL2Rvd25yZXYueG1sUEsBAhQAFAAAAAgAh07iQMlb&#10;k24gAgAAFgQAAA4AAAAAAAAAAQAgAAAAJgEAAGRycy9lMm9Eb2MueG1sUEsFBgAAAAAGAAYAWQEA&#10;ALgFAAAAAA==&#10;">
                        <v:fill on="f" focussize="0,0"/>
                        <v:stroke weight="0.5pt" color="#000000 [3213]" joinstyle="round" endarrow="open"/>
                        <v:imagedata o:title=""/>
                        <o:lock v:ext="edit" aspectratio="f"/>
                      </v:shape>
                      <v:rect id="矩形 47" o:spid="_x0000_s1026" o:spt="1" style="position:absolute;left:2818130;top:1227455;height:304800;width:781050;v-text-anchor:middle;" filled="f" stroked="t" coordsize="21600,21600" o:gfxdata="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3NFwdUAAAAFAQAADwAAAAAAAAABACAAAAAiAAAAZHJzL2Rvd25yZXYu&#10;eG1sUEsBAhQAFAAAAAgAh07iQL/QauxwAgAAygQAAA4AAAAAAAAAAQAgAAAAJAEAAGRycy9lMm9E&#10;b2MueG1sUEsFBgAAAAAGAAYAWQEAAAYGAAAAAA==&#10;">
                        <v:fill on="f" focussize="0,0"/>
                        <v:stroke weight="0.5pt" color="#000000 [3213]" joinstyle="round" dashstyle="dash"/>
                        <v:imagedata o:title=""/>
                        <o:lock v:ext="edit" aspectratio="f"/>
                        <v:textbox>
                          <w:txbxContent>
                            <w:p w14:paraId="710A571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G2-2</w:t>
                              </w:r>
                            </w:p>
                          </w:txbxContent>
                        </v:textbox>
                      </v:rect>
                      <v:rect id="矩形 51" o:spid="_x0000_s1026" o:spt="1" style="position:absolute;left:2837180;top:675005;height:304800;width:1209675;v-text-anchor:middle;" filled="f" stroked="t" coordsize="21600,21600" o:gfxdata="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3NFwdUAAAAFAQAADwAAAAAAAAABACAAAAAiAAAAZHJzL2Rvd25yZXYu&#10;eG1sUEsBAhQAFAAAAAgAh07iQI2dXOlwAgAAygQAAA4AAAAAAAAAAQAgAAAAJAEAAGRycy9lMm9E&#10;b2MueG1sUEsFBgAAAAAGAAYAWQEAAAYGAAAAAA==&#10;">
                        <v:fill on="f" focussize="0,0"/>
                        <v:stroke weight="0.5pt" color="#000000 [3213]" joinstyle="round" dashstyle="dash"/>
                        <v:imagedata o:title=""/>
                        <o:lock v:ext="edit" aspectratio="f"/>
                        <v:textbox>
                          <w:txbxContent>
                            <w:p w14:paraId="07FD311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G2-1、S2-1、S2-2</w:t>
                              </w:r>
                            </w:p>
                          </w:txbxContent>
                        </v:textbox>
                      </v:rect>
                      <v:rect id="矩形 54" o:spid="_x0000_s1026" o:spt="1" style="position:absolute;left:2827655;top:1779905;height:304800;width:781050;v-text-anchor:middle;" filled="f" stroked="t" coordsize="21600,21600" o:gfxdata="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dzRcHVAAAABQEAAA8AAAAAAAAAAQAgAAAAIgAAAGRycy9kb3ducmV2&#10;LnhtbFBLAQIUABQAAAAIAIdO4kCgBy1NcQIAAMoEAAAOAAAAAAAAAAEAIAAAACQBAABkcnMvZTJv&#10;RG9jLnhtbFBLBQYAAAAABgAGAFkBAAAHBgAAAAA=&#10;">
                        <v:fill on="f" focussize="0,0"/>
                        <v:stroke weight="0.5pt" color="#000000 [3213]" joinstyle="round" dashstyle="dash"/>
                        <v:imagedata o:title=""/>
                        <o:lock v:ext="edit" aspectratio="f"/>
                        <v:textbox>
                          <w:txbxContent>
                            <w:p w14:paraId="3EE36C0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S2-3</w:t>
                              </w:r>
                            </w:p>
                          </w:txbxContent>
                        </v:textbox>
                      </v:rect>
                      <v:shape id="直接箭头连接符 55" o:spid="_x0000_s1026" o:spt="32" type="#_x0000_t32" style="position:absolute;left:2294255;top:827405;height:0;width:542925;" filled="f" stroked="t" coordsize="21600,21600" o:gfxdata="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CGmctQA&#10;AAAFAQAADwAAAAAAAAABACAAAAAiAAAAZHJzL2Rvd25yZXYueG1sUEsBAhQAFAAAAAgAh07iQJtF&#10;fG0jAgAAFAQAAA4AAAAAAAAAAQAgAAAAIwEAAGRycy9lMm9Eb2MueG1sUEsFBgAAAAAGAAYAWQEA&#10;ALgFAAAAAA==&#10;">
                        <v:fill on="f" focussize="0,0"/>
                        <v:stroke weight="0.5pt" color="#000000 [3213]" joinstyle="round" dashstyle="dash" endarrow="open"/>
                        <v:imagedata o:title=""/>
                        <o:lock v:ext="edit" aspectratio="f"/>
                      </v:shape>
                      <v:shape id="直接箭头连接符 56" o:spid="_x0000_s1026" o:spt="32" type="#_x0000_t32" style="position:absolute;left:2294255;top:1379855;height:0;width:523875;" filled="f" stroked="t" coordsize="21600,21600" o:gfxdata="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QhpnLU&#10;AAAABQEAAA8AAAAAAAAAAQAgAAAAIgAAAGRycy9kb3ducmV2LnhtbFBLAQIUABQAAAAIAIdO4kCl&#10;D5w8JAIAABUEAAAOAAAAAAAAAAEAIAAAACMBAABkcnMvZTJvRG9jLnhtbFBLBQYAAAAABgAGAFkB&#10;AAC5BQAAAAA=&#10;">
                        <v:fill on="f" focussize="0,0"/>
                        <v:stroke weight="0.5pt" color="#000000 [3213]" joinstyle="round" dashstyle="dash" endarrow="open"/>
                        <v:imagedata o:title=""/>
                        <o:lock v:ext="edit" aspectratio="f"/>
                      </v:shape>
                      <v:shape id="直接箭头连接符 57" o:spid="_x0000_s1026" o:spt="32" type="#_x0000_t32" style="position:absolute;left:2294255;top:1932305;height:0;width:533400;" filled="f" stroked="t" coordsize="21600,21600" o:gfxdata="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QhpnLU&#10;AAAABQEAAA8AAAAAAAAAAQAgAAAAIgAAAGRycy9kb3ducmV2LnhtbFBLAQIUABQAAAAIAIdO4kC1&#10;YOSMJAIAABUEAAAOAAAAAAAAAAEAIAAAACMBAABkcnMvZTJvRG9jLnhtbFBLBQYAAAAABgAGAFkB&#10;AAC5BQAAAAA=&#10;">
                        <v:fill on="f" focussize="0,0"/>
                        <v:stroke weight="0.5pt" color="#000000 [3213]" joinstyle="round" dashstyle="dash" endarrow="open"/>
                        <v:imagedata o:title=""/>
                        <o:lock v:ext="edit" aspectratio="f"/>
                      </v:shape>
                      <v:rect id="矩形 39" o:spid="_x0000_s1026" o:spt="1" style="position:absolute;left:1332230;top:4513580;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7Q9T71AAAAAUBAAAPAAAAAAAAAAEAIAAAACIAAABkcnMvZG93bnJldi54&#10;bWxQSwECFAAUAAAACACHTuJAwh6HjXACAADLBAAADgAAAAAAAAABACAAAAAjAQAAZHJzL2Uyb0Rv&#10;Yy54bWxQSwUGAAAAAAYABgBZAQAABQYAAAAA&#10;">
                        <v:fill on="f" focussize="0,0"/>
                        <v:stroke weight="0.5pt" color="#000000 [3213]" joinstyle="round"/>
                        <v:imagedata o:title=""/>
                        <o:lock v:ext="edit" aspectratio="f"/>
                        <v:textbox>
                          <w:txbxContent>
                            <w:p w14:paraId="2845D740">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入库</w:t>
                              </w:r>
                            </w:p>
                          </w:txbxContent>
                        </v:textbox>
                      </v:rect>
                      <v:shape id="_x0000_s1026" o:spid="_x0000_s1026" o:spt="32" type="#_x0000_t32" style="position:absolute;left:1813560;top:4265930;height:247650;width:0;" filled="f" stroked="t" coordsize="21600,21600" o:gfxdata="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gIxHrX&#10;AAAABQEAAA8AAAAAAAAAAQAgAAAAIgAAAGRycy9kb3ducmV2LnhtbFBLAQIUABQAAAAIAIdO4kCm&#10;qbM5IQIAABYEAAAOAAAAAAAAAAEAIAAAACYBAABkcnMvZTJvRG9jLnhtbFBLBQYAAAAABgAGAFkB&#10;AAC5BQAAAAA=&#10;">
                        <v:fill on="f" focussize="0,0"/>
                        <v:stroke weight="0.5pt" color="#000000 [3213]" joinstyle="round" endarrow="open"/>
                        <v:imagedata o:title=""/>
                        <o:lock v:ext="edit" aspectratio="f"/>
                      </v:shape>
                      <v:rect id="矩形 54" o:spid="_x0000_s1026" o:spt="1" style="position:absolute;left:2846705;top:3418205;height:304800;width:1189990;v-text-anchor:middle;" filled="f" stroked="t" coordsize="21600,21600" o:gfxdata="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3NFwdUAAAAFAQAADwAAAAAAAAABACAAAAAiAAAAZHJzL2Rvd25yZXYu&#10;eG1sUEsBAhQAFAAAAAgAh07iQMF1G25wAgAAywQAAA4AAAAAAAAAAQAgAAAAJAEAAGRycy9lMm9E&#10;b2MueG1sUEsFBgAAAAAGAAYAWQEAAAYGAAAAAA==&#10;">
                        <v:fill on="f" focussize="0,0"/>
                        <v:stroke weight="0.5pt" color="#000000 [3213]" joinstyle="round" dashstyle="dash"/>
                        <v:imagedata o:title=""/>
                        <o:lock v:ext="edit" aspectratio="f"/>
                        <v:textbox>
                          <w:txbxContent>
                            <w:p w14:paraId="153979CB">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G2-3、S2-4、S2-5</w:t>
                              </w:r>
                            </w:p>
                          </w:txbxContent>
                        </v:textbox>
                      </v:rect>
                      <v:shape id="_x0000_s1026" o:spid="_x0000_s1026" o:spt="32" type="#_x0000_t32" style="position:absolute;left:2294255;top:3570605;height:0;width:552450;" filled="f" stroked="t" coordsize="21600,21600" o:gfxdata="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CGmctQA&#10;AAAFAQAADwAAAAAAAAABACAAAAAiAAAAZHJzL2Rvd25yZXYueG1sUEsBAhQAFAAAAAgAh07iQAtH&#10;gEQjAgAAFQQAAA4AAAAAAAAAAQAgAAAAIwEAAGRycy9lMm9Eb2MueG1sUEsFBgAAAAAGAAYAWQEA&#10;ALgFAAAAAA==&#10;">
                        <v:fill on="f" focussize="0,0"/>
                        <v:stroke weight="0.5pt" color="#000000 [3213]" joinstyle="round" dashstyle="dash" endarrow="open"/>
                        <v:imagedata o:title=""/>
                        <o:lock v:ext="edit" aspectratio="f"/>
                      </v:shape>
                      <v:rect id="矩形 37" o:spid="_x0000_s1026" o:spt="1" style="position:absolute;left:1332230;top:2303780;height:304800;width:962025;v-text-anchor:middle;" filled="f" stroked="t" coordsize="21600,21600" o:gfxdata="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Q9T71AAAAAUBAAAPAAAAAAAAAAEAIAAAACIAAABkcnMvZG93bnJldi54bWxQ&#10;SwECFAAUAAAACACHTuJAgkwlbG0CAADKBAAADgAAAAAAAAABACAAAAAjAQAAZHJzL2Uyb0RvYy54&#10;bWxQSwUGAAAAAAYABgBZAQAAAgYAAAAA&#10;">
                        <v:fill on="f" focussize="0,0"/>
                        <v:stroke weight="0.5pt" color="#000000 [3213]" joinstyle="round"/>
                        <v:imagedata o:title=""/>
                        <o:lock v:ext="edit" aspectratio="f"/>
                        <v:textbox>
                          <w:txbxContent>
                            <w:p w14:paraId="7D54B44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热处理</w:t>
                              </w:r>
                            </w:p>
                          </w:txbxContent>
                        </v:textbox>
                      </v:rect>
                      <v:shape id="_x0000_s1026" o:spid="_x0000_s1026" o:spt="32" type="#_x0000_t32" style="position:absolute;left:1813560;top:2608580;height:247650;width:0;" filled="f" stroked="t" coordsize="21600,21600" o:gfxdata="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smYtUAAAAF&#10;AQAADwAAAAAAAAABACAAAAAiAAAAZHJzL2Rvd25yZXYueG1sUEsBAhQAFAAAAAgAh07iQHEEt04f&#10;AgAAEwQAAA4AAAAAAAAAAQAgAAAAJAEAAGRycy9lMm9Eb2MueG1sUEsFBgAAAAAGAAYAWQEAALUF&#10;AAAAAA==&#10;">
                        <v:fill on="f" focussize="0,0"/>
                        <v:stroke color="#000000 [3213]" joinstyle="round" endarrow="open"/>
                        <v:imagedata o:title=""/>
                        <o:lock v:ext="edit" aspectratio="f"/>
                      </v:shape>
                      <w10:wrap type="none"/>
                      <w10:anchorlock/>
                    </v:group>
                  </w:pict>
                </mc:Fallback>
              </mc:AlternateContent>
            </w:r>
          </w:p>
          <w:p w14:paraId="11C3F78B">
            <w:pPr>
              <w:spacing w:line="360" w:lineRule="auto"/>
              <w:ind w:firstLine="422" w:firstLineChars="200"/>
              <w:jc w:val="center"/>
              <w:rPr>
                <w:rFonts w:hint="default" w:eastAsia="宋体"/>
                <w:b/>
                <w:bCs/>
                <w:color w:val="auto"/>
                <w:sz w:val="21"/>
                <w:szCs w:val="21"/>
                <w:lang w:val="en-US" w:eastAsia="zh-CN"/>
              </w:rPr>
            </w:pPr>
            <w:r>
              <w:rPr>
                <w:rFonts w:hint="eastAsia"/>
                <w:b/>
                <w:bCs/>
                <w:color w:val="auto"/>
                <w:sz w:val="21"/>
                <w:szCs w:val="21"/>
                <w:lang w:val="en-US" w:eastAsia="zh-CN"/>
              </w:rPr>
              <w:t>图2-2 自由锻工艺流程及产污环节图</w:t>
            </w:r>
          </w:p>
          <w:p w14:paraId="309B5D08">
            <w:pPr>
              <w:spacing w:line="360" w:lineRule="auto"/>
              <w:ind w:firstLine="422" w:firstLineChars="200"/>
              <w:rPr>
                <w:b/>
                <w:bCs/>
                <w:color w:val="auto"/>
                <w:sz w:val="21"/>
                <w:szCs w:val="21"/>
              </w:rPr>
            </w:pPr>
            <w:r>
              <w:rPr>
                <w:b/>
                <w:bCs/>
                <w:color w:val="auto"/>
                <w:sz w:val="21"/>
                <w:szCs w:val="21"/>
              </w:rPr>
              <w:t>生产工艺流程及产污环节简述</w:t>
            </w:r>
          </w:p>
          <w:p w14:paraId="4396F46C">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原料为元钢、方钢、钢锭。</w:t>
            </w:r>
          </w:p>
          <w:p w14:paraId="0EBBD030">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自动带锯：根据工艺要求将原料按重量锯切，去多余的帽口和水口，自动带锯锯床使用切削液，设备内置切削液循环使用系统，切削液不与原料接触，该工序产生废边角料S2-1，废切削液S2-2、自动带锯废气G2-1。</w:t>
            </w:r>
          </w:p>
          <w:p w14:paraId="4739212E">
            <w:pPr>
              <w:spacing w:line="360" w:lineRule="auto"/>
              <w:ind w:firstLine="420" w:firstLineChars="200"/>
              <w:rPr>
                <w:rFonts w:hint="default" w:cs="Times New Roman"/>
                <w:b w:val="0"/>
                <w:bCs/>
                <w:color w:val="auto"/>
                <w:sz w:val="21"/>
                <w:szCs w:val="21"/>
                <w:lang w:val="en-US" w:eastAsia="zh-CN"/>
              </w:rPr>
            </w:pPr>
            <w:r>
              <w:rPr>
                <w:rFonts w:hint="eastAsia" w:cs="Times New Roman"/>
                <w:b w:val="0"/>
                <w:bCs/>
                <w:color w:val="auto"/>
                <w:sz w:val="21"/>
                <w:szCs w:val="21"/>
                <w:lang w:val="en-US" w:eastAsia="zh-CN"/>
              </w:rPr>
              <w:t>（2）加热：将自动带锯处理过的原料放入天然气加热炉中加热，天然气加热炉温度控制在1230-1260度。该工序产生天然气燃烧废气G2-2。</w:t>
            </w:r>
          </w:p>
          <w:p w14:paraId="45C36737">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（3）锻造：锻造温度控制在1180-1240度，使用专用机械抓手将加热过后的原材料放到铁毡上进行锻造，锻造设备为空气锤，最后精锻成型，该工序产生固废氧化皮S2-3，由合作钢厂回收。</w:t>
            </w:r>
          </w:p>
          <w:p w14:paraId="1CC4AB2B">
            <w:pPr>
              <w:spacing w:line="360" w:lineRule="auto"/>
              <w:ind w:firstLine="420" w:firstLineChars="200"/>
              <w:rPr>
                <w:rFonts w:hint="eastAsia"/>
                <w:color w:val="auto"/>
                <w:lang w:val="en-US" w:eastAsia="zh-CN"/>
              </w:rPr>
            </w:pPr>
            <w:r>
              <w:rPr>
                <w:rFonts w:hint="eastAsia" w:cs="Times New Roman"/>
                <w:b w:val="0"/>
                <w:bCs/>
                <w:color w:val="auto"/>
                <w:sz w:val="21"/>
                <w:szCs w:val="21"/>
                <w:lang w:val="en-US" w:eastAsia="zh-CN"/>
              </w:rPr>
              <w:t>（4）热处理：若客户订单要求进行热处理，则将锻造后的锻件放入电阻炉中进行加热处理，加热温度在800℃左右，具体加热温度及时间根据订单要求进行，热处理的作用是提高锻件的硬度和耐磨度，改善锻件工艺性能。如果客户未要求进行热处理，则锻造好的锻件直接进行冷却。</w:t>
            </w:r>
          </w:p>
          <w:p w14:paraId="755F9141">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（5）冷却： 根据订单要求，部分产品室温冷却，部分产品锻造后下水冷却，冷却水池30m</w:t>
            </w:r>
            <w:r>
              <w:rPr>
                <w:rFonts w:hint="eastAsia" w:cs="Times New Roman"/>
                <w:b w:val="0"/>
                <w:bCs/>
                <w:color w:val="auto"/>
                <w:sz w:val="21"/>
                <w:szCs w:val="21"/>
                <w:vertAlign w:val="superscript"/>
                <w:lang w:val="en-US" w:eastAsia="zh-CN"/>
              </w:rPr>
              <w:t>3</w:t>
            </w:r>
            <w:r>
              <w:rPr>
                <w:rFonts w:hint="eastAsia" w:cs="Times New Roman"/>
                <w:b w:val="0"/>
                <w:bCs/>
                <w:color w:val="auto"/>
                <w:sz w:val="21"/>
                <w:szCs w:val="21"/>
                <w:lang w:val="en-US" w:eastAsia="zh-CN"/>
              </w:rPr>
              <w:t>，冷却水循环使用，所有产品冷却至400度时移走。</w:t>
            </w:r>
          </w:p>
          <w:p w14:paraId="2B71F288">
            <w:pPr>
              <w:spacing w:line="360" w:lineRule="auto"/>
              <w:ind w:firstLine="420" w:firstLineChars="200"/>
              <w:rPr>
                <w:rFonts w:hint="default" w:cs="Times New Roman"/>
                <w:b w:val="0"/>
                <w:bCs/>
                <w:color w:val="auto"/>
                <w:sz w:val="21"/>
                <w:szCs w:val="21"/>
                <w:lang w:val="en-US" w:eastAsia="zh-CN"/>
              </w:rPr>
            </w:pPr>
            <w:r>
              <w:rPr>
                <w:rFonts w:hint="eastAsia" w:cs="Times New Roman"/>
                <w:b w:val="0"/>
                <w:bCs/>
                <w:color w:val="auto"/>
                <w:sz w:val="21"/>
                <w:szCs w:val="21"/>
                <w:lang w:val="en-US" w:eastAsia="zh-CN"/>
              </w:rPr>
              <w:t>（6）精加工：根据订单要求，部分产品需要进行机加工，</w:t>
            </w:r>
            <w:r>
              <w:rPr>
                <w:rFonts w:hint="eastAsia" w:ascii="Times New Roman" w:hAnsi="Times New Roman" w:eastAsia="宋体" w:cs="Times New Roman"/>
                <w:b w:val="0"/>
                <w:bCs w:val="0"/>
                <w:color w:val="auto"/>
                <w:sz w:val="21"/>
                <w:szCs w:val="21"/>
                <w:lang w:val="en-US" w:eastAsia="zh-CN"/>
              </w:rPr>
              <w:t>机加工过程中使用切削液，启到抑尘作用，故无金属颗粒物产生，</w:t>
            </w:r>
            <w:r>
              <w:rPr>
                <w:rFonts w:hint="eastAsia" w:cs="Times New Roman"/>
                <w:b w:val="0"/>
                <w:bCs/>
                <w:color w:val="auto"/>
                <w:sz w:val="21"/>
                <w:szCs w:val="21"/>
                <w:lang w:val="en-US" w:eastAsia="zh-CN"/>
              </w:rPr>
              <w:t>机加工工序产生固废含油金属屑S2-4，废切削液S2-5、精加工废气G2-3。</w:t>
            </w:r>
          </w:p>
          <w:p w14:paraId="31ED8567">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（7）检验： 使用卡尺检验尺寸，超声波探伤检验产品质量，</w:t>
            </w:r>
            <w:r>
              <w:rPr>
                <w:rFonts w:hint="eastAsia" w:ascii="Times New Roman" w:hAnsi="Times New Roman" w:cs="Times New Roman"/>
                <w:b w:val="0"/>
                <w:bCs w:val="0"/>
                <w:color w:val="auto"/>
                <w:sz w:val="21"/>
                <w:szCs w:val="21"/>
                <w:lang w:val="en-US" w:eastAsia="zh-CN"/>
              </w:rPr>
              <w:t>其原理为：利用超声能透入金属材料的深处，并由一截面进入另一截面时，在界面边缘发生反射的特点来检查零件缺陷的一种方法。当超声波束自零件表面由探头通至金属内部，遇到缺陷与零件底面时就分别发生反射波，在荧光屏上形成脉冲波形，可以通过这些脉冲波形来判断缺陷位置和大小</w:t>
            </w:r>
            <w:r>
              <w:rPr>
                <w:rFonts w:hint="eastAsia" w:cs="Times New Roman"/>
                <w:b w:val="0"/>
                <w:bCs/>
                <w:color w:val="auto"/>
                <w:sz w:val="21"/>
                <w:szCs w:val="21"/>
                <w:lang w:val="en-US" w:eastAsia="zh-CN"/>
              </w:rPr>
              <w:t>。</w:t>
            </w:r>
          </w:p>
          <w:p w14:paraId="1D882787">
            <w:pPr>
              <w:spacing w:line="360" w:lineRule="auto"/>
              <w:ind w:firstLine="420" w:firstLineChars="200"/>
              <w:rPr>
                <w:rFonts w:hint="eastAsia" w:cs="Times New Roman"/>
                <w:b w:val="0"/>
                <w:bCs/>
                <w:color w:val="auto"/>
                <w:sz w:val="21"/>
                <w:szCs w:val="21"/>
                <w:lang w:val="en-US" w:eastAsia="zh-CN"/>
              </w:rPr>
            </w:pPr>
            <w:r>
              <w:rPr>
                <w:rFonts w:hint="eastAsia" w:cs="Times New Roman"/>
                <w:b w:val="0"/>
                <w:bCs/>
                <w:color w:val="auto"/>
                <w:sz w:val="21"/>
                <w:szCs w:val="21"/>
                <w:lang w:val="en-US" w:eastAsia="zh-CN"/>
              </w:rPr>
              <w:t>（8）入库： 合格产品按要求入库存放。</w:t>
            </w:r>
          </w:p>
          <w:p w14:paraId="48D0E319">
            <w:pPr>
              <w:spacing w:line="360" w:lineRule="auto"/>
              <w:ind w:firstLine="422" w:firstLineChars="200"/>
              <w:rPr>
                <w:b/>
                <w:bCs/>
                <w:color w:val="auto"/>
                <w:sz w:val="21"/>
                <w:szCs w:val="21"/>
              </w:rPr>
            </w:pPr>
            <w:r>
              <w:rPr>
                <w:b/>
                <w:bCs/>
                <w:color w:val="auto"/>
                <w:sz w:val="21"/>
                <w:szCs w:val="21"/>
              </w:rPr>
              <w:t>2、产排污环节</w:t>
            </w:r>
          </w:p>
          <w:p w14:paraId="017C42F1">
            <w:pPr>
              <w:pStyle w:val="11"/>
              <w:spacing w:line="360" w:lineRule="auto"/>
              <w:ind w:firstLine="480"/>
              <w:rPr>
                <w:color w:val="auto"/>
                <w:sz w:val="21"/>
                <w:szCs w:val="21"/>
                <w:lang w:val="en-US" w:eastAsia="zh-CN"/>
              </w:rPr>
            </w:pPr>
            <w:r>
              <w:rPr>
                <w:color w:val="auto"/>
                <w:sz w:val="21"/>
                <w:szCs w:val="21"/>
                <w:lang w:val="en-US" w:eastAsia="zh-CN"/>
              </w:rPr>
              <w:t>项目建成后，产污环节见</w:t>
            </w:r>
            <w:r>
              <w:rPr>
                <w:rFonts w:hint="eastAsia"/>
                <w:color w:val="auto"/>
                <w:sz w:val="21"/>
                <w:szCs w:val="21"/>
                <w:lang w:val="en-US" w:eastAsia="zh-CN"/>
              </w:rPr>
              <w:t>下表</w:t>
            </w:r>
            <w:r>
              <w:rPr>
                <w:color w:val="auto"/>
                <w:sz w:val="21"/>
                <w:szCs w:val="21"/>
                <w:lang w:val="en-US" w:eastAsia="zh-CN"/>
              </w:rPr>
              <w:t>。</w:t>
            </w:r>
          </w:p>
          <w:p w14:paraId="7EE16404">
            <w:pPr>
              <w:pStyle w:val="218"/>
              <w:adjustRightInd w:val="0"/>
              <w:snapToGrid w:val="0"/>
              <w:jc w:val="center"/>
              <w:outlineLvl w:val="9"/>
              <w:rPr>
                <w:rFonts w:ascii="Times New Roman" w:hAnsi="Times New Roman"/>
                <w:color w:val="auto"/>
                <w:sz w:val="21"/>
                <w:szCs w:val="21"/>
                <w:lang w:eastAsia="zh-CN"/>
              </w:rPr>
            </w:pPr>
            <w:r>
              <w:rPr>
                <w:rFonts w:ascii="Times New Roman" w:hAnsi="Times New Roman"/>
                <w:b/>
                <w:bCs w:val="0"/>
                <w:color w:val="auto"/>
                <w:sz w:val="21"/>
                <w:szCs w:val="21"/>
                <w:lang w:eastAsia="zh-CN"/>
              </w:rPr>
              <w:t>表2-</w:t>
            </w:r>
            <w:r>
              <w:rPr>
                <w:rFonts w:hint="eastAsia" w:ascii="Times New Roman" w:hAnsi="Times New Roman"/>
                <w:b/>
                <w:bCs w:val="0"/>
                <w:color w:val="auto"/>
                <w:sz w:val="21"/>
                <w:szCs w:val="21"/>
                <w:lang w:val="en-US" w:eastAsia="zh-CN"/>
              </w:rPr>
              <w:t>6</w:t>
            </w:r>
            <w:r>
              <w:rPr>
                <w:rFonts w:ascii="Times New Roman" w:hAnsi="Times New Roman"/>
                <w:b/>
                <w:bCs w:val="0"/>
                <w:color w:val="auto"/>
                <w:sz w:val="21"/>
                <w:szCs w:val="21"/>
                <w:lang w:eastAsia="zh-CN"/>
              </w:rPr>
              <w:t xml:space="preserve"> 产污环节一览表</w:t>
            </w:r>
          </w:p>
          <w:tbl>
            <w:tblPr>
              <w:tblStyle w:val="4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73"/>
              <w:gridCol w:w="1478"/>
              <w:gridCol w:w="1478"/>
              <w:gridCol w:w="1921"/>
              <w:gridCol w:w="2422"/>
            </w:tblGrid>
            <w:tr w14:paraId="3E6B64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noWrap w:val="0"/>
                  <w:vAlign w:val="center"/>
                </w:tcPr>
                <w:p w14:paraId="2F9E9E77">
                  <w:pPr>
                    <w:pStyle w:val="143"/>
                    <w:adjustRightInd w:val="0"/>
                    <w:snapToGrid w:val="0"/>
                    <w:spacing w:line="240" w:lineRule="exact"/>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污染类型</w:t>
                  </w:r>
                </w:p>
              </w:tc>
              <w:tc>
                <w:tcPr>
                  <w:tcW w:w="893" w:type="pct"/>
                  <w:noWrap w:val="0"/>
                  <w:vAlign w:val="center"/>
                </w:tcPr>
                <w:p w14:paraId="76B3BF18">
                  <w:pPr>
                    <w:pStyle w:val="143"/>
                    <w:adjustRightInd w:val="0"/>
                    <w:snapToGrid w:val="0"/>
                    <w:spacing w:line="240" w:lineRule="exact"/>
                    <w:jc w:val="center"/>
                    <w:rPr>
                      <w:rFonts w:hint="eastAsia" w:ascii="Times New Roman" w:hAnsi="Times New Roman" w:eastAsia="宋体" w:cs="Times New Roman"/>
                      <w:b/>
                      <w:snapToGrid w:val="0"/>
                      <w:color w:val="auto"/>
                      <w:sz w:val="21"/>
                      <w:szCs w:val="21"/>
                      <w:lang w:val="en-US" w:eastAsia="zh-CN"/>
                    </w:rPr>
                  </w:pPr>
                  <w:r>
                    <w:rPr>
                      <w:rFonts w:hint="eastAsia" w:ascii="Times New Roman" w:hAnsi="Times New Roman" w:cs="Times New Roman"/>
                      <w:b/>
                      <w:snapToGrid w:val="0"/>
                      <w:color w:val="auto"/>
                      <w:sz w:val="21"/>
                      <w:szCs w:val="21"/>
                      <w:lang w:val="en-US" w:eastAsia="zh-CN"/>
                    </w:rPr>
                    <w:t>编号</w:t>
                  </w:r>
                </w:p>
              </w:tc>
              <w:tc>
                <w:tcPr>
                  <w:tcW w:w="893" w:type="pct"/>
                  <w:noWrap w:val="0"/>
                  <w:vAlign w:val="center"/>
                </w:tcPr>
                <w:p w14:paraId="6009FB21">
                  <w:pPr>
                    <w:pStyle w:val="143"/>
                    <w:adjustRightInd w:val="0"/>
                    <w:snapToGrid w:val="0"/>
                    <w:spacing w:line="240" w:lineRule="exact"/>
                    <w:jc w:val="center"/>
                    <w:rPr>
                      <w:rFonts w:ascii="Times New Roman" w:hAnsi="Times New Roman" w:cs="Times New Roman"/>
                      <w:b/>
                      <w:snapToGrid w:val="0"/>
                      <w:color w:val="auto"/>
                      <w:sz w:val="21"/>
                      <w:szCs w:val="21"/>
                    </w:rPr>
                  </w:pPr>
                  <w:r>
                    <w:rPr>
                      <w:rFonts w:ascii="Times New Roman" w:hAnsi="Times New Roman" w:cs="Times New Roman"/>
                      <w:b/>
                      <w:snapToGrid w:val="0"/>
                      <w:color w:val="auto"/>
                      <w:sz w:val="21"/>
                      <w:szCs w:val="21"/>
                    </w:rPr>
                    <w:t>产生环节</w:t>
                  </w:r>
                </w:p>
              </w:tc>
              <w:tc>
                <w:tcPr>
                  <w:tcW w:w="1161" w:type="pct"/>
                  <w:noWrap w:val="0"/>
                  <w:vAlign w:val="center"/>
                </w:tcPr>
                <w:p w14:paraId="40060AAC">
                  <w:pPr>
                    <w:pStyle w:val="143"/>
                    <w:adjustRightInd w:val="0"/>
                    <w:snapToGrid w:val="0"/>
                    <w:spacing w:line="240" w:lineRule="exact"/>
                    <w:jc w:val="center"/>
                    <w:rPr>
                      <w:rFonts w:ascii="Times New Roman" w:hAnsi="Times New Roman" w:cs="Times New Roman"/>
                      <w:b/>
                      <w:snapToGrid w:val="0"/>
                      <w:color w:val="auto"/>
                      <w:sz w:val="21"/>
                      <w:szCs w:val="21"/>
                    </w:rPr>
                  </w:pPr>
                  <w:r>
                    <w:rPr>
                      <w:rFonts w:ascii="Times New Roman" w:hAnsi="Times New Roman" w:cs="Times New Roman"/>
                      <w:b/>
                      <w:snapToGrid w:val="0"/>
                      <w:color w:val="auto"/>
                      <w:sz w:val="21"/>
                      <w:szCs w:val="21"/>
                    </w:rPr>
                    <w:t>污染物名称</w:t>
                  </w:r>
                </w:p>
              </w:tc>
              <w:tc>
                <w:tcPr>
                  <w:tcW w:w="1463" w:type="pct"/>
                  <w:noWrap w:val="0"/>
                  <w:vAlign w:val="center"/>
                </w:tcPr>
                <w:p w14:paraId="50FABA9B">
                  <w:pPr>
                    <w:pStyle w:val="143"/>
                    <w:adjustRightInd w:val="0"/>
                    <w:snapToGrid w:val="0"/>
                    <w:spacing w:line="240" w:lineRule="exact"/>
                    <w:jc w:val="center"/>
                    <w:rPr>
                      <w:rFonts w:ascii="Times New Roman" w:hAnsi="Times New Roman" w:cs="Times New Roman"/>
                      <w:b/>
                      <w:snapToGrid w:val="0"/>
                      <w:color w:val="auto"/>
                      <w:sz w:val="21"/>
                      <w:szCs w:val="21"/>
                    </w:rPr>
                  </w:pPr>
                  <w:r>
                    <w:rPr>
                      <w:rFonts w:ascii="Times New Roman" w:hAnsi="Times New Roman" w:cs="Times New Roman"/>
                      <w:b/>
                      <w:snapToGrid w:val="0"/>
                      <w:color w:val="auto"/>
                      <w:sz w:val="21"/>
                      <w:szCs w:val="21"/>
                    </w:rPr>
                    <w:t>防治措施</w:t>
                  </w:r>
                </w:p>
              </w:tc>
            </w:tr>
            <w:tr w14:paraId="2E3514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588" w:type="pct"/>
                  <w:vMerge w:val="restart"/>
                  <w:noWrap w:val="0"/>
                  <w:vAlign w:val="center"/>
                </w:tcPr>
                <w:p w14:paraId="74B92E65">
                  <w:pPr>
                    <w:pStyle w:val="143"/>
                    <w:adjustRightInd w:val="0"/>
                    <w:snapToGrid w:val="0"/>
                    <w:spacing w:line="240" w:lineRule="exact"/>
                    <w:jc w:val="center"/>
                    <w:rPr>
                      <w:rFonts w:hint="eastAsia"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废气</w:t>
                  </w:r>
                </w:p>
              </w:tc>
              <w:tc>
                <w:tcPr>
                  <w:tcW w:w="893" w:type="pct"/>
                  <w:noWrap w:val="0"/>
                  <w:vAlign w:val="center"/>
                </w:tcPr>
                <w:p w14:paraId="268C5D48">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G1-1、G2-1</w:t>
                  </w:r>
                </w:p>
              </w:tc>
              <w:tc>
                <w:tcPr>
                  <w:tcW w:w="893" w:type="pct"/>
                  <w:noWrap w:val="0"/>
                  <w:vAlign w:val="center"/>
                </w:tcPr>
                <w:p w14:paraId="7DCBF65B">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自动带锯</w:t>
                  </w:r>
                </w:p>
              </w:tc>
              <w:tc>
                <w:tcPr>
                  <w:tcW w:w="1161" w:type="pct"/>
                  <w:noWrap w:val="0"/>
                  <w:vAlign w:val="center"/>
                </w:tcPr>
                <w:p w14:paraId="2887F6B8">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非甲烷总烃</w:t>
                  </w:r>
                </w:p>
              </w:tc>
              <w:tc>
                <w:tcPr>
                  <w:tcW w:w="1463" w:type="pct"/>
                  <w:noWrap w:val="0"/>
                  <w:vAlign w:val="center"/>
                </w:tcPr>
                <w:p w14:paraId="5EF90E18">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无组织</w:t>
                  </w:r>
                </w:p>
              </w:tc>
            </w:tr>
            <w:tr w14:paraId="0B4C9D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588" w:type="pct"/>
                  <w:vMerge w:val="continue"/>
                  <w:noWrap w:val="0"/>
                  <w:vAlign w:val="center"/>
                </w:tcPr>
                <w:p w14:paraId="38476E74">
                  <w:pPr>
                    <w:pStyle w:val="143"/>
                    <w:adjustRightInd w:val="0"/>
                    <w:snapToGrid w:val="0"/>
                    <w:spacing w:line="240" w:lineRule="exact"/>
                    <w:jc w:val="center"/>
                    <w:rPr>
                      <w:rFonts w:hint="eastAsia" w:ascii="Times New Roman" w:hAnsi="Times New Roman" w:cs="Times New Roman"/>
                      <w:snapToGrid w:val="0"/>
                      <w:color w:val="auto"/>
                      <w:sz w:val="21"/>
                      <w:szCs w:val="21"/>
                      <w:lang w:val="en-US" w:eastAsia="zh-CN"/>
                    </w:rPr>
                  </w:pPr>
                </w:p>
              </w:tc>
              <w:tc>
                <w:tcPr>
                  <w:tcW w:w="893" w:type="pct"/>
                  <w:noWrap w:val="0"/>
                  <w:vAlign w:val="center"/>
                </w:tcPr>
                <w:p w14:paraId="1ADF270E">
                  <w:pPr>
                    <w:pStyle w:val="143"/>
                    <w:adjustRightInd w:val="0"/>
                    <w:snapToGrid w:val="0"/>
                    <w:spacing w:line="240" w:lineRule="auto"/>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G1-2、G2-2</w:t>
                  </w:r>
                </w:p>
              </w:tc>
              <w:tc>
                <w:tcPr>
                  <w:tcW w:w="893" w:type="pct"/>
                  <w:noWrap w:val="0"/>
                  <w:vAlign w:val="center"/>
                </w:tcPr>
                <w:p w14:paraId="71097DC2">
                  <w:pPr>
                    <w:pStyle w:val="143"/>
                    <w:adjustRightInd w:val="0"/>
                    <w:snapToGrid w:val="0"/>
                    <w:spacing w:line="240" w:lineRule="auto"/>
                    <w:ind w:left="105" w:leftChars="50"/>
                    <w:jc w:val="center"/>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cs="Times New Roman"/>
                      <w:snapToGrid w:val="0"/>
                      <w:color w:val="auto"/>
                      <w:sz w:val="21"/>
                      <w:szCs w:val="21"/>
                      <w:lang w:val="en-US" w:eastAsia="zh-CN"/>
                    </w:rPr>
                    <w:t>加热</w:t>
                  </w:r>
                </w:p>
              </w:tc>
              <w:tc>
                <w:tcPr>
                  <w:tcW w:w="1161" w:type="pct"/>
                  <w:noWrap w:val="0"/>
                  <w:vAlign w:val="center"/>
                </w:tcPr>
                <w:p w14:paraId="39CA83D9">
                  <w:pPr>
                    <w:pStyle w:val="143"/>
                    <w:adjustRightInd w:val="0"/>
                    <w:snapToGrid w:val="0"/>
                    <w:spacing w:line="240" w:lineRule="auto"/>
                    <w:ind w:left="105" w:leftChars="5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r>
                    <w:rPr>
                      <w:rFonts w:hint="eastAsia" w:ascii="Times New Roman" w:hAnsi="Times New Roman" w:cs="Times New Roman"/>
                      <w:color w:val="auto"/>
                      <w:sz w:val="21"/>
                      <w:szCs w:val="21"/>
                      <w:lang w:val="en-US" w:eastAsia="zh-CN"/>
                    </w:rPr>
                    <w:t>、NOx、颗粒物</w:t>
                  </w:r>
                </w:p>
              </w:tc>
              <w:tc>
                <w:tcPr>
                  <w:tcW w:w="1463" w:type="pct"/>
                  <w:noWrap w:val="0"/>
                  <w:vAlign w:val="center"/>
                </w:tcPr>
                <w:p w14:paraId="5C40FECE">
                  <w:pPr>
                    <w:pStyle w:val="143"/>
                    <w:adjustRightInd w:val="0"/>
                    <w:snapToGrid w:val="0"/>
                    <w:spacing w:line="240" w:lineRule="auto"/>
                    <w:ind w:left="105" w:leftChars="5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低氮燃烧+</w:t>
                  </w:r>
                  <w:r>
                    <w:rPr>
                      <w:rFonts w:hint="default" w:ascii="Times New Roman" w:hAnsi="Times New Roman" w:cs="Times New Roman"/>
                      <w:color w:val="auto"/>
                      <w:sz w:val="21"/>
                      <w:szCs w:val="21"/>
                      <w:lang w:val="en-US" w:eastAsia="zh-CN"/>
                    </w:rPr>
                    <w:t>15米高排气筒</w:t>
                  </w:r>
                  <w:r>
                    <w:rPr>
                      <w:rFonts w:hint="eastAsia" w:ascii="Times New Roman" w:hAnsi="Times New Roman" w:cs="Times New Roman"/>
                      <w:color w:val="auto"/>
                      <w:sz w:val="21"/>
                      <w:szCs w:val="21"/>
                      <w:lang w:val="en-US" w:eastAsia="zh-CN"/>
                    </w:rPr>
                    <w:t>DA001</w:t>
                  </w:r>
                </w:p>
              </w:tc>
            </w:tr>
            <w:tr w14:paraId="3EC352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588" w:type="pct"/>
                  <w:vMerge w:val="continue"/>
                  <w:noWrap w:val="0"/>
                  <w:vAlign w:val="center"/>
                </w:tcPr>
                <w:p w14:paraId="2DAA018A">
                  <w:pPr>
                    <w:pStyle w:val="143"/>
                    <w:adjustRightInd w:val="0"/>
                    <w:snapToGrid w:val="0"/>
                    <w:spacing w:line="240" w:lineRule="exact"/>
                    <w:jc w:val="center"/>
                    <w:rPr>
                      <w:rFonts w:hint="eastAsia" w:ascii="Times New Roman" w:hAnsi="Times New Roman" w:cs="Times New Roman"/>
                      <w:snapToGrid w:val="0"/>
                      <w:color w:val="auto"/>
                      <w:sz w:val="21"/>
                      <w:szCs w:val="21"/>
                      <w:lang w:val="en-US" w:eastAsia="zh-CN"/>
                    </w:rPr>
                  </w:pPr>
                </w:p>
              </w:tc>
              <w:tc>
                <w:tcPr>
                  <w:tcW w:w="893" w:type="pct"/>
                  <w:noWrap w:val="0"/>
                  <w:vAlign w:val="center"/>
                </w:tcPr>
                <w:p w14:paraId="3AA2A169">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G1-3</w:t>
                  </w:r>
                </w:p>
              </w:tc>
              <w:tc>
                <w:tcPr>
                  <w:tcW w:w="893" w:type="pct"/>
                  <w:noWrap w:val="0"/>
                  <w:vAlign w:val="center"/>
                </w:tcPr>
                <w:p w14:paraId="79E2AF03">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模具机加工</w:t>
                  </w:r>
                </w:p>
              </w:tc>
              <w:tc>
                <w:tcPr>
                  <w:tcW w:w="1161" w:type="pct"/>
                  <w:noWrap w:val="0"/>
                  <w:vAlign w:val="center"/>
                </w:tcPr>
                <w:p w14:paraId="229FB104">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非甲烷总烃</w:t>
                  </w:r>
                </w:p>
              </w:tc>
              <w:tc>
                <w:tcPr>
                  <w:tcW w:w="1463" w:type="pct"/>
                  <w:noWrap w:val="0"/>
                  <w:vAlign w:val="center"/>
                </w:tcPr>
                <w:p w14:paraId="360334F5">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无组织</w:t>
                  </w:r>
                </w:p>
              </w:tc>
            </w:tr>
            <w:tr w14:paraId="369836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588" w:type="pct"/>
                  <w:vMerge w:val="continue"/>
                  <w:noWrap w:val="0"/>
                  <w:vAlign w:val="center"/>
                </w:tcPr>
                <w:p w14:paraId="17D46ADE">
                  <w:pPr>
                    <w:pStyle w:val="143"/>
                    <w:adjustRightInd w:val="0"/>
                    <w:snapToGrid w:val="0"/>
                    <w:spacing w:line="240" w:lineRule="exact"/>
                    <w:jc w:val="center"/>
                    <w:rPr>
                      <w:rFonts w:hint="eastAsia" w:ascii="Times New Roman" w:hAnsi="Times New Roman" w:cs="Times New Roman"/>
                      <w:snapToGrid w:val="0"/>
                      <w:color w:val="auto"/>
                      <w:sz w:val="21"/>
                      <w:szCs w:val="21"/>
                      <w:lang w:val="en-US" w:eastAsia="zh-CN"/>
                    </w:rPr>
                  </w:pPr>
                </w:p>
              </w:tc>
              <w:tc>
                <w:tcPr>
                  <w:tcW w:w="893" w:type="pct"/>
                  <w:noWrap w:val="0"/>
                  <w:vAlign w:val="center"/>
                </w:tcPr>
                <w:p w14:paraId="3721F334">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G2-3</w:t>
                  </w:r>
                </w:p>
              </w:tc>
              <w:tc>
                <w:tcPr>
                  <w:tcW w:w="893" w:type="pct"/>
                  <w:noWrap w:val="0"/>
                  <w:vAlign w:val="center"/>
                </w:tcPr>
                <w:p w14:paraId="30B3C586">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精加工</w:t>
                  </w:r>
                </w:p>
              </w:tc>
              <w:tc>
                <w:tcPr>
                  <w:tcW w:w="1161" w:type="pct"/>
                  <w:noWrap w:val="0"/>
                  <w:vAlign w:val="center"/>
                </w:tcPr>
                <w:p w14:paraId="7173404D">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非甲烷总烃</w:t>
                  </w:r>
                </w:p>
              </w:tc>
              <w:tc>
                <w:tcPr>
                  <w:tcW w:w="1463" w:type="pct"/>
                  <w:noWrap w:val="0"/>
                  <w:vAlign w:val="center"/>
                </w:tcPr>
                <w:p w14:paraId="24B06AFE">
                  <w:pPr>
                    <w:spacing w:line="24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无组织</w:t>
                  </w:r>
                </w:p>
              </w:tc>
            </w:tr>
            <w:tr w14:paraId="07E4F0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88" w:type="pct"/>
                  <w:vMerge w:val="restart"/>
                  <w:noWrap w:val="0"/>
                  <w:vAlign w:val="center"/>
                </w:tcPr>
                <w:p w14:paraId="6D7B36A3">
                  <w:pPr>
                    <w:pStyle w:val="143"/>
                    <w:adjustRightInd w:val="0"/>
                    <w:snapToGrid w:val="0"/>
                    <w:spacing w:line="240" w:lineRule="exact"/>
                    <w:jc w:val="center"/>
                    <w:rPr>
                      <w:rFonts w:ascii="Times New Roman" w:hAnsi="Times New Roman" w:cs="Times New Roman"/>
                      <w:snapToGrid w:val="0"/>
                      <w:color w:val="auto"/>
                      <w:sz w:val="21"/>
                      <w:szCs w:val="21"/>
                      <w:lang w:val="en-US"/>
                    </w:rPr>
                  </w:pPr>
                  <w:r>
                    <w:rPr>
                      <w:rFonts w:ascii="Times New Roman" w:hAnsi="Times New Roman" w:cs="Times New Roman"/>
                      <w:snapToGrid w:val="0"/>
                      <w:color w:val="auto"/>
                      <w:sz w:val="21"/>
                      <w:szCs w:val="21"/>
                      <w:lang w:val="en-US"/>
                    </w:rPr>
                    <w:t>废水</w:t>
                  </w:r>
                </w:p>
              </w:tc>
              <w:tc>
                <w:tcPr>
                  <w:tcW w:w="893" w:type="pct"/>
                  <w:noWrap w:val="0"/>
                  <w:vAlign w:val="center"/>
                </w:tcPr>
                <w:p w14:paraId="6A9BE767">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W1</w:t>
                  </w:r>
                </w:p>
              </w:tc>
              <w:tc>
                <w:tcPr>
                  <w:tcW w:w="893" w:type="pct"/>
                  <w:noWrap w:val="0"/>
                  <w:vAlign w:val="center"/>
                </w:tcPr>
                <w:p w14:paraId="1E0978F5">
                  <w:pPr>
                    <w:pStyle w:val="143"/>
                    <w:adjustRightInd w:val="0"/>
                    <w:snapToGrid w:val="0"/>
                    <w:spacing w:line="240" w:lineRule="auto"/>
                    <w:ind w:left="105" w:leftChars="50"/>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冷却水</w:t>
                  </w:r>
                </w:p>
              </w:tc>
              <w:tc>
                <w:tcPr>
                  <w:tcW w:w="1161" w:type="pct"/>
                  <w:noWrap w:val="0"/>
                  <w:vAlign w:val="center"/>
                </w:tcPr>
                <w:p w14:paraId="0B2D485B">
                  <w:pPr>
                    <w:pStyle w:val="143"/>
                    <w:adjustRightInd w:val="0"/>
                    <w:snapToGrid w:val="0"/>
                    <w:spacing w:line="240" w:lineRule="auto"/>
                    <w:ind w:left="105" w:leftChars="50"/>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color w:val="auto"/>
                      <w:sz w:val="21"/>
                      <w:szCs w:val="21"/>
                    </w:rPr>
                    <w:t>COD、</w:t>
                  </w:r>
                  <w:r>
                    <w:rPr>
                      <w:rFonts w:hint="eastAsia" w:ascii="Times New Roman" w:hAnsi="Times New Roman" w:cs="Times New Roman"/>
                      <w:color w:val="auto"/>
                      <w:sz w:val="21"/>
                      <w:szCs w:val="21"/>
                      <w:lang w:val="en-US" w:eastAsia="zh-CN"/>
                    </w:rPr>
                    <w:t>SS</w:t>
                  </w:r>
                </w:p>
              </w:tc>
              <w:tc>
                <w:tcPr>
                  <w:tcW w:w="1463" w:type="pct"/>
                  <w:noWrap w:val="0"/>
                  <w:vAlign w:val="center"/>
                </w:tcPr>
                <w:p w14:paraId="3602D505">
                  <w:pPr>
                    <w:pStyle w:val="143"/>
                    <w:adjustRightInd w:val="0"/>
                    <w:snapToGrid w:val="0"/>
                    <w:spacing w:line="240" w:lineRule="auto"/>
                    <w:ind w:left="105" w:leftChars="50"/>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全部蒸发</w:t>
                  </w:r>
                </w:p>
              </w:tc>
            </w:tr>
            <w:tr w14:paraId="45CE2B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88" w:type="pct"/>
                  <w:vMerge w:val="continue"/>
                  <w:noWrap w:val="0"/>
                  <w:vAlign w:val="center"/>
                </w:tcPr>
                <w:p w14:paraId="7B16DEA2">
                  <w:pPr>
                    <w:pStyle w:val="143"/>
                    <w:adjustRightInd w:val="0"/>
                    <w:snapToGrid w:val="0"/>
                    <w:spacing w:line="240" w:lineRule="exact"/>
                    <w:jc w:val="center"/>
                    <w:rPr>
                      <w:rFonts w:hint="eastAsia" w:ascii="Times New Roman" w:hAnsi="Times New Roman" w:eastAsia="宋体" w:cs="Times New Roman"/>
                      <w:snapToGrid w:val="0"/>
                      <w:color w:val="auto"/>
                      <w:sz w:val="21"/>
                      <w:szCs w:val="21"/>
                      <w:lang w:val="en-US" w:eastAsia="zh-CN"/>
                    </w:rPr>
                  </w:pPr>
                </w:p>
              </w:tc>
              <w:tc>
                <w:tcPr>
                  <w:tcW w:w="893" w:type="pct"/>
                  <w:noWrap w:val="0"/>
                  <w:vAlign w:val="center"/>
                </w:tcPr>
                <w:p w14:paraId="73D43A99">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W2</w:t>
                  </w:r>
                </w:p>
              </w:tc>
              <w:tc>
                <w:tcPr>
                  <w:tcW w:w="893" w:type="pct"/>
                  <w:noWrap w:val="0"/>
                  <w:vAlign w:val="center"/>
                </w:tcPr>
                <w:p w14:paraId="18811FF4">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初期雨水</w:t>
                  </w:r>
                </w:p>
              </w:tc>
              <w:tc>
                <w:tcPr>
                  <w:tcW w:w="1161" w:type="pct"/>
                  <w:noWrap w:val="0"/>
                  <w:vAlign w:val="center"/>
                </w:tcPr>
                <w:p w14:paraId="787534D4">
                  <w:pPr>
                    <w:pStyle w:val="143"/>
                    <w:adjustRightInd w:val="0"/>
                    <w:snapToGrid w:val="0"/>
                    <w:spacing w:line="240" w:lineRule="auto"/>
                    <w:ind w:left="105" w:lef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r>
                    <w:rPr>
                      <w:rFonts w:hint="eastAsia" w:ascii="Times New Roman" w:hAnsi="Times New Roman" w:cs="Times New Roman"/>
                      <w:color w:val="auto"/>
                      <w:sz w:val="21"/>
                      <w:szCs w:val="21"/>
                      <w:lang w:val="en-US" w:eastAsia="zh-CN"/>
                    </w:rPr>
                    <w:t>SS</w:t>
                  </w:r>
                </w:p>
              </w:tc>
              <w:tc>
                <w:tcPr>
                  <w:tcW w:w="1463" w:type="pct"/>
                  <w:noWrap w:val="0"/>
                  <w:vAlign w:val="center"/>
                </w:tcPr>
                <w:p w14:paraId="1C61ACFE">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接管排放</w:t>
                  </w:r>
                </w:p>
              </w:tc>
            </w:tr>
            <w:tr w14:paraId="4EAA56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noWrap w:val="0"/>
                  <w:vAlign w:val="center"/>
                </w:tcPr>
                <w:p w14:paraId="10772EC0">
                  <w:pPr>
                    <w:pStyle w:val="143"/>
                    <w:adjustRightInd w:val="0"/>
                    <w:snapToGrid w:val="0"/>
                    <w:spacing w:line="240" w:lineRule="exact"/>
                    <w:jc w:val="center"/>
                    <w:rPr>
                      <w:rFonts w:ascii="Times New Roman" w:hAnsi="Times New Roman" w:cs="Times New Roman"/>
                      <w:snapToGrid w:val="0"/>
                      <w:color w:val="auto"/>
                      <w:sz w:val="21"/>
                      <w:szCs w:val="21"/>
                      <w:lang w:val="en-US"/>
                    </w:rPr>
                  </w:pPr>
                  <w:r>
                    <w:rPr>
                      <w:rFonts w:ascii="Times New Roman" w:hAnsi="Times New Roman" w:cs="Times New Roman"/>
                      <w:snapToGrid w:val="0"/>
                      <w:color w:val="auto"/>
                      <w:sz w:val="21"/>
                      <w:szCs w:val="21"/>
                      <w:lang w:val="en-US"/>
                    </w:rPr>
                    <w:t>噪声</w:t>
                  </w:r>
                </w:p>
              </w:tc>
              <w:tc>
                <w:tcPr>
                  <w:tcW w:w="893" w:type="pct"/>
                  <w:noWrap w:val="0"/>
                  <w:vAlign w:val="center"/>
                </w:tcPr>
                <w:p w14:paraId="54E9B7F9">
                  <w:pPr>
                    <w:pStyle w:val="143"/>
                    <w:adjustRightInd w:val="0"/>
                    <w:snapToGrid w:val="0"/>
                    <w:spacing w:line="240" w:lineRule="auto"/>
                    <w:ind w:left="105" w:leftChars="50"/>
                    <w:jc w:val="center"/>
                    <w:rPr>
                      <w:rFonts w:hint="eastAsia"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N</w:t>
                  </w:r>
                </w:p>
              </w:tc>
              <w:tc>
                <w:tcPr>
                  <w:tcW w:w="893" w:type="pct"/>
                  <w:noWrap w:val="0"/>
                  <w:vAlign w:val="center"/>
                </w:tcPr>
                <w:p w14:paraId="0A844866">
                  <w:pPr>
                    <w:pStyle w:val="143"/>
                    <w:adjustRightInd w:val="0"/>
                    <w:snapToGrid w:val="0"/>
                    <w:spacing w:line="240" w:lineRule="auto"/>
                    <w:ind w:left="105" w:leftChars="5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生产设备运行</w:t>
                  </w:r>
                </w:p>
              </w:tc>
              <w:tc>
                <w:tcPr>
                  <w:tcW w:w="1161" w:type="pct"/>
                  <w:noWrap w:val="0"/>
                  <w:vAlign w:val="center"/>
                </w:tcPr>
                <w:p w14:paraId="091B7A2E">
                  <w:pPr>
                    <w:pStyle w:val="143"/>
                    <w:adjustRightInd w:val="0"/>
                    <w:snapToGrid w:val="0"/>
                    <w:spacing w:line="240" w:lineRule="auto"/>
                    <w:ind w:left="105" w:leftChars="5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噪声</w:t>
                  </w:r>
                </w:p>
              </w:tc>
              <w:tc>
                <w:tcPr>
                  <w:tcW w:w="1463" w:type="pct"/>
                  <w:noWrap w:val="0"/>
                  <w:vAlign w:val="center"/>
                </w:tcPr>
                <w:p w14:paraId="3F149C35">
                  <w:pPr>
                    <w:pStyle w:val="143"/>
                    <w:adjustRightInd w:val="0"/>
                    <w:snapToGrid w:val="0"/>
                    <w:spacing w:line="240" w:lineRule="auto"/>
                    <w:ind w:left="105" w:leftChars="50"/>
                    <w:jc w:val="center"/>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减振、降噪</w:t>
                  </w:r>
                </w:p>
              </w:tc>
            </w:tr>
            <w:tr w14:paraId="79D6EC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restart"/>
                  <w:noWrap w:val="0"/>
                  <w:vAlign w:val="center"/>
                </w:tcPr>
                <w:p w14:paraId="79DA0FF9">
                  <w:pPr>
                    <w:pStyle w:val="143"/>
                    <w:adjustRightInd w:val="0"/>
                    <w:snapToGrid w:val="0"/>
                    <w:spacing w:line="240" w:lineRule="exact"/>
                    <w:jc w:val="center"/>
                    <w:rPr>
                      <w:rFonts w:ascii="Times New Roman" w:hAnsi="Times New Roman" w:cs="Times New Roman"/>
                      <w:snapToGrid w:val="0"/>
                      <w:color w:val="auto"/>
                      <w:sz w:val="21"/>
                      <w:szCs w:val="21"/>
                      <w:lang w:val="en-US"/>
                    </w:rPr>
                  </w:pPr>
                  <w:r>
                    <w:rPr>
                      <w:rFonts w:ascii="Times New Roman" w:hAnsi="Times New Roman" w:cs="Times New Roman"/>
                      <w:snapToGrid w:val="0"/>
                      <w:color w:val="auto"/>
                      <w:sz w:val="21"/>
                      <w:szCs w:val="21"/>
                      <w:lang w:val="en-US"/>
                    </w:rPr>
                    <w:t>固废</w:t>
                  </w:r>
                </w:p>
              </w:tc>
              <w:tc>
                <w:tcPr>
                  <w:tcW w:w="893" w:type="pct"/>
                  <w:noWrap w:val="0"/>
                  <w:vAlign w:val="center"/>
                </w:tcPr>
                <w:p w14:paraId="51989207">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S1-1</w:t>
                  </w:r>
                </w:p>
              </w:tc>
              <w:tc>
                <w:tcPr>
                  <w:tcW w:w="893" w:type="pct"/>
                  <w:noWrap w:val="0"/>
                  <w:vAlign w:val="center"/>
                </w:tcPr>
                <w:p w14:paraId="2610F214">
                  <w:pPr>
                    <w:pStyle w:val="143"/>
                    <w:adjustRightInd w:val="0"/>
                    <w:snapToGrid w:val="0"/>
                    <w:spacing w:line="240" w:lineRule="auto"/>
                    <w:ind w:left="105" w:leftChars="50"/>
                    <w:jc w:val="center"/>
                    <w:rPr>
                      <w:rFonts w:hint="eastAsia" w:ascii="Times New Roman" w:hAnsi="Times New Roman" w:eastAsia="宋体"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自动带锯</w:t>
                  </w:r>
                </w:p>
              </w:tc>
              <w:tc>
                <w:tcPr>
                  <w:tcW w:w="1161" w:type="pct"/>
                  <w:noWrap w:val="0"/>
                  <w:vAlign w:val="center"/>
                </w:tcPr>
                <w:p w14:paraId="0596B0F6">
                  <w:pPr>
                    <w:pStyle w:val="143"/>
                    <w:adjustRightInd w:val="0"/>
                    <w:snapToGrid w:val="0"/>
                    <w:spacing w:line="240" w:lineRule="auto"/>
                    <w:ind w:left="105" w:leftChars="50"/>
                    <w:jc w:val="center"/>
                    <w:rPr>
                      <w:rFonts w:hint="default" w:ascii="Times New Roman" w:hAnsi="Times New Roman" w:eastAsia="宋体" w:cs="Times New Roman"/>
                      <w:snapToGrid w:val="0"/>
                      <w:color w:val="auto"/>
                      <w:sz w:val="21"/>
                      <w:szCs w:val="21"/>
                      <w:lang w:val="en-US" w:eastAsia="zh-CN"/>
                    </w:rPr>
                  </w:pPr>
                  <w:r>
                    <w:rPr>
                      <w:rFonts w:hint="eastAsia"/>
                      <w:color w:val="auto"/>
                      <w:sz w:val="21"/>
                      <w:szCs w:val="21"/>
                      <w:lang w:val="en-US" w:eastAsia="zh-CN"/>
                    </w:rPr>
                    <w:t>废边角料</w:t>
                  </w:r>
                </w:p>
              </w:tc>
              <w:tc>
                <w:tcPr>
                  <w:tcW w:w="1463" w:type="pct"/>
                  <w:noWrap w:val="0"/>
                  <w:vAlign w:val="center"/>
                </w:tcPr>
                <w:p w14:paraId="7AB84D20">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钢厂回收</w:t>
                  </w:r>
                </w:p>
              </w:tc>
            </w:tr>
            <w:tr w14:paraId="7C826A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5BA1F8FB">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4E33FEB0">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S1-2</w:t>
                  </w:r>
                </w:p>
              </w:tc>
              <w:tc>
                <w:tcPr>
                  <w:tcW w:w="893" w:type="pct"/>
                  <w:noWrap w:val="0"/>
                  <w:vAlign w:val="center"/>
                </w:tcPr>
                <w:p w14:paraId="715876F4">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自动带锯</w:t>
                  </w:r>
                </w:p>
              </w:tc>
              <w:tc>
                <w:tcPr>
                  <w:tcW w:w="1161" w:type="pct"/>
                  <w:noWrap w:val="0"/>
                  <w:vAlign w:val="center"/>
                </w:tcPr>
                <w:p w14:paraId="7F86B60E">
                  <w:pPr>
                    <w:pStyle w:val="143"/>
                    <w:adjustRightInd w:val="0"/>
                    <w:snapToGrid w:val="0"/>
                    <w:spacing w:line="240" w:lineRule="auto"/>
                    <w:ind w:left="105" w:leftChars="50"/>
                    <w:jc w:val="center"/>
                    <w:rPr>
                      <w:rFonts w:hint="default"/>
                      <w:color w:val="auto"/>
                      <w:sz w:val="21"/>
                      <w:szCs w:val="21"/>
                      <w:lang w:val="en-US" w:eastAsia="zh-CN"/>
                    </w:rPr>
                  </w:pPr>
                  <w:r>
                    <w:rPr>
                      <w:rFonts w:hint="eastAsia"/>
                      <w:color w:val="auto"/>
                      <w:sz w:val="21"/>
                      <w:szCs w:val="21"/>
                      <w:lang w:val="en-US" w:eastAsia="zh-CN"/>
                    </w:rPr>
                    <w:t>废切削液</w:t>
                  </w:r>
                </w:p>
              </w:tc>
              <w:tc>
                <w:tcPr>
                  <w:tcW w:w="1463" w:type="pct"/>
                  <w:noWrap w:val="0"/>
                  <w:vAlign w:val="center"/>
                </w:tcPr>
                <w:p w14:paraId="32DB16E4">
                  <w:pPr>
                    <w:pStyle w:val="143"/>
                    <w:adjustRightInd w:val="0"/>
                    <w:snapToGrid w:val="0"/>
                    <w:spacing w:line="240" w:lineRule="auto"/>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r w14:paraId="11F7AA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44BE6403">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1CE4C5A0">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S1-3</w:t>
                  </w:r>
                </w:p>
              </w:tc>
              <w:tc>
                <w:tcPr>
                  <w:tcW w:w="893" w:type="pct"/>
                  <w:noWrap w:val="0"/>
                  <w:vAlign w:val="center"/>
                </w:tcPr>
                <w:p w14:paraId="1B02D212">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锻造</w:t>
                  </w:r>
                </w:p>
              </w:tc>
              <w:tc>
                <w:tcPr>
                  <w:tcW w:w="1161" w:type="pct"/>
                  <w:noWrap w:val="0"/>
                  <w:vAlign w:val="center"/>
                </w:tcPr>
                <w:p w14:paraId="31983509">
                  <w:pPr>
                    <w:pStyle w:val="143"/>
                    <w:adjustRightInd w:val="0"/>
                    <w:snapToGrid w:val="0"/>
                    <w:spacing w:line="240" w:lineRule="auto"/>
                    <w:ind w:left="105" w:leftChars="50"/>
                    <w:jc w:val="center"/>
                    <w:rPr>
                      <w:rFonts w:hint="default"/>
                      <w:color w:val="auto"/>
                      <w:sz w:val="21"/>
                      <w:szCs w:val="21"/>
                      <w:lang w:val="en-US" w:eastAsia="zh-CN"/>
                    </w:rPr>
                  </w:pPr>
                  <w:r>
                    <w:rPr>
                      <w:rFonts w:hint="eastAsia"/>
                      <w:color w:val="auto"/>
                      <w:sz w:val="21"/>
                      <w:szCs w:val="21"/>
                      <w:lang w:val="en-US" w:eastAsia="zh-CN"/>
                    </w:rPr>
                    <w:t>氧化皮</w:t>
                  </w:r>
                </w:p>
              </w:tc>
              <w:tc>
                <w:tcPr>
                  <w:tcW w:w="1463" w:type="pct"/>
                  <w:noWrap w:val="0"/>
                  <w:vAlign w:val="center"/>
                </w:tcPr>
                <w:p w14:paraId="1BD30A42">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钢厂回收</w:t>
                  </w:r>
                </w:p>
              </w:tc>
            </w:tr>
            <w:tr w14:paraId="5CBDF1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2D7985C8">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3315CC2C">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S1-4</w:t>
                  </w:r>
                </w:p>
              </w:tc>
              <w:tc>
                <w:tcPr>
                  <w:tcW w:w="893" w:type="pct"/>
                  <w:noWrap w:val="0"/>
                  <w:vAlign w:val="center"/>
                </w:tcPr>
                <w:p w14:paraId="72389706">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模具机加工</w:t>
                  </w:r>
                </w:p>
              </w:tc>
              <w:tc>
                <w:tcPr>
                  <w:tcW w:w="1161" w:type="pct"/>
                  <w:noWrap w:val="0"/>
                  <w:vAlign w:val="center"/>
                </w:tcPr>
                <w:p w14:paraId="43C8EF4E">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含油金属屑</w:t>
                  </w:r>
                </w:p>
              </w:tc>
              <w:tc>
                <w:tcPr>
                  <w:tcW w:w="1463" w:type="pct"/>
                  <w:noWrap w:val="0"/>
                  <w:vAlign w:val="center"/>
                </w:tcPr>
                <w:p w14:paraId="3DB15E0C">
                  <w:pPr>
                    <w:spacing w:line="24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委托有资质单位处置</w:t>
                  </w:r>
                </w:p>
              </w:tc>
            </w:tr>
            <w:tr w14:paraId="052E61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1AA5C62B">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6C805484">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S2-1</w:t>
                  </w:r>
                </w:p>
              </w:tc>
              <w:tc>
                <w:tcPr>
                  <w:tcW w:w="893" w:type="pct"/>
                  <w:noWrap w:val="0"/>
                  <w:vAlign w:val="center"/>
                </w:tcPr>
                <w:p w14:paraId="6E501439">
                  <w:pPr>
                    <w:pStyle w:val="143"/>
                    <w:adjustRightInd w:val="0"/>
                    <w:snapToGrid w:val="0"/>
                    <w:spacing w:line="240" w:lineRule="auto"/>
                    <w:ind w:left="105" w:leftChars="50"/>
                    <w:jc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cs="Times New Roman"/>
                      <w:snapToGrid w:val="0"/>
                      <w:color w:val="auto"/>
                      <w:sz w:val="21"/>
                      <w:szCs w:val="21"/>
                      <w:lang w:val="en-US" w:eastAsia="zh-CN"/>
                    </w:rPr>
                    <w:t>自动带锯</w:t>
                  </w:r>
                </w:p>
              </w:tc>
              <w:tc>
                <w:tcPr>
                  <w:tcW w:w="1161" w:type="pct"/>
                  <w:noWrap w:val="0"/>
                  <w:vAlign w:val="center"/>
                </w:tcPr>
                <w:p w14:paraId="45EAEC5A">
                  <w:pPr>
                    <w:pStyle w:val="143"/>
                    <w:adjustRightInd w:val="0"/>
                    <w:snapToGrid w:val="0"/>
                    <w:spacing w:line="240" w:lineRule="auto"/>
                    <w:ind w:left="105" w:leftChars="50"/>
                    <w:jc w:val="center"/>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废边角料</w:t>
                  </w:r>
                </w:p>
              </w:tc>
              <w:tc>
                <w:tcPr>
                  <w:tcW w:w="1463" w:type="pct"/>
                  <w:noWrap w:val="0"/>
                  <w:vAlign w:val="center"/>
                </w:tcPr>
                <w:p w14:paraId="2466F827">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钢厂回收</w:t>
                  </w:r>
                </w:p>
              </w:tc>
            </w:tr>
            <w:tr w14:paraId="230A33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3A719671">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40D895AF">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S2-2</w:t>
                  </w:r>
                </w:p>
              </w:tc>
              <w:tc>
                <w:tcPr>
                  <w:tcW w:w="893" w:type="pct"/>
                  <w:noWrap w:val="0"/>
                  <w:vAlign w:val="center"/>
                </w:tcPr>
                <w:p w14:paraId="584316B6">
                  <w:pPr>
                    <w:pStyle w:val="143"/>
                    <w:adjustRightInd w:val="0"/>
                    <w:snapToGrid w:val="0"/>
                    <w:spacing w:line="240" w:lineRule="auto"/>
                    <w:ind w:left="105" w:leftChars="50"/>
                    <w:jc w:val="center"/>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cs="Times New Roman"/>
                      <w:snapToGrid w:val="0"/>
                      <w:color w:val="auto"/>
                      <w:sz w:val="21"/>
                      <w:szCs w:val="21"/>
                      <w:lang w:val="en-US" w:eastAsia="zh-CN"/>
                    </w:rPr>
                    <w:t>自动带锯</w:t>
                  </w:r>
                </w:p>
              </w:tc>
              <w:tc>
                <w:tcPr>
                  <w:tcW w:w="1161" w:type="pct"/>
                  <w:noWrap w:val="0"/>
                  <w:vAlign w:val="center"/>
                </w:tcPr>
                <w:p w14:paraId="6BD2150F">
                  <w:pPr>
                    <w:pStyle w:val="143"/>
                    <w:adjustRightInd w:val="0"/>
                    <w:snapToGrid w:val="0"/>
                    <w:spacing w:line="240" w:lineRule="auto"/>
                    <w:ind w:left="105" w:leftChars="50"/>
                    <w:jc w:val="center"/>
                    <w:rPr>
                      <w:rFonts w:hint="eastAsia" w:ascii="宋体" w:hAnsi="宋体" w:eastAsia="宋体" w:cs="宋体"/>
                      <w:color w:val="auto"/>
                      <w:kern w:val="0"/>
                      <w:sz w:val="21"/>
                      <w:szCs w:val="21"/>
                      <w:lang w:val="en-US" w:eastAsia="zh-CN" w:bidi="ar-SA"/>
                    </w:rPr>
                  </w:pPr>
                  <w:r>
                    <w:rPr>
                      <w:rFonts w:hint="eastAsia"/>
                      <w:color w:val="auto"/>
                      <w:sz w:val="21"/>
                      <w:szCs w:val="21"/>
                      <w:lang w:val="en-US" w:eastAsia="zh-CN"/>
                    </w:rPr>
                    <w:t>废切削液</w:t>
                  </w:r>
                </w:p>
              </w:tc>
              <w:tc>
                <w:tcPr>
                  <w:tcW w:w="1463" w:type="pct"/>
                  <w:noWrap w:val="0"/>
                  <w:vAlign w:val="center"/>
                </w:tcPr>
                <w:p w14:paraId="0BE4F1F0">
                  <w:pPr>
                    <w:pStyle w:val="143"/>
                    <w:adjustRightInd w:val="0"/>
                    <w:snapToGrid w:val="0"/>
                    <w:spacing w:line="240" w:lineRule="auto"/>
                    <w:ind w:left="105" w:leftChars="50"/>
                    <w:jc w:val="center"/>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cs="Times New Roman"/>
                      <w:snapToGrid w:val="0"/>
                      <w:color w:val="auto"/>
                      <w:sz w:val="21"/>
                      <w:szCs w:val="21"/>
                      <w:lang w:val="en-US" w:eastAsia="zh-CN"/>
                    </w:rPr>
                    <w:t>委托有资质单位处置</w:t>
                  </w:r>
                </w:p>
              </w:tc>
            </w:tr>
            <w:tr w14:paraId="707627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653DDB8A">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03666F71">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S2-3</w:t>
                  </w:r>
                </w:p>
              </w:tc>
              <w:tc>
                <w:tcPr>
                  <w:tcW w:w="893" w:type="pct"/>
                  <w:noWrap w:val="0"/>
                  <w:vAlign w:val="center"/>
                </w:tcPr>
                <w:p w14:paraId="106B9D90">
                  <w:pPr>
                    <w:pStyle w:val="143"/>
                    <w:adjustRightInd w:val="0"/>
                    <w:snapToGrid w:val="0"/>
                    <w:spacing w:line="240" w:lineRule="auto"/>
                    <w:ind w:left="105" w:leftChars="50"/>
                    <w:jc w:val="center"/>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cs="Times New Roman"/>
                      <w:snapToGrid w:val="0"/>
                      <w:color w:val="auto"/>
                      <w:sz w:val="21"/>
                      <w:szCs w:val="21"/>
                      <w:lang w:val="en-US" w:eastAsia="zh-CN"/>
                    </w:rPr>
                    <w:t>锻造</w:t>
                  </w:r>
                </w:p>
              </w:tc>
              <w:tc>
                <w:tcPr>
                  <w:tcW w:w="1161" w:type="pct"/>
                  <w:noWrap w:val="0"/>
                  <w:vAlign w:val="center"/>
                </w:tcPr>
                <w:p w14:paraId="5F1336C7">
                  <w:pPr>
                    <w:pStyle w:val="143"/>
                    <w:adjustRightInd w:val="0"/>
                    <w:snapToGrid w:val="0"/>
                    <w:spacing w:line="240" w:lineRule="auto"/>
                    <w:ind w:left="105" w:leftChars="50"/>
                    <w:jc w:val="center"/>
                    <w:rPr>
                      <w:rFonts w:hint="eastAsia" w:ascii="宋体" w:hAnsi="宋体" w:eastAsia="宋体" w:cs="宋体"/>
                      <w:color w:val="auto"/>
                      <w:kern w:val="0"/>
                      <w:sz w:val="21"/>
                      <w:szCs w:val="21"/>
                      <w:lang w:val="en-US" w:eastAsia="zh-CN" w:bidi="ar-SA"/>
                    </w:rPr>
                  </w:pPr>
                  <w:r>
                    <w:rPr>
                      <w:rFonts w:hint="eastAsia"/>
                      <w:color w:val="auto"/>
                      <w:sz w:val="21"/>
                      <w:szCs w:val="21"/>
                      <w:lang w:val="en-US" w:eastAsia="zh-CN"/>
                    </w:rPr>
                    <w:t>氧化皮</w:t>
                  </w:r>
                </w:p>
              </w:tc>
              <w:tc>
                <w:tcPr>
                  <w:tcW w:w="1463" w:type="pct"/>
                  <w:noWrap w:val="0"/>
                  <w:vAlign w:val="center"/>
                </w:tcPr>
                <w:p w14:paraId="31DCEED3">
                  <w:pPr>
                    <w:pStyle w:val="143"/>
                    <w:adjustRightInd w:val="0"/>
                    <w:snapToGrid w:val="0"/>
                    <w:spacing w:line="240" w:lineRule="auto"/>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钢厂回收</w:t>
                  </w:r>
                </w:p>
              </w:tc>
            </w:tr>
            <w:tr w14:paraId="710619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2826778C">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33E81103">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S2-4</w:t>
                  </w:r>
                </w:p>
              </w:tc>
              <w:tc>
                <w:tcPr>
                  <w:tcW w:w="893" w:type="pct"/>
                  <w:noWrap w:val="0"/>
                  <w:vAlign w:val="center"/>
                </w:tcPr>
                <w:p w14:paraId="572A8CBE">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精加工</w:t>
                  </w:r>
                </w:p>
              </w:tc>
              <w:tc>
                <w:tcPr>
                  <w:tcW w:w="1161" w:type="pct"/>
                  <w:noWrap w:val="0"/>
                  <w:vAlign w:val="center"/>
                </w:tcPr>
                <w:p w14:paraId="5C0372EC">
                  <w:pPr>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含油金属屑</w:t>
                  </w:r>
                </w:p>
              </w:tc>
              <w:tc>
                <w:tcPr>
                  <w:tcW w:w="1463" w:type="pct"/>
                  <w:noWrap w:val="0"/>
                  <w:vAlign w:val="center"/>
                </w:tcPr>
                <w:p w14:paraId="5BF9871C">
                  <w:pPr>
                    <w:spacing w:line="24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委托有资质单位处置</w:t>
                  </w:r>
                </w:p>
              </w:tc>
            </w:tr>
            <w:tr w14:paraId="29C116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63733C1F">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54D1584A">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S2-5</w:t>
                  </w:r>
                </w:p>
              </w:tc>
              <w:tc>
                <w:tcPr>
                  <w:tcW w:w="893" w:type="pct"/>
                  <w:noWrap w:val="0"/>
                  <w:vAlign w:val="center"/>
                </w:tcPr>
                <w:p w14:paraId="44600712">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精加工</w:t>
                  </w:r>
                </w:p>
              </w:tc>
              <w:tc>
                <w:tcPr>
                  <w:tcW w:w="1161" w:type="pct"/>
                  <w:noWrap w:val="0"/>
                  <w:vAlign w:val="center"/>
                </w:tcPr>
                <w:p w14:paraId="62B94044">
                  <w:pPr>
                    <w:pStyle w:val="143"/>
                    <w:adjustRightInd w:val="0"/>
                    <w:snapToGrid w:val="0"/>
                    <w:spacing w:line="240" w:lineRule="auto"/>
                    <w:ind w:left="105" w:leftChars="50"/>
                    <w:jc w:val="center"/>
                    <w:rPr>
                      <w:rFonts w:hint="default"/>
                      <w:color w:val="auto"/>
                      <w:sz w:val="21"/>
                      <w:szCs w:val="21"/>
                      <w:lang w:val="en-US" w:eastAsia="zh-CN"/>
                    </w:rPr>
                  </w:pPr>
                  <w:r>
                    <w:rPr>
                      <w:rFonts w:hint="eastAsia"/>
                      <w:color w:val="auto"/>
                      <w:sz w:val="21"/>
                      <w:szCs w:val="21"/>
                      <w:lang w:val="en-US" w:eastAsia="zh-CN"/>
                    </w:rPr>
                    <w:t>废切削液</w:t>
                  </w:r>
                </w:p>
              </w:tc>
              <w:tc>
                <w:tcPr>
                  <w:tcW w:w="1463" w:type="pct"/>
                  <w:noWrap w:val="0"/>
                  <w:vAlign w:val="center"/>
                </w:tcPr>
                <w:p w14:paraId="7094E40E">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r w14:paraId="520FB6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4C44ABE1">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09973AE0">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S3</w:t>
                  </w:r>
                </w:p>
              </w:tc>
              <w:tc>
                <w:tcPr>
                  <w:tcW w:w="893" w:type="pct"/>
                  <w:noWrap w:val="0"/>
                  <w:vAlign w:val="center"/>
                </w:tcPr>
                <w:p w14:paraId="5A84BB45">
                  <w:pPr>
                    <w:pStyle w:val="143"/>
                    <w:adjustRightInd w:val="0"/>
                    <w:snapToGrid w:val="0"/>
                    <w:spacing w:line="240" w:lineRule="auto"/>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液压动力类设备运行介质</w:t>
                  </w:r>
                </w:p>
              </w:tc>
              <w:tc>
                <w:tcPr>
                  <w:tcW w:w="1161" w:type="pct"/>
                  <w:noWrap w:val="0"/>
                  <w:vAlign w:val="center"/>
                </w:tcPr>
                <w:p w14:paraId="1E7F6030">
                  <w:pPr>
                    <w:pStyle w:val="143"/>
                    <w:adjustRightInd w:val="0"/>
                    <w:snapToGrid w:val="0"/>
                    <w:spacing w:line="240" w:lineRule="auto"/>
                    <w:ind w:left="105" w:leftChars="50"/>
                    <w:jc w:val="center"/>
                    <w:rPr>
                      <w:rFonts w:hint="default"/>
                      <w:color w:val="auto"/>
                      <w:sz w:val="21"/>
                      <w:szCs w:val="21"/>
                      <w:lang w:val="en-US" w:eastAsia="zh-CN"/>
                    </w:rPr>
                  </w:pPr>
                  <w:r>
                    <w:rPr>
                      <w:rFonts w:hint="eastAsia"/>
                      <w:color w:val="auto"/>
                      <w:sz w:val="21"/>
                      <w:szCs w:val="21"/>
                      <w:lang w:val="en-US" w:eastAsia="zh-CN"/>
                    </w:rPr>
                    <w:t>废液压油</w:t>
                  </w:r>
                </w:p>
              </w:tc>
              <w:tc>
                <w:tcPr>
                  <w:tcW w:w="1463" w:type="pct"/>
                  <w:noWrap w:val="0"/>
                  <w:vAlign w:val="center"/>
                </w:tcPr>
                <w:p w14:paraId="0E960EDF">
                  <w:pPr>
                    <w:pStyle w:val="143"/>
                    <w:adjustRightInd w:val="0"/>
                    <w:snapToGrid w:val="0"/>
                    <w:spacing w:line="240" w:lineRule="auto"/>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r w14:paraId="1770BE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1940E390">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70AB7F6F">
                  <w:pPr>
                    <w:pStyle w:val="143"/>
                    <w:adjustRightInd w:val="0"/>
                    <w:snapToGrid w:val="0"/>
                    <w:spacing w:line="240" w:lineRule="exact"/>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S4</w:t>
                  </w:r>
                </w:p>
              </w:tc>
              <w:tc>
                <w:tcPr>
                  <w:tcW w:w="893" w:type="pct"/>
                  <w:noWrap w:val="0"/>
                  <w:vAlign w:val="center"/>
                </w:tcPr>
                <w:p w14:paraId="6341CA80">
                  <w:pPr>
                    <w:pStyle w:val="143"/>
                    <w:adjustRightInd w:val="0"/>
                    <w:snapToGrid w:val="0"/>
                    <w:spacing w:line="240" w:lineRule="exact"/>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设备维护保养</w:t>
                  </w:r>
                </w:p>
              </w:tc>
              <w:tc>
                <w:tcPr>
                  <w:tcW w:w="1161" w:type="pct"/>
                  <w:noWrap w:val="0"/>
                  <w:vAlign w:val="center"/>
                </w:tcPr>
                <w:p w14:paraId="37D63A6B">
                  <w:pPr>
                    <w:pStyle w:val="143"/>
                    <w:adjustRightInd w:val="0"/>
                    <w:snapToGrid w:val="0"/>
                    <w:spacing w:line="240" w:lineRule="exact"/>
                    <w:ind w:left="105" w:leftChars="50"/>
                    <w:jc w:val="center"/>
                    <w:rPr>
                      <w:rFonts w:hint="default"/>
                      <w:color w:val="auto"/>
                      <w:sz w:val="21"/>
                      <w:szCs w:val="21"/>
                      <w:lang w:val="en-US" w:eastAsia="zh-CN"/>
                    </w:rPr>
                  </w:pPr>
                  <w:r>
                    <w:rPr>
                      <w:rFonts w:hint="eastAsia"/>
                      <w:color w:val="auto"/>
                      <w:sz w:val="21"/>
                      <w:szCs w:val="21"/>
                      <w:lang w:val="en-US" w:eastAsia="zh-CN"/>
                    </w:rPr>
                    <w:t>废润滑油</w:t>
                  </w:r>
                </w:p>
              </w:tc>
              <w:tc>
                <w:tcPr>
                  <w:tcW w:w="1463" w:type="pct"/>
                  <w:noWrap w:val="0"/>
                  <w:vAlign w:val="center"/>
                </w:tcPr>
                <w:p w14:paraId="15F438DE">
                  <w:pPr>
                    <w:pStyle w:val="143"/>
                    <w:adjustRightInd w:val="0"/>
                    <w:snapToGrid w:val="0"/>
                    <w:spacing w:line="240" w:lineRule="exact"/>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r w14:paraId="3A8582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6C538679">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33C41DF8">
                  <w:pPr>
                    <w:pStyle w:val="143"/>
                    <w:adjustRightInd w:val="0"/>
                    <w:snapToGrid w:val="0"/>
                    <w:spacing w:line="240" w:lineRule="exact"/>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S5</w:t>
                  </w:r>
                </w:p>
              </w:tc>
              <w:tc>
                <w:tcPr>
                  <w:tcW w:w="893" w:type="pct"/>
                  <w:noWrap w:val="0"/>
                  <w:vAlign w:val="center"/>
                </w:tcPr>
                <w:p w14:paraId="16595F62">
                  <w:pPr>
                    <w:pStyle w:val="143"/>
                    <w:adjustRightInd w:val="0"/>
                    <w:snapToGrid w:val="0"/>
                    <w:spacing w:line="240" w:lineRule="exact"/>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原材料</w:t>
                  </w:r>
                </w:p>
              </w:tc>
              <w:tc>
                <w:tcPr>
                  <w:tcW w:w="1161" w:type="pct"/>
                  <w:noWrap w:val="0"/>
                  <w:vAlign w:val="center"/>
                </w:tcPr>
                <w:p w14:paraId="20EFCB54">
                  <w:pPr>
                    <w:pStyle w:val="143"/>
                    <w:adjustRightInd w:val="0"/>
                    <w:snapToGrid w:val="0"/>
                    <w:spacing w:line="240" w:lineRule="exact"/>
                    <w:ind w:left="105" w:leftChars="50"/>
                    <w:jc w:val="center"/>
                    <w:rPr>
                      <w:rFonts w:hint="default"/>
                      <w:color w:val="auto"/>
                      <w:sz w:val="21"/>
                      <w:szCs w:val="21"/>
                      <w:lang w:val="en-US" w:eastAsia="zh-CN"/>
                    </w:rPr>
                  </w:pPr>
                  <w:r>
                    <w:rPr>
                      <w:rFonts w:hint="eastAsia"/>
                      <w:color w:val="auto"/>
                      <w:sz w:val="21"/>
                      <w:szCs w:val="21"/>
                      <w:lang w:val="en-US" w:eastAsia="zh-CN"/>
                    </w:rPr>
                    <w:t>废包装桶</w:t>
                  </w:r>
                </w:p>
              </w:tc>
              <w:tc>
                <w:tcPr>
                  <w:tcW w:w="1463" w:type="pct"/>
                  <w:noWrap w:val="0"/>
                  <w:vAlign w:val="center"/>
                </w:tcPr>
                <w:p w14:paraId="5C0CC648">
                  <w:pPr>
                    <w:pStyle w:val="143"/>
                    <w:adjustRightInd w:val="0"/>
                    <w:snapToGrid w:val="0"/>
                    <w:spacing w:line="240" w:lineRule="exact"/>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r w14:paraId="1CD295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8" w:type="pct"/>
                  <w:vMerge w:val="continue"/>
                  <w:noWrap w:val="0"/>
                  <w:vAlign w:val="center"/>
                </w:tcPr>
                <w:p w14:paraId="763A30EA">
                  <w:pPr>
                    <w:pStyle w:val="143"/>
                    <w:adjustRightInd w:val="0"/>
                    <w:snapToGrid w:val="0"/>
                    <w:spacing w:line="240" w:lineRule="exact"/>
                    <w:jc w:val="center"/>
                    <w:rPr>
                      <w:rFonts w:ascii="Times New Roman" w:hAnsi="Times New Roman" w:cs="Times New Roman"/>
                      <w:snapToGrid w:val="0"/>
                      <w:color w:val="auto"/>
                      <w:sz w:val="21"/>
                      <w:szCs w:val="21"/>
                      <w:lang w:val="en-US"/>
                    </w:rPr>
                  </w:pPr>
                </w:p>
              </w:tc>
              <w:tc>
                <w:tcPr>
                  <w:tcW w:w="893" w:type="pct"/>
                  <w:noWrap w:val="0"/>
                  <w:vAlign w:val="center"/>
                </w:tcPr>
                <w:p w14:paraId="3DF59BD8">
                  <w:pPr>
                    <w:pStyle w:val="143"/>
                    <w:adjustRightInd w:val="0"/>
                    <w:snapToGrid w:val="0"/>
                    <w:spacing w:line="240" w:lineRule="exact"/>
                    <w:ind w:left="105" w:leftChars="50"/>
                    <w:jc w:val="center"/>
                    <w:rPr>
                      <w:rFonts w:hint="default"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S6</w:t>
                  </w:r>
                </w:p>
              </w:tc>
              <w:tc>
                <w:tcPr>
                  <w:tcW w:w="893" w:type="pct"/>
                  <w:noWrap w:val="0"/>
                  <w:vAlign w:val="center"/>
                </w:tcPr>
                <w:p w14:paraId="27BAEF7B">
                  <w:pPr>
                    <w:pStyle w:val="143"/>
                    <w:adjustRightInd w:val="0"/>
                    <w:snapToGrid w:val="0"/>
                    <w:spacing w:line="240" w:lineRule="exact"/>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设备维护保养</w:t>
                  </w:r>
                </w:p>
              </w:tc>
              <w:tc>
                <w:tcPr>
                  <w:tcW w:w="1161" w:type="pct"/>
                  <w:noWrap w:val="0"/>
                  <w:vAlign w:val="center"/>
                </w:tcPr>
                <w:p w14:paraId="39ED891D">
                  <w:pPr>
                    <w:pStyle w:val="143"/>
                    <w:adjustRightInd w:val="0"/>
                    <w:snapToGrid w:val="0"/>
                    <w:spacing w:line="240" w:lineRule="exact"/>
                    <w:ind w:left="105" w:leftChars="50"/>
                    <w:jc w:val="center"/>
                    <w:rPr>
                      <w:rFonts w:hint="default"/>
                      <w:color w:val="auto"/>
                      <w:sz w:val="21"/>
                      <w:szCs w:val="21"/>
                      <w:lang w:val="en-US" w:eastAsia="zh-CN"/>
                    </w:rPr>
                  </w:pPr>
                  <w:r>
                    <w:rPr>
                      <w:rFonts w:hint="eastAsia"/>
                      <w:color w:val="auto"/>
                      <w:sz w:val="21"/>
                      <w:szCs w:val="21"/>
                      <w:lang w:val="en-US" w:eastAsia="zh-CN"/>
                    </w:rPr>
                    <w:t>含油抹布及手套</w:t>
                  </w:r>
                </w:p>
              </w:tc>
              <w:tc>
                <w:tcPr>
                  <w:tcW w:w="1463" w:type="pct"/>
                  <w:noWrap w:val="0"/>
                  <w:vAlign w:val="center"/>
                </w:tcPr>
                <w:p w14:paraId="791E4E5E">
                  <w:pPr>
                    <w:pStyle w:val="143"/>
                    <w:adjustRightInd w:val="0"/>
                    <w:snapToGrid w:val="0"/>
                    <w:spacing w:line="240" w:lineRule="exact"/>
                    <w:ind w:left="105" w:leftChars="50"/>
                    <w:jc w:val="center"/>
                    <w:rPr>
                      <w:rFonts w:hint="eastAsia" w:ascii="Times New Roman" w:hAnsi="Times New Roman" w:cs="Times New Roman"/>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委托有资质单位处置</w:t>
                  </w:r>
                </w:p>
              </w:tc>
            </w:tr>
          </w:tbl>
          <w:p w14:paraId="5B2861F3">
            <w:pPr>
              <w:spacing w:line="360" w:lineRule="auto"/>
              <w:rPr>
                <w:bCs/>
                <w:color w:val="auto"/>
                <w:sz w:val="21"/>
                <w:szCs w:val="21"/>
              </w:rPr>
            </w:pPr>
          </w:p>
        </w:tc>
      </w:tr>
      <w:tr w14:paraId="24727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96" w:type="dxa"/>
            <w:noWrap w:val="0"/>
            <w:vAlign w:val="center"/>
          </w:tcPr>
          <w:p w14:paraId="1D6E4EDA">
            <w:pPr>
              <w:pStyle w:val="37"/>
              <w:adjustRightInd w:val="0"/>
              <w:snapToGrid w:val="0"/>
              <w:spacing w:before="0" w:beforeAutospacing="0" w:after="0" w:afterAutospacing="0"/>
              <w:jc w:val="center"/>
              <w:rPr>
                <w:rFonts w:ascii="Times New Roman" w:hAnsi="Times New Roman"/>
                <w:color w:val="auto"/>
                <w:sz w:val="21"/>
                <w:szCs w:val="21"/>
                <w:lang w:val="en-US" w:eastAsia="zh-CN"/>
              </w:rPr>
            </w:pPr>
            <w:r>
              <w:rPr>
                <w:rFonts w:ascii="Times New Roman" w:hAnsi="Times New Roman"/>
                <w:bCs/>
                <w:color w:val="auto"/>
                <w:kern w:val="2"/>
                <w:sz w:val="21"/>
                <w:szCs w:val="21"/>
                <w:lang w:val="en-US" w:eastAsia="zh-CN"/>
              </w:rPr>
              <w:t>与项目有关的原有环境污染问题</w:t>
            </w:r>
          </w:p>
        </w:tc>
        <w:tc>
          <w:tcPr>
            <w:tcW w:w="8488" w:type="dxa"/>
            <w:noWrap w:val="0"/>
            <w:vAlign w:val="top"/>
          </w:tcPr>
          <w:p w14:paraId="43ED8832">
            <w:pPr>
              <w:adjustRightInd w:val="0"/>
              <w:snapToGrid w:val="0"/>
              <w:spacing w:line="360" w:lineRule="auto"/>
              <w:jc w:val="both"/>
              <w:rPr>
                <w:rFonts w:hint="eastAsia"/>
                <w:b w:val="0"/>
                <w:bCs w:val="0"/>
                <w:color w:val="auto"/>
                <w:lang w:val="en-US" w:eastAsia="zh-CN"/>
              </w:rPr>
            </w:pPr>
            <w:r>
              <w:rPr>
                <w:rFonts w:hint="eastAsia"/>
                <w:b/>
                <w:bCs/>
                <w:color w:val="auto"/>
                <w:lang w:val="en-US" w:eastAsia="zh-CN"/>
              </w:rPr>
              <w:t xml:space="preserve">   </w:t>
            </w:r>
            <w:r>
              <w:rPr>
                <w:rFonts w:hint="eastAsia"/>
                <w:b w:val="0"/>
                <w:bCs w:val="0"/>
                <w:color w:val="auto"/>
                <w:lang w:val="en-US" w:eastAsia="zh-CN"/>
              </w:rPr>
              <w:t>本项目为技改项目，原有项目“年产模锻1000吨、自由锻8000吨项目”建成情况如下：</w:t>
            </w:r>
          </w:p>
          <w:p w14:paraId="13C40E0F">
            <w:pPr>
              <w:adjustRightInd w:val="0"/>
              <w:snapToGrid w:val="0"/>
              <w:spacing w:line="360" w:lineRule="auto"/>
              <w:ind w:firstLine="422" w:firstLineChars="200"/>
              <w:jc w:val="both"/>
              <w:rPr>
                <w:rFonts w:hint="default"/>
                <w:b/>
                <w:bCs/>
                <w:color w:val="auto"/>
                <w:lang w:val="en-US" w:eastAsia="zh-CN"/>
              </w:rPr>
            </w:pPr>
            <w:r>
              <w:rPr>
                <w:rFonts w:hint="eastAsia"/>
                <w:b/>
                <w:bCs/>
                <w:color w:val="auto"/>
                <w:lang w:val="en-US" w:eastAsia="zh-CN"/>
              </w:rPr>
              <w:t>1、现有项目环评及验收情况</w:t>
            </w:r>
          </w:p>
          <w:p w14:paraId="7E8CE4F4">
            <w:pPr>
              <w:spacing w:line="240" w:lineRule="auto"/>
              <w:ind w:firstLine="422" w:firstLineChars="200"/>
              <w:jc w:val="center"/>
              <w:rPr>
                <w:rFonts w:hint="eastAsia"/>
                <w:b/>
                <w:bCs/>
                <w:color w:val="auto"/>
              </w:rPr>
            </w:pPr>
            <w:r>
              <w:rPr>
                <w:b/>
                <w:bCs/>
                <w:color w:val="auto"/>
              </w:rPr>
              <w:t>表</w:t>
            </w:r>
            <w:r>
              <w:rPr>
                <w:rFonts w:hint="eastAsia"/>
                <w:b/>
                <w:bCs/>
                <w:color w:val="auto"/>
              </w:rPr>
              <w:t>2</w:t>
            </w:r>
            <w:r>
              <w:rPr>
                <w:b/>
                <w:bCs/>
                <w:color w:val="auto"/>
              </w:rPr>
              <w:t>-</w:t>
            </w:r>
            <w:r>
              <w:rPr>
                <w:rFonts w:hint="eastAsia"/>
                <w:b/>
                <w:bCs/>
                <w:color w:val="auto"/>
                <w:lang w:val="en-US" w:eastAsia="zh-CN"/>
              </w:rPr>
              <w:t>7</w:t>
            </w:r>
            <w:r>
              <w:rPr>
                <w:rFonts w:hint="eastAsia"/>
                <w:b/>
                <w:bCs/>
                <w:color w:val="auto"/>
              </w:rPr>
              <w:t xml:space="preserve"> </w:t>
            </w:r>
            <w:r>
              <w:rPr>
                <w:b/>
                <w:bCs/>
                <w:color w:val="auto"/>
              </w:rPr>
              <w:t xml:space="preserve"> 现有项目环评</w:t>
            </w:r>
            <w:r>
              <w:rPr>
                <w:rFonts w:hint="eastAsia"/>
                <w:b/>
                <w:bCs/>
                <w:color w:val="auto"/>
              </w:rPr>
              <w:t>批复</w:t>
            </w:r>
            <w:r>
              <w:rPr>
                <w:b/>
                <w:bCs/>
                <w:color w:val="auto"/>
              </w:rPr>
              <w:t>情况汇总表</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92"/>
              <w:gridCol w:w="2389"/>
              <w:gridCol w:w="2291"/>
            </w:tblGrid>
            <w:tr w14:paraId="3F7E2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2171" w:type="pct"/>
                  <w:noWrap w:val="0"/>
                  <w:vAlign w:val="center"/>
                </w:tcPr>
                <w:p w14:paraId="2B59B67E">
                  <w:pPr>
                    <w:pStyle w:val="3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项目名称</w:t>
                  </w:r>
                </w:p>
              </w:tc>
              <w:tc>
                <w:tcPr>
                  <w:tcW w:w="1444" w:type="pct"/>
                  <w:noWrap w:val="0"/>
                  <w:tcMar>
                    <w:left w:w="57" w:type="dxa"/>
                    <w:right w:w="57" w:type="dxa"/>
                  </w:tcMar>
                  <w:vAlign w:val="center"/>
                </w:tcPr>
                <w:p w14:paraId="078E9D54">
                  <w:pPr>
                    <w:pStyle w:val="3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环评批复及时间</w:t>
                  </w:r>
                </w:p>
              </w:tc>
              <w:tc>
                <w:tcPr>
                  <w:tcW w:w="1384" w:type="pct"/>
                  <w:noWrap w:val="0"/>
                  <w:tcMar>
                    <w:left w:w="57" w:type="dxa"/>
                    <w:right w:w="57" w:type="dxa"/>
                  </w:tcMar>
                  <w:vAlign w:val="center"/>
                </w:tcPr>
                <w:p w14:paraId="414B7AF7">
                  <w:pPr>
                    <w:pStyle w:val="3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验收批复及时间</w:t>
                  </w:r>
                </w:p>
              </w:tc>
            </w:tr>
            <w:tr w14:paraId="7A358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1" w:type="pct"/>
                  <w:noWrap w:val="0"/>
                  <w:vAlign w:val="center"/>
                </w:tcPr>
                <w:p w14:paraId="736084C6">
                  <w:pPr>
                    <w:pStyle w:val="3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年产模锻1000吨、自由锻8000吨项目</w:t>
                  </w:r>
                </w:p>
              </w:tc>
              <w:tc>
                <w:tcPr>
                  <w:tcW w:w="1444" w:type="pct"/>
                  <w:noWrap w:val="0"/>
                  <w:tcMar>
                    <w:left w:w="57" w:type="dxa"/>
                    <w:right w:w="57" w:type="dxa"/>
                  </w:tcMar>
                  <w:vAlign w:val="center"/>
                </w:tcPr>
                <w:p w14:paraId="1EAC91E4">
                  <w:pPr>
                    <w:pStyle w:val="3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20</w:t>
                  </w:r>
                  <w:r>
                    <w:rPr>
                      <w:rFonts w:hint="eastAsia" w:cs="Times New Roman"/>
                      <w:color w:val="auto"/>
                      <w:sz w:val="21"/>
                      <w:szCs w:val="21"/>
                      <w:lang w:val="en-US" w:eastAsia="zh-CN"/>
                    </w:rPr>
                    <w:t>06年8月9日</w:t>
                  </w:r>
                </w:p>
              </w:tc>
              <w:tc>
                <w:tcPr>
                  <w:tcW w:w="1384" w:type="pct"/>
                  <w:noWrap w:val="0"/>
                  <w:tcMar>
                    <w:left w:w="57" w:type="dxa"/>
                    <w:right w:w="57" w:type="dxa"/>
                  </w:tcMar>
                  <w:vAlign w:val="center"/>
                </w:tcPr>
                <w:p w14:paraId="4F5AA266">
                  <w:pPr>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2009年11月</w:t>
                  </w:r>
                </w:p>
                <w:p w14:paraId="40F3D962">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（2009）海环监验字第07号</w:t>
                  </w:r>
                </w:p>
              </w:tc>
            </w:tr>
            <w:tr w14:paraId="4980AB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2171" w:type="pct"/>
                  <w:noWrap w:val="0"/>
                  <w:vAlign w:val="center"/>
                </w:tcPr>
                <w:p w14:paraId="4E306C01">
                  <w:pPr>
                    <w:pStyle w:val="17"/>
                    <w:adjustRightInd w:val="0"/>
                    <w:snapToGrid w:val="0"/>
                    <w:spacing w:after="0"/>
                    <w:ind w:left="0" w:lef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排污许可证申领情况</w:t>
                  </w:r>
                </w:p>
              </w:tc>
              <w:tc>
                <w:tcPr>
                  <w:tcW w:w="2828" w:type="pct"/>
                  <w:gridSpan w:val="2"/>
                  <w:noWrap w:val="0"/>
                  <w:vAlign w:val="center"/>
                </w:tcPr>
                <w:p w14:paraId="75856548">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91320684786322414K001P</w:t>
                  </w:r>
                </w:p>
              </w:tc>
            </w:tr>
            <w:tr w14:paraId="4E684A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2171" w:type="pct"/>
                  <w:noWrap w:val="0"/>
                  <w:vAlign w:val="center"/>
                </w:tcPr>
                <w:p w14:paraId="319399FE">
                  <w:pPr>
                    <w:pStyle w:val="17"/>
                    <w:adjustRightInd w:val="0"/>
                    <w:snapToGrid w:val="0"/>
                    <w:spacing w:after="0"/>
                    <w:ind w:left="0" w:leftChars="0"/>
                    <w:jc w:val="center"/>
                    <w:rPr>
                      <w:rFonts w:hint="default" w:cs="Times New Roman"/>
                      <w:color w:val="auto"/>
                      <w:sz w:val="21"/>
                      <w:szCs w:val="21"/>
                      <w:lang w:val="en-US" w:eastAsia="zh-CN"/>
                    </w:rPr>
                  </w:pPr>
                  <w:r>
                    <w:rPr>
                      <w:rFonts w:hint="eastAsia" w:cs="Times New Roman"/>
                      <w:color w:val="auto"/>
                      <w:sz w:val="21"/>
                      <w:szCs w:val="21"/>
                      <w:lang w:val="en-US" w:eastAsia="zh-CN"/>
                    </w:rPr>
                    <w:t>应急预案备案情况</w:t>
                  </w:r>
                </w:p>
              </w:tc>
              <w:tc>
                <w:tcPr>
                  <w:tcW w:w="2828" w:type="pct"/>
                  <w:gridSpan w:val="2"/>
                  <w:noWrap w:val="0"/>
                  <w:vAlign w:val="center"/>
                </w:tcPr>
                <w:p w14:paraId="1D200347">
                  <w:pPr>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备案编号：320684-2022-136-L</w:t>
                  </w:r>
                </w:p>
              </w:tc>
            </w:tr>
          </w:tbl>
          <w:p w14:paraId="6EB2790E">
            <w:pPr>
              <w:spacing w:line="360" w:lineRule="auto"/>
              <w:ind w:firstLine="422" w:firstLineChars="200"/>
              <w:rPr>
                <w:rFonts w:hint="eastAsia" w:eastAsia="宋体"/>
                <w:b/>
                <w:bCs/>
                <w:color w:val="auto"/>
                <w:lang w:eastAsia="zh-CN"/>
              </w:rPr>
            </w:pPr>
            <w:r>
              <w:rPr>
                <w:rFonts w:hint="eastAsia"/>
                <w:b/>
                <w:bCs/>
                <w:color w:val="auto"/>
                <w:lang w:val="en-US" w:eastAsia="zh-CN"/>
              </w:rPr>
              <w:t>2、</w:t>
            </w:r>
            <w:r>
              <w:rPr>
                <w:b/>
                <w:bCs/>
                <w:color w:val="auto"/>
              </w:rPr>
              <w:t>现有项目污染</w:t>
            </w:r>
            <w:r>
              <w:rPr>
                <w:rFonts w:hint="eastAsia"/>
                <w:b/>
                <w:bCs/>
                <w:color w:val="auto"/>
                <w:lang w:val="en-US" w:eastAsia="zh-CN"/>
              </w:rPr>
              <w:t>物排放情况</w:t>
            </w:r>
          </w:p>
          <w:p w14:paraId="5F5B40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eastAsia="宋体"/>
                <w:color w:val="auto"/>
                <w:sz w:val="21"/>
                <w:szCs w:val="21"/>
                <w:lang w:val="en-US" w:eastAsia="zh-CN"/>
              </w:rPr>
            </w:pPr>
            <w:r>
              <w:rPr>
                <w:rFonts w:hint="eastAsia"/>
                <w:color w:val="auto"/>
                <w:sz w:val="21"/>
                <w:szCs w:val="21"/>
                <w:lang w:val="en-US" w:eastAsia="zh-CN"/>
              </w:rPr>
              <w:t>现有项目污染物排放具体见表2-8</w:t>
            </w:r>
          </w:p>
          <w:p w14:paraId="4777E34F">
            <w:pPr>
              <w:pStyle w:val="4"/>
              <w:spacing w:before="0" w:after="0" w:line="240" w:lineRule="auto"/>
              <w:ind w:firstLine="422" w:firstLineChars="200"/>
              <w:jc w:val="center"/>
              <w:rPr>
                <w:rFonts w:hint="eastAsia" w:ascii="Times New Roman" w:hAnsi="Times New Roman"/>
                <w:color w:val="auto"/>
                <w:sz w:val="21"/>
                <w:szCs w:val="21"/>
              </w:rPr>
            </w:pPr>
            <w:r>
              <w:rPr>
                <w:rFonts w:ascii="Times New Roman" w:hAnsi="Times New Roman"/>
                <w:color w:val="auto"/>
                <w:sz w:val="21"/>
                <w:szCs w:val="21"/>
              </w:rPr>
              <w:t>表2-</w:t>
            </w:r>
            <w:r>
              <w:rPr>
                <w:rFonts w:hint="eastAsia" w:ascii="Times New Roman" w:hAnsi="Times New Roman"/>
                <w:color w:val="auto"/>
                <w:sz w:val="21"/>
                <w:szCs w:val="21"/>
                <w:lang w:val="en-US" w:eastAsia="zh-CN"/>
              </w:rPr>
              <w:t>8现有</w:t>
            </w:r>
            <w:r>
              <w:rPr>
                <w:rFonts w:ascii="Times New Roman" w:hAnsi="Times New Roman"/>
                <w:color w:val="auto"/>
                <w:sz w:val="21"/>
                <w:szCs w:val="21"/>
              </w:rPr>
              <w:t>项目污染物</w:t>
            </w:r>
            <w:r>
              <w:rPr>
                <w:rFonts w:hint="eastAsia" w:ascii="Times New Roman" w:hAnsi="Times New Roman"/>
                <w:color w:val="auto"/>
                <w:sz w:val="21"/>
                <w:szCs w:val="21"/>
                <w:lang w:val="en-US" w:eastAsia="zh-CN"/>
              </w:rPr>
              <w:t>产生及</w:t>
            </w:r>
            <w:r>
              <w:rPr>
                <w:rFonts w:ascii="Times New Roman" w:hAnsi="Times New Roman"/>
                <w:color w:val="auto"/>
                <w:sz w:val="21"/>
                <w:szCs w:val="21"/>
              </w:rPr>
              <w:t>排</w:t>
            </w:r>
            <w:r>
              <w:rPr>
                <w:rFonts w:hint="eastAsia" w:ascii="Times New Roman" w:hAnsi="Times New Roman"/>
                <w:color w:val="auto"/>
                <w:sz w:val="21"/>
                <w:szCs w:val="21"/>
              </w:rPr>
              <w:t>放</w:t>
            </w:r>
            <w:r>
              <w:rPr>
                <w:rFonts w:ascii="Times New Roman" w:hAnsi="Times New Roman"/>
                <w:color w:val="auto"/>
                <w:sz w:val="21"/>
                <w:szCs w:val="21"/>
              </w:rPr>
              <w:t>情况</w:t>
            </w:r>
            <w:r>
              <w:rPr>
                <w:rFonts w:hint="eastAsia" w:ascii="Times New Roman" w:hAnsi="Times New Roman" w:cs="Times New Roman"/>
                <w:b/>
                <w:snapToGrid w:val="0"/>
                <w:color w:val="auto"/>
                <w:sz w:val="21"/>
                <w:szCs w:val="21"/>
              </w:rPr>
              <w:t>（</w:t>
            </w:r>
            <w:r>
              <w:rPr>
                <w:rFonts w:ascii="Times New Roman" w:hAnsi="Times New Roman" w:cs="Times New Roman"/>
                <w:b/>
                <w:snapToGrid w:val="0"/>
                <w:color w:val="auto"/>
                <w:sz w:val="21"/>
                <w:szCs w:val="21"/>
              </w:rPr>
              <w:t>t/a</w:t>
            </w:r>
            <w:r>
              <w:rPr>
                <w:rFonts w:hint="eastAsia" w:ascii="Times New Roman" w:hAnsi="Times New Roman" w:cs="Times New Roman"/>
                <w:b/>
                <w:snapToGrid w:val="0"/>
                <w:color w:val="auto"/>
                <w:sz w:val="21"/>
                <w:szCs w:val="21"/>
              </w:rPr>
              <w:t>）</w:t>
            </w:r>
          </w:p>
          <w:tbl>
            <w:tblPr>
              <w:tblStyle w:val="42"/>
              <w:tblW w:w="496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1086"/>
              <w:gridCol w:w="2135"/>
              <w:gridCol w:w="1957"/>
              <w:gridCol w:w="1957"/>
            </w:tblGrid>
            <w:tr w14:paraId="216CF1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tcBorders>
                    <w:tl2br w:val="nil"/>
                    <w:tr2bl w:val="nil"/>
                  </w:tcBorders>
                  <w:noWrap w:val="0"/>
                  <w:vAlign w:val="center"/>
                </w:tcPr>
                <w:p w14:paraId="72FEA5C0">
                  <w:pPr>
                    <w:pStyle w:val="143"/>
                    <w:adjustRightInd w:val="0"/>
                    <w:snapToGrid w:val="0"/>
                    <w:spacing w:line="240" w:lineRule="exact"/>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类</w:t>
                  </w:r>
                  <w:r>
                    <w:rPr>
                      <w:rFonts w:hint="eastAsia" w:ascii="Times New Roman" w:hAnsi="Times New Roman" w:cs="Times New Roman"/>
                      <w:b/>
                      <w:snapToGrid w:val="0"/>
                      <w:color w:val="auto"/>
                      <w:sz w:val="21"/>
                      <w:szCs w:val="21"/>
                      <w:lang w:val="en-US"/>
                    </w:rPr>
                    <w:t>别</w:t>
                  </w:r>
                </w:p>
              </w:tc>
              <w:tc>
                <w:tcPr>
                  <w:tcW w:w="1298" w:type="pct"/>
                  <w:tcBorders>
                    <w:tl2br w:val="nil"/>
                    <w:tr2bl w:val="nil"/>
                  </w:tcBorders>
                  <w:noWrap w:val="0"/>
                  <w:vAlign w:val="center"/>
                </w:tcPr>
                <w:p w14:paraId="263B379B">
                  <w:pPr>
                    <w:pStyle w:val="143"/>
                    <w:adjustRightInd w:val="0"/>
                    <w:snapToGrid w:val="0"/>
                    <w:spacing w:line="240" w:lineRule="exact"/>
                    <w:jc w:val="center"/>
                    <w:rPr>
                      <w:rFonts w:ascii="Times New Roman" w:hAnsi="Times New Roman" w:cs="Times New Roman"/>
                      <w:b/>
                      <w:snapToGrid w:val="0"/>
                      <w:color w:val="auto"/>
                      <w:sz w:val="21"/>
                      <w:szCs w:val="21"/>
                    </w:rPr>
                  </w:pPr>
                  <w:r>
                    <w:rPr>
                      <w:rFonts w:ascii="Times New Roman" w:hAnsi="Times New Roman" w:cs="Times New Roman"/>
                      <w:b/>
                      <w:snapToGrid w:val="0"/>
                      <w:color w:val="auto"/>
                      <w:sz w:val="21"/>
                      <w:szCs w:val="21"/>
                    </w:rPr>
                    <w:t>污染物名称</w:t>
                  </w:r>
                </w:p>
              </w:tc>
              <w:tc>
                <w:tcPr>
                  <w:tcW w:w="1190" w:type="pct"/>
                  <w:tcBorders>
                    <w:tl2br w:val="nil"/>
                    <w:tr2bl w:val="nil"/>
                  </w:tcBorders>
                  <w:noWrap w:val="0"/>
                  <w:vAlign w:val="center"/>
                </w:tcPr>
                <w:p w14:paraId="5F96A9DF">
                  <w:pPr>
                    <w:pStyle w:val="143"/>
                    <w:adjustRightInd w:val="0"/>
                    <w:snapToGrid w:val="0"/>
                    <w:spacing w:line="240" w:lineRule="exact"/>
                    <w:jc w:val="center"/>
                    <w:rPr>
                      <w:rFonts w:hint="eastAsia" w:ascii="Times New Roman" w:hAnsi="Times New Roman" w:eastAsia="宋体" w:cs="Times New Roman"/>
                      <w:b/>
                      <w:snapToGrid w:val="0"/>
                      <w:color w:val="auto"/>
                      <w:sz w:val="21"/>
                      <w:szCs w:val="21"/>
                      <w:lang w:val="en-US" w:eastAsia="zh-CN"/>
                    </w:rPr>
                  </w:pPr>
                  <w:r>
                    <w:rPr>
                      <w:rFonts w:hint="eastAsia" w:ascii="Times New Roman" w:hAnsi="Times New Roman" w:cs="Times New Roman"/>
                      <w:b/>
                      <w:snapToGrid w:val="0"/>
                      <w:color w:val="auto"/>
                      <w:sz w:val="21"/>
                      <w:szCs w:val="21"/>
                      <w:lang w:val="en-US" w:eastAsia="zh-CN"/>
                    </w:rPr>
                    <w:t>产生量</w:t>
                  </w:r>
                </w:p>
              </w:tc>
              <w:tc>
                <w:tcPr>
                  <w:tcW w:w="1190" w:type="pct"/>
                  <w:tcBorders>
                    <w:tl2br w:val="nil"/>
                    <w:tr2bl w:val="nil"/>
                  </w:tcBorders>
                  <w:noWrap w:val="0"/>
                  <w:vAlign w:val="center"/>
                </w:tcPr>
                <w:p w14:paraId="4D31BD85">
                  <w:pPr>
                    <w:pStyle w:val="143"/>
                    <w:adjustRightInd w:val="0"/>
                    <w:snapToGrid w:val="0"/>
                    <w:spacing w:line="240" w:lineRule="exact"/>
                    <w:jc w:val="center"/>
                    <w:rPr>
                      <w:rFonts w:ascii="Times New Roman" w:hAnsi="Times New Roman" w:cs="Times New Roman"/>
                      <w:b/>
                      <w:snapToGrid w:val="0"/>
                      <w:color w:val="auto"/>
                      <w:sz w:val="21"/>
                      <w:szCs w:val="21"/>
                    </w:rPr>
                  </w:pPr>
                  <w:r>
                    <w:rPr>
                      <w:rFonts w:hint="eastAsia" w:ascii="Times New Roman" w:hAnsi="Times New Roman" w:cs="Times New Roman"/>
                      <w:b/>
                      <w:snapToGrid w:val="0"/>
                      <w:color w:val="auto"/>
                      <w:sz w:val="21"/>
                      <w:szCs w:val="21"/>
                    </w:rPr>
                    <w:t>排放量</w:t>
                  </w:r>
                </w:p>
              </w:tc>
            </w:tr>
            <w:tr w14:paraId="023EFE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9" w:type="pct"/>
                  <w:vMerge w:val="restart"/>
                  <w:tcBorders>
                    <w:tl2br w:val="nil"/>
                    <w:tr2bl w:val="nil"/>
                  </w:tcBorders>
                  <w:noWrap w:val="0"/>
                  <w:vAlign w:val="center"/>
                </w:tcPr>
                <w:p w14:paraId="24CF8F32">
                  <w:pPr>
                    <w:pStyle w:val="143"/>
                    <w:adjustRightInd w:val="0"/>
                    <w:snapToGrid w:val="0"/>
                    <w:spacing w:line="240" w:lineRule="exact"/>
                    <w:jc w:val="center"/>
                    <w:rPr>
                      <w:rFonts w:hint="eastAsia" w:ascii="Times New Roman" w:hAnsi="Times New Roman" w:eastAsia="宋体" w:cs="Times New Roman"/>
                      <w:b/>
                      <w:snapToGrid w:val="0"/>
                      <w:color w:val="auto"/>
                      <w:sz w:val="21"/>
                      <w:szCs w:val="21"/>
                      <w:lang w:val="en-US" w:eastAsia="zh-CN"/>
                    </w:rPr>
                  </w:pPr>
                  <w:r>
                    <w:rPr>
                      <w:rFonts w:hint="eastAsia" w:ascii="Times New Roman" w:hAnsi="Times New Roman" w:cs="Times New Roman"/>
                      <w:b/>
                      <w:snapToGrid w:val="0"/>
                      <w:color w:val="auto"/>
                      <w:sz w:val="21"/>
                      <w:szCs w:val="21"/>
                      <w:lang w:val="en-US" w:eastAsia="zh-CN"/>
                    </w:rPr>
                    <w:t>废气</w:t>
                  </w:r>
                </w:p>
              </w:tc>
              <w:tc>
                <w:tcPr>
                  <w:tcW w:w="660" w:type="pct"/>
                  <w:vMerge w:val="restart"/>
                  <w:tcBorders>
                    <w:tl2br w:val="nil"/>
                    <w:tr2bl w:val="nil"/>
                  </w:tcBorders>
                  <w:noWrap w:val="0"/>
                  <w:vAlign w:val="center"/>
                </w:tcPr>
                <w:p w14:paraId="7AB8DF64">
                  <w:pPr>
                    <w:pStyle w:val="143"/>
                    <w:adjustRightInd w:val="0"/>
                    <w:snapToGrid w:val="0"/>
                    <w:spacing w:line="240" w:lineRule="exact"/>
                    <w:jc w:val="center"/>
                    <w:rPr>
                      <w:rFonts w:hint="eastAsia" w:ascii="Times New Roman" w:hAnsi="Times New Roman" w:eastAsia="宋体" w:cs="Times New Roman"/>
                      <w:b/>
                      <w:snapToGrid w:val="0"/>
                      <w:color w:val="auto"/>
                      <w:sz w:val="21"/>
                      <w:szCs w:val="21"/>
                      <w:lang w:val="en-US" w:eastAsia="zh-CN"/>
                    </w:rPr>
                  </w:pPr>
                  <w:r>
                    <w:rPr>
                      <w:rFonts w:hint="eastAsia" w:ascii="Times New Roman" w:hAnsi="Times New Roman" w:cs="Times New Roman"/>
                      <w:b/>
                      <w:snapToGrid w:val="0"/>
                      <w:color w:val="auto"/>
                      <w:sz w:val="21"/>
                      <w:szCs w:val="21"/>
                      <w:lang w:val="en-US" w:eastAsia="zh-CN"/>
                    </w:rPr>
                    <w:t>有组织</w:t>
                  </w:r>
                </w:p>
              </w:tc>
              <w:tc>
                <w:tcPr>
                  <w:tcW w:w="1298" w:type="pct"/>
                  <w:tcBorders>
                    <w:tl2br w:val="nil"/>
                    <w:tr2bl w:val="nil"/>
                  </w:tcBorders>
                  <w:noWrap w:val="0"/>
                  <w:vAlign w:val="center"/>
                </w:tcPr>
                <w:p w14:paraId="0118D227">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烟尘</w:t>
                  </w:r>
                </w:p>
              </w:tc>
              <w:tc>
                <w:tcPr>
                  <w:tcW w:w="1190" w:type="pct"/>
                  <w:tcBorders>
                    <w:tl2br w:val="nil"/>
                    <w:tr2bl w:val="nil"/>
                  </w:tcBorders>
                  <w:noWrap w:val="0"/>
                  <w:vAlign w:val="center"/>
                </w:tcPr>
                <w:p w14:paraId="7986C812">
                  <w:pPr>
                    <w:adjustRightInd w:val="0"/>
                    <w:snapToGrid w:val="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30</w:t>
                  </w:r>
                </w:p>
              </w:tc>
              <w:tc>
                <w:tcPr>
                  <w:tcW w:w="1190" w:type="pct"/>
                  <w:tcBorders>
                    <w:tl2br w:val="nil"/>
                    <w:tr2bl w:val="nil"/>
                  </w:tcBorders>
                  <w:noWrap w:val="0"/>
                  <w:vAlign w:val="center"/>
                </w:tcPr>
                <w:p w14:paraId="322A718A">
                  <w:pPr>
                    <w:adjustRightInd w:val="0"/>
                    <w:snapToGrid w:val="0"/>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3</w:t>
                  </w:r>
                </w:p>
              </w:tc>
            </w:tr>
            <w:tr w14:paraId="48F83B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9" w:type="pct"/>
                  <w:vMerge w:val="continue"/>
                  <w:tcBorders>
                    <w:tl2br w:val="nil"/>
                    <w:tr2bl w:val="nil"/>
                  </w:tcBorders>
                  <w:noWrap w:val="0"/>
                  <w:vAlign w:val="center"/>
                </w:tcPr>
                <w:p w14:paraId="1E9B2455">
                  <w:pPr>
                    <w:pStyle w:val="143"/>
                    <w:adjustRightInd w:val="0"/>
                    <w:snapToGrid w:val="0"/>
                    <w:spacing w:line="240" w:lineRule="exact"/>
                    <w:jc w:val="center"/>
                    <w:rPr>
                      <w:rFonts w:ascii="Times New Roman" w:hAnsi="Times New Roman" w:cs="Times New Roman"/>
                      <w:b/>
                      <w:snapToGrid w:val="0"/>
                      <w:color w:val="auto"/>
                      <w:sz w:val="21"/>
                      <w:szCs w:val="21"/>
                      <w:lang w:val="en-US"/>
                    </w:rPr>
                  </w:pPr>
                </w:p>
              </w:tc>
              <w:tc>
                <w:tcPr>
                  <w:tcW w:w="660" w:type="pct"/>
                  <w:vMerge w:val="continue"/>
                  <w:tcBorders>
                    <w:tl2br w:val="nil"/>
                    <w:tr2bl w:val="nil"/>
                  </w:tcBorders>
                  <w:noWrap w:val="0"/>
                  <w:vAlign w:val="center"/>
                </w:tcPr>
                <w:p w14:paraId="5402A513">
                  <w:pPr>
                    <w:pStyle w:val="143"/>
                    <w:adjustRightInd w:val="0"/>
                    <w:snapToGrid w:val="0"/>
                    <w:spacing w:line="240" w:lineRule="exact"/>
                    <w:jc w:val="center"/>
                    <w:rPr>
                      <w:rFonts w:ascii="Times New Roman" w:hAnsi="Times New Roman" w:cs="Times New Roman"/>
                      <w:b/>
                      <w:snapToGrid w:val="0"/>
                      <w:color w:val="auto"/>
                      <w:sz w:val="21"/>
                      <w:szCs w:val="21"/>
                      <w:lang w:val="en-US"/>
                    </w:rPr>
                  </w:pPr>
                </w:p>
              </w:tc>
              <w:tc>
                <w:tcPr>
                  <w:tcW w:w="1298" w:type="pct"/>
                  <w:tcBorders>
                    <w:tl2br w:val="nil"/>
                    <w:tr2bl w:val="nil"/>
                  </w:tcBorders>
                  <w:noWrap w:val="0"/>
                  <w:vAlign w:val="center"/>
                </w:tcPr>
                <w:p w14:paraId="3698DA13">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二氧化硫</w:t>
                  </w:r>
                </w:p>
              </w:tc>
              <w:tc>
                <w:tcPr>
                  <w:tcW w:w="1190" w:type="pct"/>
                  <w:tcBorders>
                    <w:tl2br w:val="nil"/>
                    <w:tr2bl w:val="nil"/>
                  </w:tcBorders>
                  <w:noWrap w:val="0"/>
                  <w:vAlign w:val="center"/>
                </w:tcPr>
                <w:p w14:paraId="7FACD304">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w:t>
                  </w:r>
                </w:p>
              </w:tc>
              <w:tc>
                <w:tcPr>
                  <w:tcW w:w="1190" w:type="pct"/>
                  <w:tcBorders>
                    <w:tl2br w:val="nil"/>
                    <w:tr2bl w:val="nil"/>
                  </w:tcBorders>
                  <w:noWrap w:val="0"/>
                  <w:vAlign w:val="center"/>
                </w:tcPr>
                <w:p w14:paraId="3D4FE0A4">
                  <w:pPr>
                    <w:adjustRightInd w:val="0"/>
                    <w:snapToGrid w:val="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2.9</w:t>
                  </w:r>
                </w:p>
              </w:tc>
            </w:tr>
            <w:tr w14:paraId="7FA090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9" w:type="pct"/>
                  <w:vMerge w:val="continue"/>
                  <w:tcBorders>
                    <w:tl2br w:val="nil"/>
                    <w:tr2bl w:val="nil"/>
                  </w:tcBorders>
                  <w:noWrap w:val="0"/>
                  <w:vAlign w:val="center"/>
                </w:tcPr>
                <w:p w14:paraId="53AE18FA">
                  <w:pPr>
                    <w:pStyle w:val="143"/>
                    <w:adjustRightInd w:val="0"/>
                    <w:snapToGrid w:val="0"/>
                    <w:spacing w:line="240" w:lineRule="exact"/>
                    <w:jc w:val="center"/>
                    <w:rPr>
                      <w:rFonts w:ascii="Times New Roman" w:hAnsi="Times New Roman" w:cs="Times New Roman"/>
                      <w:b/>
                      <w:snapToGrid w:val="0"/>
                      <w:color w:val="auto"/>
                      <w:sz w:val="21"/>
                      <w:szCs w:val="21"/>
                      <w:lang w:val="en-US"/>
                    </w:rPr>
                  </w:pPr>
                </w:p>
              </w:tc>
              <w:tc>
                <w:tcPr>
                  <w:tcW w:w="660" w:type="pct"/>
                  <w:vMerge w:val="continue"/>
                  <w:tcBorders>
                    <w:tl2br w:val="nil"/>
                    <w:tr2bl w:val="nil"/>
                  </w:tcBorders>
                  <w:noWrap w:val="0"/>
                  <w:vAlign w:val="center"/>
                </w:tcPr>
                <w:p w14:paraId="3B2E5311">
                  <w:pPr>
                    <w:pStyle w:val="143"/>
                    <w:adjustRightInd w:val="0"/>
                    <w:snapToGrid w:val="0"/>
                    <w:spacing w:line="240" w:lineRule="exact"/>
                    <w:jc w:val="center"/>
                    <w:rPr>
                      <w:rFonts w:ascii="Times New Roman" w:hAnsi="Times New Roman" w:cs="Times New Roman"/>
                      <w:b/>
                      <w:snapToGrid w:val="0"/>
                      <w:color w:val="auto"/>
                      <w:sz w:val="21"/>
                      <w:szCs w:val="21"/>
                      <w:lang w:val="en-US"/>
                    </w:rPr>
                  </w:pPr>
                </w:p>
              </w:tc>
              <w:tc>
                <w:tcPr>
                  <w:tcW w:w="1298" w:type="pct"/>
                  <w:tcBorders>
                    <w:tl2br w:val="nil"/>
                    <w:tr2bl w:val="nil"/>
                  </w:tcBorders>
                  <w:noWrap w:val="0"/>
                  <w:vAlign w:val="center"/>
                </w:tcPr>
                <w:p w14:paraId="70E608E4">
                  <w:pPr>
                    <w:jc w:val="center"/>
                    <w:rPr>
                      <w:rFonts w:hint="default"/>
                      <w:color w:val="auto"/>
                      <w:szCs w:val="21"/>
                      <w:lang w:val="en-US" w:eastAsia="zh-CN"/>
                    </w:rPr>
                  </w:pPr>
                  <w:r>
                    <w:rPr>
                      <w:rFonts w:hint="eastAsia"/>
                      <w:color w:val="auto"/>
                      <w:szCs w:val="21"/>
                      <w:lang w:val="en-US" w:eastAsia="zh-CN"/>
                    </w:rPr>
                    <w:t>油烟</w:t>
                  </w:r>
                </w:p>
              </w:tc>
              <w:tc>
                <w:tcPr>
                  <w:tcW w:w="1190" w:type="pct"/>
                  <w:tcBorders>
                    <w:tl2br w:val="nil"/>
                    <w:tr2bl w:val="nil"/>
                  </w:tcBorders>
                  <w:noWrap w:val="0"/>
                  <w:vAlign w:val="center"/>
                </w:tcPr>
                <w:p w14:paraId="107425D6">
                  <w:pPr>
                    <w:jc w:val="center"/>
                    <w:rPr>
                      <w:rFonts w:hint="default"/>
                      <w:color w:val="auto"/>
                      <w:lang w:val="en-US" w:eastAsia="zh-CN"/>
                    </w:rPr>
                  </w:pPr>
                  <w:r>
                    <w:rPr>
                      <w:rFonts w:hint="eastAsia"/>
                      <w:color w:val="auto"/>
                      <w:lang w:val="en-US" w:eastAsia="zh-CN"/>
                    </w:rPr>
                    <w:t>0.024</w:t>
                  </w:r>
                </w:p>
              </w:tc>
              <w:tc>
                <w:tcPr>
                  <w:tcW w:w="1190" w:type="pct"/>
                  <w:tcBorders>
                    <w:tl2br w:val="nil"/>
                    <w:tr2bl w:val="nil"/>
                  </w:tcBorders>
                  <w:noWrap w:val="0"/>
                  <w:vAlign w:val="center"/>
                </w:tcPr>
                <w:p w14:paraId="57B41054">
                  <w:pPr>
                    <w:adjustRightInd w:val="0"/>
                    <w:snapToGrid w:val="0"/>
                    <w:jc w:val="center"/>
                    <w:textAlignment w:val="center"/>
                    <w:rPr>
                      <w:rFonts w:hint="default"/>
                      <w:bCs/>
                      <w:color w:val="auto"/>
                      <w:szCs w:val="21"/>
                      <w:lang w:val="en-US" w:eastAsia="zh-CN"/>
                    </w:rPr>
                  </w:pPr>
                  <w:r>
                    <w:rPr>
                      <w:rFonts w:hint="eastAsia"/>
                      <w:bCs/>
                      <w:color w:val="auto"/>
                      <w:szCs w:val="21"/>
                      <w:lang w:val="en-US" w:eastAsia="zh-CN"/>
                    </w:rPr>
                    <w:t>0.005</w:t>
                  </w:r>
                </w:p>
              </w:tc>
            </w:tr>
            <w:tr w14:paraId="3AFD55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restart"/>
                  <w:tcBorders>
                    <w:tl2br w:val="nil"/>
                    <w:tr2bl w:val="nil"/>
                  </w:tcBorders>
                  <w:noWrap w:val="0"/>
                  <w:vAlign w:val="center"/>
                </w:tcPr>
                <w:p w14:paraId="16F355E5">
                  <w:pPr>
                    <w:pStyle w:val="143"/>
                    <w:adjustRightInd w:val="0"/>
                    <w:snapToGrid w:val="0"/>
                    <w:spacing w:line="240" w:lineRule="exact"/>
                    <w:jc w:val="center"/>
                    <w:rPr>
                      <w:rFonts w:hint="default" w:ascii="Times New Roman" w:hAnsi="Times New Roman" w:eastAsia="宋体" w:cs="Times New Roman"/>
                      <w:b/>
                      <w:bCs w:val="0"/>
                      <w:snapToGrid w:val="0"/>
                      <w:color w:val="auto"/>
                      <w:sz w:val="21"/>
                      <w:szCs w:val="21"/>
                      <w:lang w:val="en-US" w:eastAsia="zh-CN"/>
                    </w:rPr>
                  </w:pPr>
                  <w:r>
                    <w:rPr>
                      <w:rFonts w:hint="eastAsia" w:ascii="Times New Roman" w:hAnsi="Times New Roman" w:cs="Times New Roman"/>
                      <w:b/>
                      <w:bCs w:val="0"/>
                      <w:snapToGrid w:val="0"/>
                      <w:color w:val="auto"/>
                      <w:sz w:val="21"/>
                      <w:szCs w:val="21"/>
                      <w:lang w:val="en-US" w:eastAsia="zh-CN"/>
                    </w:rPr>
                    <w:t>生活污水</w:t>
                  </w:r>
                </w:p>
              </w:tc>
              <w:tc>
                <w:tcPr>
                  <w:tcW w:w="1298" w:type="pct"/>
                  <w:tcBorders>
                    <w:tl2br w:val="nil"/>
                    <w:tr2bl w:val="nil"/>
                  </w:tcBorders>
                  <w:noWrap w:val="0"/>
                  <w:vAlign w:val="center"/>
                </w:tcPr>
                <w:p w14:paraId="4BF49846">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水量</w:t>
                  </w:r>
                </w:p>
              </w:tc>
              <w:tc>
                <w:tcPr>
                  <w:tcW w:w="1190" w:type="pct"/>
                  <w:tcBorders>
                    <w:tl2br w:val="nil"/>
                    <w:tr2bl w:val="nil"/>
                  </w:tcBorders>
                  <w:noWrap w:val="0"/>
                  <w:vAlign w:val="center"/>
                </w:tcPr>
                <w:p w14:paraId="7EA466B3">
                  <w:pPr>
                    <w:pStyle w:val="103"/>
                    <w:ind w:right="113" w:rightChars="0"/>
                    <w:rPr>
                      <w:rFonts w:hint="default" w:ascii="Times New Roman" w:hAnsi="Arial Black" w:eastAsia="仿宋_GB2312" w:cs="Times New Roman"/>
                      <w:color w:val="auto"/>
                      <w:spacing w:val="-4"/>
                      <w:kern w:val="2"/>
                      <w:sz w:val="21"/>
                      <w:szCs w:val="21"/>
                      <w:lang w:val="en-US" w:eastAsia="zh-CN" w:bidi="ar-SA"/>
                    </w:rPr>
                  </w:pPr>
                  <w:r>
                    <w:rPr>
                      <w:rFonts w:hint="eastAsia"/>
                      <w:color w:val="auto"/>
                      <w:sz w:val="21"/>
                      <w:szCs w:val="21"/>
                      <w:lang w:val="en-US" w:eastAsia="zh-CN"/>
                    </w:rPr>
                    <w:t>1000</w:t>
                  </w:r>
                </w:p>
              </w:tc>
              <w:tc>
                <w:tcPr>
                  <w:tcW w:w="1190" w:type="pct"/>
                  <w:tcBorders>
                    <w:tl2br w:val="nil"/>
                    <w:tr2bl w:val="nil"/>
                  </w:tcBorders>
                  <w:noWrap w:val="0"/>
                  <w:vAlign w:val="center"/>
                </w:tcPr>
                <w:p w14:paraId="05059A79">
                  <w:pPr>
                    <w:pStyle w:val="103"/>
                    <w:ind w:right="113" w:rightChars="0"/>
                    <w:rPr>
                      <w:rFonts w:hint="default" w:ascii="Times New Roman" w:hAnsi="Arial Black" w:eastAsia="仿宋_GB2312" w:cs="Times New Roman"/>
                      <w:color w:val="auto"/>
                      <w:spacing w:val="-4"/>
                      <w:kern w:val="2"/>
                      <w:sz w:val="21"/>
                      <w:szCs w:val="21"/>
                      <w:lang w:val="en-US" w:eastAsia="zh-CN" w:bidi="ar-SA"/>
                    </w:rPr>
                  </w:pPr>
                  <w:r>
                    <w:rPr>
                      <w:rFonts w:hint="eastAsia"/>
                      <w:color w:val="auto"/>
                      <w:sz w:val="21"/>
                      <w:szCs w:val="21"/>
                      <w:lang w:val="en-US" w:eastAsia="zh-CN"/>
                    </w:rPr>
                    <w:t>1000</w:t>
                  </w:r>
                </w:p>
              </w:tc>
            </w:tr>
            <w:tr w14:paraId="2A5557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22424B69">
                  <w:pPr>
                    <w:pStyle w:val="143"/>
                    <w:adjustRightInd w:val="0"/>
                    <w:snapToGrid w:val="0"/>
                    <w:spacing w:line="240" w:lineRule="exact"/>
                    <w:jc w:val="center"/>
                    <w:rPr>
                      <w:rFonts w:ascii="Times New Roman" w:hAnsi="Times New Roman" w:cs="Times New Roman"/>
                      <w:b/>
                      <w:bCs w:val="0"/>
                      <w:snapToGrid w:val="0"/>
                      <w:color w:val="auto"/>
                      <w:sz w:val="21"/>
                      <w:szCs w:val="21"/>
                      <w:lang w:val="en-US"/>
                    </w:rPr>
                  </w:pPr>
                </w:p>
              </w:tc>
              <w:tc>
                <w:tcPr>
                  <w:tcW w:w="1298" w:type="pct"/>
                  <w:tcBorders>
                    <w:tl2br w:val="nil"/>
                    <w:tr2bl w:val="nil"/>
                  </w:tcBorders>
                  <w:noWrap w:val="0"/>
                  <w:vAlign w:val="center"/>
                </w:tcPr>
                <w:p w14:paraId="5D3A4E1D">
                  <w:pPr>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COD</w:t>
                  </w:r>
                </w:p>
              </w:tc>
              <w:tc>
                <w:tcPr>
                  <w:tcW w:w="1190" w:type="pct"/>
                  <w:tcBorders>
                    <w:tl2br w:val="nil"/>
                    <w:tr2bl w:val="nil"/>
                  </w:tcBorders>
                  <w:noWrap w:val="0"/>
                  <w:vAlign w:val="center"/>
                </w:tcPr>
                <w:p w14:paraId="6CD843A9">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0.3</w:t>
                  </w:r>
                </w:p>
              </w:tc>
              <w:tc>
                <w:tcPr>
                  <w:tcW w:w="1190" w:type="pct"/>
                  <w:tcBorders>
                    <w:tl2br w:val="nil"/>
                    <w:tr2bl w:val="nil"/>
                  </w:tcBorders>
                  <w:noWrap w:val="0"/>
                  <w:vAlign w:val="center"/>
                </w:tcPr>
                <w:p w14:paraId="78AC9848">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0.1</w:t>
                  </w:r>
                </w:p>
              </w:tc>
            </w:tr>
            <w:tr w14:paraId="3B0625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43968D1E">
                  <w:pPr>
                    <w:pStyle w:val="143"/>
                    <w:adjustRightInd w:val="0"/>
                    <w:snapToGrid w:val="0"/>
                    <w:spacing w:line="240" w:lineRule="exact"/>
                    <w:jc w:val="center"/>
                    <w:rPr>
                      <w:rFonts w:ascii="Times New Roman" w:hAnsi="Times New Roman" w:cs="Times New Roman"/>
                      <w:b/>
                      <w:bCs w:val="0"/>
                      <w:snapToGrid w:val="0"/>
                      <w:color w:val="auto"/>
                      <w:sz w:val="21"/>
                      <w:szCs w:val="21"/>
                      <w:lang w:val="en-US"/>
                    </w:rPr>
                  </w:pPr>
                </w:p>
              </w:tc>
              <w:tc>
                <w:tcPr>
                  <w:tcW w:w="1298" w:type="pct"/>
                  <w:tcBorders>
                    <w:tl2br w:val="nil"/>
                    <w:tr2bl w:val="nil"/>
                  </w:tcBorders>
                  <w:noWrap w:val="0"/>
                  <w:vAlign w:val="center"/>
                </w:tcPr>
                <w:p w14:paraId="5A4EC6C0">
                  <w:pPr>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SS</w:t>
                  </w:r>
                </w:p>
              </w:tc>
              <w:tc>
                <w:tcPr>
                  <w:tcW w:w="1190" w:type="pct"/>
                  <w:tcBorders>
                    <w:tl2br w:val="nil"/>
                    <w:tr2bl w:val="nil"/>
                  </w:tcBorders>
                  <w:noWrap w:val="0"/>
                  <w:vAlign w:val="center"/>
                </w:tcPr>
                <w:p w14:paraId="77EA11D7">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w:t>
                  </w:r>
                </w:p>
              </w:tc>
              <w:tc>
                <w:tcPr>
                  <w:tcW w:w="1190" w:type="pct"/>
                  <w:tcBorders>
                    <w:tl2br w:val="nil"/>
                    <w:tr2bl w:val="nil"/>
                  </w:tcBorders>
                  <w:noWrap w:val="0"/>
                  <w:vAlign w:val="center"/>
                </w:tcPr>
                <w:p w14:paraId="158A017F">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0.07</w:t>
                  </w:r>
                </w:p>
              </w:tc>
            </w:tr>
            <w:tr w14:paraId="2C371E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3F4FD827">
                  <w:pPr>
                    <w:pStyle w:val="143"/>
                    <w:adjustRightInd w:val="0"/>
                    <w:snapToGrid w:val="0"/>
                    <w:spacing w:line="240" w:lineRule="exact"/>
                    <w:jc w:val="center"/>
                    <w:rPr>
                      <w:rFonts w:ascii="Times New Roman" w:hAnsi="Times New Roman" w:cs="Times New Roman"/>
                      <w:b/>
                      <w:bCs w:val="0"/>
                      <w:snapToGrid w:val="0"/>
                      <w:color w:val="auto"/>
                      <w:sz w:val="21"/>
                      <w:szCs w:val="21"/>
                      <w:lang w:val="en-US"/>
                    </w:rPr>
                  </w:pPr>
                </w:p>
              </w:tc>
              <w:tc>
                <w:tcPr>
                  <w:tcW w:w="1298" w:type="pct"/>
                  <w:tcBorders>
                    <w:tl2br w:val="nil"/>
                    <w:tr2bl w:val="nil"/>
                  </w:tcBorders>
                  <w:noWrap w:val="0"/>
                  <w:vAlign w:val="center"/>
                </w:tcPr>
                <w:p w14:paraId="0F90B2C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石油类</w:t>
                  </w:r>
                </w:p>
              </w:tc>
              <w:tc>
                <w:tcPr>
                  <w:tcW w:w="1190" w:type="pct"/>
                  <w:tcBorders>
                    <w:tl2br w:val="nil"/>
                    <w:tr2bl w:val="nil"/>
                  </w:tcBorders>
                  <w:noWrap w:val="0"/>
                  <w:vAlign w:val="center"/>
                </w:tcPr>
                <w:p w14:paraId="17BE6CBD">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0.015</w:t>
                  </w:r>
                </w:p>
              </w:tc>
              <w:tc>
                <w:tcPr>
                  <w:tcW w:w="1190" w:type="pct"/>
                  <w:tcBorders>
                    <w:tl2br w:val="nil"/>
                    <w:tr2bl w:val="nil"/>
                  </w:tcBorders>
                  <w:noWrap w:val="0"/>
                  <w:vAlign w:val="center"/>
                </w:tcPr>
                <w:p w14:paraId="73EF5EAE">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0.005</w:t>
                  </w:r>
                </w:p>
              </w:tc>
            </w:tr>
            <w:tr w14:paraId="4104D4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restart"/>
                  <w:tcBorders>
                    <w:tl2br w:val="nil"/>
                    <w:tr2bl w:val="nil"/>
                  </w:tcBorders>
                  <w:noWrap w:val="0"/>
                  <w:vAlign w:val="center"/>
                </w:tcPr>
                <w:p w14:paraId="3C0ED9E5">
                  <w:pPr>
                    <w:pStyle w:val="143"/>
                    <w:adjustRightInd w:val="0"/>
                    <w:snapToGrid w:val="0"/>
                    <w:spacing w:line="240" w:lineRule="exact"/>
                    <w:jc w:val="center"/>
                    <w:rPr>
                      <w:rFonts w:ascii="Times New Roman" w:hAnsi="Times New Roman" w:cs="Times New Roman"/>
                      <w:b/>
                      <w:bCs w:val="0"/>
                      <w:snapToGrid w:val="0"/>
                      <w:color w:val="auto"/>
                      <w:sz w:val="21"/>
                      <w:szCs w:val="21"/>
                      <w:lang w:val="en-US"/>
                    </w:rPr>
                  </w:pPr>
                  <w:r>
                    <w:rPr>
                      <w:rFonts w:hint="eastAsia" w:ascii="Times New Roman" w:hAnsi="Times New Roman" w:cs="Times New Roman"/>
                      <w:b/>
                      <w:bCs w:val="0"/>
                      <w:snapToGrid w:val="0"/>
                      <w:color w:val="auto"/>
                      <w:sz w:val="21"/>
                      <w:szCs w:val="21"/>
                      <w:lang w:val="en-US"/>
                    </w:rPr>
                    <w:t>固体废物</w:t>
                  </w:r>
                </w:p>
              </w:tc>
              <w:tc>
                <w:tcPr>
                  <w:tcW w:w="1298" w:type="pct"/>
                  <w:tcBorders>
                    <w:tl2br w:val="nil"/>
                    <w:tr2bl w:val="nil"/>
                  </w:tcBorders>
                  <w:noWrap w:val="0"/>
                  <w:vAlign w:val="center"/>
                </w:tcPr>
                <w:p w14:paraId="232D3D2F">
                  <w:pPr>
                    <w:adjustRightInd w:val="0"/>
                    <w:snapToGrid w:val="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生活垃圾</w:t>
                  </w:r>
                </w:p>
              </w:tc>
              <w:tc>
                <w:tcPr>
                  <w:tcW w:w="1190" w:type="pct"/>
                  <w:tcBorders>
                    <w:tl2br w:val="nil"/>
                    <w:tr2bl w:val="nil"/>
                  </w:tcBorders>
                  <w:noWrap w:val="0"/>
                  <w:vAlign w:val="center"/>
                </w:tcPr>
                <w:p w14:paraId="40D35231">
                  <w:pPr>
                    <w:adjustRightInd w:val="0"/>
                    <w:snapToGrid w:val="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12.5</w:t>
                  </w:r>
                </w:p>
              </w:tc>
              <w:tc>
                <w:tcPr>
                  <w:tcW w:w="1190" w:type="pct"/>
                  <w:tcBorders>
                    <w:tl2br w:val="nil"/>
                    <w:tr2bl w:val="nil"/>
                  </w:tcBorders>
                  <w:noWrap w:val="0"/>
                  <w:vAlign w:val="center"/>
                </w:tcPr>
                <w:p w14:paraId="6A45E613">
                  <w:pPr>
                    <w:widowControl/>
                    <w:jc w:val="center"/>
                    <w:rPr>
                      <w:rFonts w:hint="default" w:ascii="Times New Roman" w:hAnsi="Times New Roman" w:eastAsia="宋体" w:cs="Times New Roman"/>
                      <w:snapToGrid w:val="0"/>
                      <w:color w:val="auto"/>
                      <w:sz w:val="21"/>
                      <w:szCs w:val="21"/>
                      <w:lang w:val="en-US" w:eastAsia="zh-CN"/>
                    </w:rPr>
                  </w:pPr>
                  <w:r>
                    <w:rPr>
                      <w:color w:val="auto"/>
                      <w:szCs w:val="21"/>
                    </w:rPr>
                    <w:t>0</w:t>
                  </w:r>
                </w:p>
              </w:tc>
            </w:tr>
            <w:tr w14:paraId="3F99C0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1A0064C4">
                  <w:pPr>
                    <w:pStyle w:val="143"/>
                    <w:adjustRightInd w:val="0"/>
                    <w:snapToGrid w:val="0"/>
                    <w:spacing w:line="240" w:lineRule="exact"/>
                    <w:jc w:val="center"/>
                    <w:rPr>
                      <w:rFonts w:hint="eastAsia" w:ascii="Times New Roman" w:hAnsi="Times New Roman" w:cs="Times New Roman"/>
                      <w:snapToGrid w:val="0"/>
                      <w:color w:val="auto"/>
                      <w:sz w:val="21"/>
                      <w:szCs w:val="21"/>
                      <w:lang w:val="en-US"/>
                    </w:rPr>
                  </w:pPr>
                </w:p>
              </w:tc>
              <w:tc>
                <w:tcPr>
                  <w:tcW w:w="1298" w:type="pct"/>
                  <w:tcBorders>
                    <w:tl2br w:val="nil"/>
                    <w:tr2bl w:val="nil"/>
                  </w:tcBorders>
                  <w:noWrap w:val="0"/>
                  <w:vAlign w:val="center"/>
                </w:tcPr>
                <w:p w14:paraId="0D08CB7D">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废钢、氧化皮</w:t>
                  </w:r>
                </w:p>
              </w:tc>
              <w:tc>
                <w:tcPr>
                  <w:tcW w:w="1190" w:type="pct"/>
                  <w:tcBorders>
                    <w:tl2br w:val="nil"/>
                    <w:tr2bl w:val="nil"/>
                  </w:tcBorders>
                  <w:noWrap w:val="0"/>
                  <w:vAlign w:val="center"/>
                </w:tcPr>
                <w:p w14:paraId="13C103CB">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430</w:t>
                  </w:r>
                </w:p>
              </w:tc>
              <w:tc>
                <w:tcPr>
                  <w:tcW w:w="1190" w:type="pct"/>
                  <w:tcBorders>
                    <w:tl2br w:val="nil"/>
                    <w:tr2bl w:val="nil"/>
                  </w:tcBorders>
                  <w:noWrap w:val="0"/>
                  <w:vAlign w:val="center"/>
                </w:tcPr>
                <w:p w14:paraId="70681EC8">
                  <w:pPr>
                    <w:jc w:val="center"/>
                    <w:rPr>
                      <w:rFonts w:hint="eastAsia" w:ascii="Times New Roman" w:hAnsi="Times New Roman" w:cs="Times New Roman"/>
                      <w:snapToGrid w:val="0"/>
                      <w:color w:val="auto"/>
                      <w:sz w:val="21"/>
                      <w:szCs w:val="21"/>
                      <w:lang w:val="en-US" w:eastAsia="zh-CN"/>
                    </w:rPr>
                  </w:pPr>
                  <w:r>
                    <w:rPr>
                      <w:rFonts w:hint="eastAsia"/>
                      <w:color w:val="auto"/>
                      <w:szCs w:val="21"/>
                    </w:rPr>
                    <w:t>0</w:t>
                  </w:r>
                </w:p>
              </w:tc>
            </w:tr>
            <w:tr w14:paraId="386742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3C040D25">
                  <w:pPr>
                    <w:pStyle w:val="143"/>
                    <w:adjustRightInd w:val="0"/>
                    <w:snapToGrid w:val="0"/>
                    <w:spacing w:line="240" w:lineRule="exact"/>
                    <w:jc w:val="both"/>
                    <w:rPr>
                      <w:rFonts w:ascii="Times New Roman" w:hAnsi="Times New Roman" w:cs="Times New Roman"/>
                      <w:snapToGrid w:val="0"/>
                      <w:color w:val="auto"/>
                      <w:sz w:val="21"/>
                      <w:szCs w:val="21"/>
                      <w:lang w:val="en-US"/>
                    </w:rPr>
                  </w:pPr>
                </w:p>
              </w:tc>
              <w:tc>
                <w:tcPr>
                  <w:tcW w:w="1298" w:type="pct"/>
                  <w:tcBorders>
                    <w:tl2br w:val="nil"/>
                    <w:tr2bl w:val="nil"/>
                  </w:tcBorders>
                  <w:noWrap w:val="0"/>
                  <w:vAlign w:val="center"/>
                </w:tcPr>
                <w:p w14:paraId="57EFBE18">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废机油（废润滑油）</w:t>
                  </w:r>
                </w:p>
              </w:tc>
              <w:tc>
                <w:tcPr>
                  <w:tcW w:w="1190" w:type="pct"/>
                  <w:tcBorders>
                    <w:tl2br w:val="nil"/>
                    <w:tr2bl w:val="nil"/>
                  </w:tcBorders>
                  <w:noWrap w:val="0"/>
                  <w:vAlign w:val="center"/>
                </w:tcPr>
                <w:p w14:paraId="43B105D3">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0.5</w:t>
                  </w:r>
                </w:p>
              </w:tc>
              <w:tc>
                <w:tcPr>
                  <w:tcW w:w="1190" w:type="pct"/>
                  <w:tcBorders>
                    <w:tl2br w:val="nil"/>
                    <w:tr2bl w:val="nil"/>
                  </w:tcBorders>
                  <w:noWrap w:val="0"/>
                  <w:vAlign w:val="center"/>
                </w:tcPr>
                <w:p w14:paraId="7102CFB6">
                  <w:pPr>
                    <w:jc w:val="center"/>
                    <w:rPr>
                      <w:rFonts w:hint="default" w:ascii="Times New Roman" w:hAnsi="Times New Roman" w:eastAsia="宋体" w:cs="Times New Roman"/>
                      <w:snapToGrid w:val="0"/>
                      <w:color w:val="auto"/>
                      <w:sz w:val="21"/>
                      <w:szCs w:val="21"/>
                      <w:lang w:val="en-US" w:eastAsia="zh-CN"/>
                    </w:rPr>
                  </w:pPr>
                  <w:r>
                    <w:rPr>
                      <w:rFonts w:hint="eastAsia"/>
                      <w:color w:val="auto"/>
                      <w:szCs w:val="21"/>
                    </w:rPr>
                    <w:t>0</w:t>
                  </w:r>
                </w:p>
              </w:tc>
            </w:tr>
            <w:tr w14:paraId="2A81DE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679BDD3D">
                  <w:pPr>
                    <w:pStyle w:val="143"/>
                    <w:adjustRightInd w:val="0"/>
                    <w:snapToGrid w:val="0"/>
                    <w:spacing w:line="240" w:lineRule="exact"/>
                    <w:jc w:val="both"/>
                    <w:rPr>
                      <w:rFonts w:ascii="Times New Roman" w:hAnsi="Times New Roman" w:cs="Times New Roman"/>
                      <w:snapToGrid w:val="0"/>
                      <w:color w:val="auto"/>
                      <w:sz w:val="21"/>
                      <w:szCs w:val="21"/>
                      <w:lang w:val="en-US"/>
                    </w:rPr>
                  </w:pPr>
                </w:p>
              </w:tc>
              <w:tc>
                <w:tcPr>
                  <w:tcW w:w="1298" w:type="pct"/>
                  <w:tcBorders>
                    <w:tl2br w:val="nil"/>
                    <w:tr2bl w:val="nil"/>
                  </w:tcBorders>
                  <w:noWrap w:val="0"/>
                  <w:vAlign w:val="center"/>
                </w:tcPr>
                <w:p w14:paraId="691055F7">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煤渣</w:t>
                  </w:r>
                </w:p>
              </w:tc>
              <w:tc>
                <w:tcPr>
                  <w:tcW w:w="1190" w:type="pct"/>
                  <w:tcBorders>
                    <w:tl2br w:val="nil"/>
                    <w:tr2bl w:val="nil"/>
                  </w:tcBorders>
                  <w:noWrap w:val="0"/>
                  <w:vAlign w:val="center"/>
                </w:tcPr>
                <w:p w14:paraId="13A82C68">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600</w:t>
                  </w:r>
                </w:p>
              </w:tc>
              <w:tc>
                <w:tcPr>
                  <w:tcW w:w="1190" w:type="pct"/>
                  <w:tcBorders>
                    <w:tl2br w:val="nil"/>
                    <w:tr2bl w:val="nil"/>
                  </w:tcBorders>
                  <w:noWrap w:val="0"/>
                  <w:vAlign w:val="center"/>
                </w:tcPr>
                <w:p w14:paraId="6FBE5532">
                  <w:pPr>
                    <w:jc w:val="center"/>
                    <w:rPr>
                      <w:rFonts w:hint="eastAsia" w:eastAsia="宋体"/>
                      <w:color w:val="auto"/>
                      <w:szCs w:val="21"/>
                      <w:lang w:val="en-US" w:eastAsia="zh-CN"/>
                    </w:rPr>
                  </w:pPr>
                  <w:r>
                    <w:rPr>
                      <w:rFonts w:hint="eastAsia"/>
                      <w:color w:val="auto"/>
                      <w:szCs w:val="21"/>
                      <w:lang w:val="en-US" w:eastAsia="zh-CN"/>
                    </w:rPr>
                    <w:t>0</w:t>
                  </w:r>
                </w:p>
              </w:tc>
            </w:tr>
            <w:tr w14:paraId="497A40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20" w:type="pct"/>
                  <w:gridSpan w:val="2"/>
                  <w:vMerge w:val="continue"/>
                  <w:tcBorders>
                    <w:tl2br w:val="nil"/>
                    <w:tr2bl w:val="nil"/>
                  </w:tcBorders>
                  <w:noWrap w:val="0"/>
                  <w:vAlign w:val="center"/>
                </w:tcPr>
                <w:p w14:paraId="0CE072B9">
                  <w:pPr>
                    <w:pStyle w:val="143"/>
                    <w:adjustRightInd w:val="0"/>
                    <w:snapToGrid w:val="0"/>
                    <w:spacing w:line="240" w:lineRule="exact"/>
                    <w:jc w:val="both"/>
                    <w:rPr>
                      <w:rFonts w:ascii="Times New Roman" w:hAnsi="Times New Roman" w:cs="Times New Roman"/>
                      <w:snapToGrid w:val="0"/>
                      <w:color w:val="auto"/>
                      <w:sz w:val="21"/>
                      <w:szCs w:val="21"/>
                      <w:lang w:val="en-US"/>
                    </w:rPr>
                  </w:pPr>
                </w:p>
              </w:tc>
              <w:tc>
                <w:tcPr>
                  <w:tcW w:w="1298" w:type="pct"/>
                  <w:tcBorders>
                    <w:tl2br w:val="nil"/>
                    <w:tr2bl w:val="nil"/>
                  </w:tcBorders>
                  <w:noWrap w:val="0"/>
                  <w:vAlign w:val="center"/>
                </w:tcPr>
                <w:p w14:paraId="217D100E">
                  <w:pPr>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泥渣</w:t>
                  </w:r>
                </w:p>
              </w:tc>
              <w:tc>
                <w:tcPr>
                  <w:tcW w:w="1190" w:type="pct"/>
                  <w:tcBorders>
                    <w:tl2br w:val="nil"/>
                    <w:tr2bl w:val="nil"/>
                  </w:tcBorders>
                  <w:noWrap w:val="0"/>
                  <w:vAlign w:val="center"/>
                </w:tcPr>
                <w:p w14:paraId="5717EB25">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27</w:t>
                  </w:r>
                </w:p>
              </w:tc>
              <w:tc>
                <w:tcPr>
                  <w:tcW w:w="1190" w:type="pct"/>
                  <w:tcBorders>
                    <w:tl2br w:val="nil"/>
                    <w:tr2bl w:val="nil"/>
                  </w:tcBorders>
                  <w:noWrap w:val="0"/>
                  <w:vAlign w:val="center"/>
                </w:tcPr>
                <w:p w14:paraId="11EA7567">
                  <w:pPr>
                    <w:jc w:val="center"/>
                    <w:rPr>
                      <w:rFonts w:hint="eastAsia" w:eastAsia="宋体"/>
                      <w:color w:val="auto"/>
                      <w:szCs w:val="21"/>
                      <w:lang w:val="en-US" w:eastAsia="zh-CN"/>
                    </w:rPr>
                  </w:pPr>
                  <w:r>
                    <w:rPr>
                      <w:rFonts w:hint="eastAsia"/>
                      <w:color w:val="auto"/>
                      <w:szCs w:val="21"/>
                      <w:lang w:val="en-US" w:eastAsia="zh-CN"/>
                    </w:rPr>
                    <w:t>0</w:t>
                  </w:r>
                </w:p>
              </w:tc>
            </w:tr>
          </w:tbl>
          <w:p w14:paraId="4C7C945F">
            <w:pPr>
              <w:pStyle w:val="16"/>
              <w:keepNext w:val="0"/>
              <w:keepLines w:val="0"/>
              <w:pageBreakBefore w:val="0"/>
              <w:numPr>
                <w:ilvl w:val="0"/>
                <w:numId w:val="0"/>
              </w:numPr>
              <w:kinsoku/>
              <w:wordWrap/>
              <w:overflowPunct/>
              <w:topLinePunct w:val="0"/>
              <w:autoSpaceDE/>
              <w:autoSpaceDN/>
              <w:bidi w:val="0"/>
              <w:adjustRightInd/>
              <w:spacing w:before="0" w:after="0" w:line="360" w:lineRule="auto"/>
              <w:ind w:leftChars="0" w:right="0" w:rightChars="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3、现有项目治理措施可行性</w:t>
            </w:r>
          </w:p>
          <w:p w14:paraId="2FDDF8A4">
            <w:pPr>
              <w:pStyle w:val="16"/>
              <w:keepNext w:val="0"/>
              <w:keepLines w:val="0"/>
              <w:pageBreakBefore w:val="0"/>
              <w:numPr>
                <w:ilvl w:val="0"/>
                <w:numId w:val="0"/>
              </w:numPr>
              <w:kinsoku/>
              <w:wordWrap/>
              <w:overflowPunct/>
              <w:topLinePunct w:val="0"/>
              <w:autoSpaceDE/>
              <w:autoSpaceDN/>
              <w:bidi w:val="0"/>
              <w:adjustRightInd/>
              <w:spacing w:before="0" w:after="0" w:line="360" w:lineRule="auto"/>
              <w:ind w:leftChars="0" w:right="0" w:rightChars="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 xml:space="preserve">（1）验收工况 </w:t>
            </w:r>
          </w:p>
          <w:p w14:paraId="0A56A9F0">
            <w:pPr>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江苏一重锻造有限公司于2009年11月23日委托南通市海门生态环境局对《年产模锻1000吨、自由锻8000吨项目》进行了验收，监测期间各生产工艺装置正常运行，各项环保治理设施正常运行，生产工况达到设计规模的75%以上，符合“三同时”验收监测要求。</w:t>
            </w:r>
          </w:p>
          <w:p w14:paraId="367F7968">
            <w:pPr>
              <w:numPr>
                <w:ilvl w:val="0"/>
                <w:numId w:val="0"/>
              </w:numPr>
              <w:spacing w:line="360" w:lineRule="auto"/>
              <w:ind w:firstLine="422" w:firstLineChars="200"/>
              <w:rPr>
                <w:rFonts w:hint="eastAsia"/>
                <w:b/>
                <w:bCs/>
                <w:color w:val="auto"/>
                <w:sz w:val="21"/>
                <w:szCs w:val="21"/>
                <w:lang w:val="en-US" w:eastAsia="zh-CN"/>
              </w:rPr>
            </w:pPr>
            <w:r>
              <w:rPr>
                <w:rFonts w:hint="eastAsia"/>
                <w:b/>
                <w:bCs/>
                <w:color w:val="auto"/>
                <w:sz w:val="21"/>
                <w:szCs w:val="21"/>
                <w:lang w:val="en-US" w:eastAsia="zh-CN"/>
              </w:rPr>
              <w:t xml:space="preserve">（2）验收监测结果 </w:t>
            </w:r>
          </w:p>
          <w:p w14:paraId="6D1F28FB">
            <w:pPr>
              <w:numPr>
                <w:ilvl w:val="0"/>
                <w:numId w:val="0"/>
              </w:numPr>
              <w:spacing w:line="360" w:lineRule="auto"/>
              <w:ind w:firstLine="422" w:firstLineChars="200"/>
              <w:rPr>
                <w:rFonts w:hint="eastAsia" w:cs="Times New Roman"/>
                <w:b w:val="0"/>
                <w:bCs w:val="0"/>
                <w:color w:val="auto"/>
                <w:sz w:val="21"/>
                <w:szCs w:val="21"/>
                <w:lang w:val="en-US" w:eastAsia="zh-CN"/>
              </w:rPr>
            </w:pPr>
            <w:r>
              <w:rPr>
                <w:rFonts w:hint="eastAsia" w:cs="Times New Roman"/>
                <w:b/>
                <w:bCs/>
                <w:color w:val="auto"/>
                <w:sz w:val="21"/>
                <w:szCs w:val="21"/>
                <w:lang w:val="en-US" w:eastAsia="zh-CN"/>
              </w:rPr>
              <w:t>废气：</w:t>
            </w:r>
            <w:r>
              <w:rPr>
                <w:rFonts w:hint="eastAsia" w:cs="Times New Roman"/>
                <w:b w:val="0"/>
                <w:bCs w:val="0"/>
                <w:color w:val="auto"/>
                <w:sz w:val="21"/>
                <w:szCs w:val="21"/>
                <w:lang w:val="en-US" w:eastAsia="zh-CN"/>
              </w:rPr>
              <w:t xml:space="preserve">验收监测期间，煤气发生炉排放满足《工业炉窑大气污染物排放标准》（GB9078-1996）二类区排放标准。废气监测结果见表2-9。 </w:t>
            </w:r>
          </w:p>
          <w:p w14:paraId="1753F85E">
            <w:pPr>
              <w:numPr>
                <w:ilvl w:val="0"/>
                <w:numId w:val="0"/>
              </w:numPr>
              <w:spacing w:line="360" w:lineRule="auto"/>
              <w:jc w:val="center"/>
              <w:rPr>
                <w:rFonts w:hint="default" w:cs="Times New Roman"/>
                <w:b/>
                <w:bCs/>
                <w:color w:val="auto"/>
                <w:sz w:val="21"/>
                <w:szCs w:val="21"/>
                <w:vertAlign w:val="baseline"/>
                <w:lang w:val="en-US" w:eastAsia="zh-CN"/>
              </w:rPr>
            </w:pPr>
            <w:r>
              <w:rPr>
                <w:rFonts w:hint="eastAsia" w:cs="Times New Roman"/>
                <w:b/>
                <w:bCs/>
                <w:color w:val="auto"/>
                <w:sz w:val="21"/>
                <w:szCs w:val="21"/>
                <w:lang w:val="en-US" w:eastAsia="zh-CN"/>
              </w:rPr>
              <w:t>表2-9排气筒废气检测结果一览表</w:t>
            </w:r>
          </w:p>
          <w:tbl>
            <w:tblPr>
              <w:tblStyle w:val="43"/>
              <w:tblW w:w="82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95"/>
              <w:gridCol w:w="1380"/>
              <w:gridCol w:w="1165"/>
              <w:gridCol w:w="1182"/>
              <w:gridCol w:w="1182"/>
              <w:gridCol w:w="1182"/>
            </w:tblGrid>
            <w:tr w14:paraId="29AB89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tcBorders>
                    <w:tl2br w:val="nil"/>
                    <w:tr2bl w:val="nil"/>
                  </w:tcBorders>
                  <w:vAlign w:val="center"/>
                </w:tcPr>
                <w:p w14:paraId="7B527AC2">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检测日期</w:t>
                  </w:r>
                </w:p>
              </w:tc>
              <w:tc>
                <w:tcPr>
                  <w:tcW w:w="1395" w:type="dxa"/>
                  <w:tcBorders>
                    <w:tl2br w:val="nil"/>
                    <w:tr2bl w:val="nil"/>
                  </w:tcBorders>
                  <w:vAlign w:val="center"/>
                </w:tcPr>
                <w:p w14:paraId="42A15E97">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检测位置</w:t>
                  </w:r>
                </w:p>
              </w:tc>
              <w:tc>
                <w:tcPr>
                  <w:tcW w:w="1380" w:type="dxa"/>
                  <w:tcBorders>
                    <w:tl2br w:val="nil"/>
                    <w:tr2bl w:val="nil"/>
                  </w:tcBorders>
                  <w:vAlign w:val="center"/>
                </w:tcPr>
                <w:p w14:paraId="2E5EB103">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排气筒高度（m）</w:t>
                  </w:r>
                </w:p>
              </w:tc>
              <w:tc>
                <w:tcPr>
                  <w:tcW w:w="1165" w:type="dxa"/>
                  <w:tcBorders>
                    <w:tl2br w:val="nil"/>
                    <w:tr2bl w:val="nil"/>
                  </w:tcBorders>
                  <w:vAlign w:val="center"/>
                </w:tcPr>
                <w:p w14:paraId="20314E72">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处理装置</w:t>
                  </w:r>
                </w:p>
              </w:tc>
              <w:tc>
                <w:tcPr>
                  <w:tcW w:w="1182" w:type="dxa"/>
                  <w:tcBorders>
                    <w:tl2br w:val="nil"/>
                    <w:tr2bl w:val="nil"/>
                  </w:tcBorders>
                  <w:vAlign w:val="center"/>
                </w:tcPr>
                <w:p w14:paraId="67A68895">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检测项目</w:t>
                  </w:r>
                </w:p>
              </w:tc>
              <w:tc>
                <w:tcPr>
                  <w:tcW w:w="1182" w:type="dxa"/>
                  <w:tcBorders>
                    <w:tl2br w:val="nil"/>
                    <w:tr2bl w:val="nil"/>
                  </w:tcBorders>
                  <w:vAlign w:val="center"/>
                </w:tcPr>
                <w:p w14:paraId="5A8215BA">
                  <w:pPr>
                    <w:snapToGrid w:val="0"/>
                    <w:spacing w:line="240" w:lineRule="auto"/>
                    <w:jc w:val="center"/>
                    <w:rPr>
                      <w:rFonts w:hint="eastAsia" w:eastAsia="宋体" w:cs="Times New Roman"/>
                      <w:b w:val="0"/>
                      <w:bCs w:val="0"/>
                      <w:color w:val="auto"/>
                      <w:sz w:val="21"/>
                      <w:szCs w:val="21"/>
                      <w:vertAlign w:val="baseline"/>
                      <w:lang w:val="en-US" w:eastAsia="zh-CN"/>
                    </w:rPr>
                  </w:pPr>
                  <w:r>
                    <w:rPr>
                      <w:color w:val="auto"/>
                      <w:szCs w:val="21"/>
                    </w:rPr>
                    <w:t>排放浓度</w:t>
                  </w:r>
                  <w:r>
                    <w:rPr>
                      <w:rFonts w:hint="eastAsia"/>
                      <w:color w:val="auto"/>
                      <w:szCs w:val="21"/>
                      <w:lang w:eastAsia="zh-CN"/>
                    </w:rPr>
                    <w:t>（</w:t>
                  </w:r>
                  <w:r>
                    <w:rPr>
                      <w:color w:val="auto"/>
                      <w:szCs w:val="21"/>
                    </w:rPr>
                    <w:t>mg/m</w:t>
                  </w:r>
                  <w:r>
                    <w:rPr>
                      <w:color w:val="auto"/>
                      <w:szCs w:val="21"/>
                      <w:vertAlign w:val="superscript"/>
                    </w:rPr>
                    <w:t>3</w:t>
                  </w:r>
                  <w:r>
                    <w:rPr>
                      <w:rFonts w:hint="eastAsia"/>
                      <w:color w:val="auto"/>
                      <w:szCs w:val="21"/>
                      <w:lang w:eastAsia="zh-CN"/>
                    </w:rPr>
                    <w:t>）</w:t>
                  </w:r>
                </w:p>
              </w:tc>
              <w:tc>
                <w:tcPr>
                  <w:tcW w:w="1182" w:type="dxa"/>
                  <w:tcBorders>
                    <w:tl2br w:val="nil"/>
                    <w:tr2bl w:val="nil"/>
                  </w:tcBorders>
                  <w:vAlign w:val="center"/>
                </w:tcPr>
                <w:p w14:paraId="0AB44E6D">
                  <w:pPr>
                    <w:snapToGrid w:val="0"/>
                    <w:spacing w:line="240" w:lineRule="auto"/>
                    <w:jc w:val="center"/>
                    <w:rPr>
                      <w:color w:val="auto"/>
                      <w:szCs w:val="21"/>
                    </w:rPr>
                  </w:pPr>
                  <w:r>
                    <w:rPr>
                      <w:color w:val="auto"/>
                      <w:szCs w:val="21"/>
                    </w:rPr>
                    <w:t>排放速率</w:t>
                  </w:r>
                </w:p>
                <w:p w14:paraId="4870E550">
                  <w:pPr>
                    <w:snapToGrid w:val="0"/>
                    <w:spacing w:line="240" w:lineRule="auto"/>
                    <w:jc w:val="center"/>
                    <w:rPr>
                      <w:rFonts w:hint="default" w:cs="Times New Roman"/>
                      <w:b w:val="0"/>
                      <w:bCs w:val="0"/>
                      <w:color w:val="auto"/>
                      <w:sz w:val="21"/>
                      <w:szCs w:val="21"/>
                      <w:vertAlign w:val="baseline"/>
                      <w:lang w:val="en-US" w:eastAsia="zh-CN"/>
                    </w:rPr>
                  </w:pPr>
                  <w:r>
                    <w:rPr>
                      <w:color w:val="auto"/>
                      <w:szCs w:val="21"/>
                    </w:rPr>
                    <w:t>(kg/h)</w:t>
                  </w:r>
                </w:p>
              </w:tc>
            </w:tr>
            <w:tr w14:paraId="2B56BC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6" w:type="dxa"/>
                  <w:vMerge w:val="restart"/>
                  <w:tcBorders>
                    <w:tl2br w:val="nil"/>
                    <w:tr2bl w:val="nil"/>
                  </w:tcBorders>
                  <w:vAlign w:val="center"/>
                </w:tcPr>
                <w:p w14:paraId="76A82A51">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2009.11.23</w:t>
                  </w:r>
                </w:p>
              </w:tc>
              <w:tc>
                <w:tcPr>
                  <w:tcW w:w="1395" w:type="dxa"/>
                  <w:vMerge w:val="restart"/>
                  <w:tcBorders>
                    <w:tl2br w:val="nil"/>
                    <w:tr2bl w:val="nil"/>
                  </w:tcBorders>
                  <w:vAlign w:val="center"/>
                </w:tcPr>
                <w:p w14:paraId="5230E18F">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垂直烟道</w:t>
                  </w:r>
                </w:p>
              </w:tc>
              <w:tc>
                <w:tcPr>
                  <w:tcW w:w="1380" w:type="dxa"/>
                  <w:vMerge w:val="restart"/>
                  <w:tcBorders>
                    <w:tl2br w:val="nil"/>
                    <w:tr2bl w:val="nil"/>
                  </w:tcBorders>
                  <w:vAlign w:val="center"/>
                </w:tcPr>
                <w:p w14:paraId="1E7D9541">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15</w:t>
                  </w:r>
                </w:p>
              </w:tc>
              <w:tc>
                <w:tcPr>
                  <w:tcW w:w="1165" w:type="dxa"/>
                  <w:vMerge w:val="restart"/>
                  <w:tcBorders>
                    <w:tl2br w:val="nil"/>
                    <w:tr2bl w:val="nil"/>
                  </w:tcBorders>
                  <w:vAlign w:val="center"/>
                </w:tcPr>
                <w:p w14:paraId="7A15BB4D">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布袋除尘</w:t>
                  </w:r>
                </w:p>
              </w:tc>
              <w:tc>
                <w:tcPr>
                  <w:tcW w:w="1182" w:type="dxa"/>
                  <w:vMerge w:val="restart"/>
                  <w:tcBorders>
                    <w:tl2br w:val="nil"/>
                    <w:tr2bl w:val="nil"/>
                  </w:tcBorders>
                  <w:vAlign w:val="center"/>
                </w:tcPr>
                <w:p w14:paraId="088D4B59">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烟尘</w:t>
                  </w:r>
                </w:p>
              </w:tc>
              <w:tc>
                <w:tcPr>
                  <w:tcW w:w="1182" w:type="dxa"/>
                  <w:tcBorders>
                    <w:tl2br w:val="nil"/>
                    <w:tr2bl w:val="nil"/>
                  </w:tcBorders>
                  <w:vAlign w:val="center"/>
                </w:tcPr>
                <w:p w14:paraId="240051AA">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65.6</w:t>
                  </w:r>
                </w:p>
              </w:tc>
              <w:tc>
                <w:tcPr>
                  <w:tcW w:w="1182" w:type="dxa"/>
                  <w:tcBorders>
                    <w:tl2br w:val="nil"/>
                    <w:tr2bl w:val="nil"/>
                  </w:tcBorders>
                  <w:vAlign w:val="center"/>
                </w:tcPr>
                <w:p w14:paraId="6E4ED0EB">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0.068</w:t>
                  </w:r>
                </w:p>
              </w:tc>
            </w:tr>
            <w:tr w14:paraId="270592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179BDBD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517964E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109AD4E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4A60466E">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vMerge w:val="continue"/>
                  <w:tcBorders>
                    <w:tl2br w:val="nil"/>
                    <w:tr2bl w:val="nil"/>
                  </w:tcBorders>
                  <w:vAlign w:val="center"/>
                </w:tcPr>
                <w:p w14:paraId="524B971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7014714C">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69.6</w:t>
                  </w:r>
                </w:p>
              </w:tc>
              <w:tc>
                <w:tcPr>
                  <w:tcW w:w="1182" w:type="dxa"/>
                  <w:tcBorders>
                    <w:tl2br w:val="nil"/>
                    <w:tr2bl w:val="nil"/>
                  </w:tcBorders>
                  <w:vAlign w:val="center"/>
                </w:tcPr>
                <w:p w14:paraId="6EBF3DCF">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0.063</w:t>
                  </w:r>
                </w:p>
              </w:tc>
            </w:tr>
            <w:tr w14:paraId="68DC40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6437783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3E7D034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45FC6D6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4C8D185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vMerge w:val="continue"/>
                  <w:tcBorders>
                    <w:tl2br w:val="nil"/>
                    <w:tr2bl w:val="nil"/>
                  </w:tcBorders>
                  <w:vAlign w:val="center"/>
                </w:tcPr>
                <w:p w14:paraId="196E29CD">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63CA052E">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72.0</w:t>
                  </w:r>
                </w:p>
              </w:tc>
              <w:tc>
                <w:tcPr>
                  <w:tcW w:w="1182" w:type="dxa"/>
                  <w:tcBorders>
                    <w:tl2br w:val="nil"/>
                    <w:tr2bl w:val="nil"/>
                  </w:tcBorders>
                  <w:vAlign w:val="center"/>
                </w:tcPr>
                <w:p w14:paraId="17294799">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0.042</w:t>
                  </w:r>
                </w:p>
              </w:tc>
            </w:tr>
            <w:tr w14:paraId="449413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298AB8EC">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34B6809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37D75F89">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5D9FCF8F">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01AAD564">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执行标准</w:t>
                  </w:r>
                </w:p>
              </w:tc>
              <w:tc>
                <w:tcPr>
                  <w:tcW w:w="1182" w:type="dxa"/>
                  <w:tcBorders>
                    <w:tl2br w:val="nil"/>
                    <w:tr2bl w:val="nil"/>
                  </w:tcBorders>
                  <w:vAlign w:val="center"/>
                </w:tcPr>
                <w:p w14:paraId="78247A02">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p>
              </w:tc>
              <w:tc>
                <w:tcPr>
                  <w:tcW w:w="1182" w:type="dxa"/>
                  <w:tcBorders>
                    <w:tl2br w:val="nil"/>
                    <w:tr2bl w:val="nil"/>
                  </w:tcBorders>
                  <w:vAlign w:val="center"/>
                </w:tcPr>
                <w:p w14:paraId="25E4BEF5">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4B5BCC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4B941D9C">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1808EB8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78DF4B00">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6483AFC3">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041E8B24">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达标情况</w:t>
                  </w:r>
                </w:p>
              </w:tc>
              <w:tc>
                <w:tcPr>
                  <w:tcW w:w="1182" w:type="dxa"/>
                  <w:tcBorders>
                    <w:tl2br w:val="nil"/>
                    <w:tr2bl w:val="nil"/>
                  </w:tcBorders>
                  <w:vAlign w:val="center"/>
                </w:tcPr>
                <w:p w14:paraId="2AFC4145">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color w:val="auto"/>
                      <w:szCs w:val="21"/>
                    </w:rPr>
                    <w:t>达标</w:t>
                  </w:r>
                </w:p>
              </w:tc>
              <w:tc>
                <w:tcPr>
                  <w:tcW w:w="1182" w:type="dxa"/>
                  <w:tcBorders>
                    <w:tl2br w:val="nil"/>
                    <w:tr2bl w:val="nil"/>
                  </w:tcBorders>
                  <w:vAlign w:val="center"/>
                </w:tcPr>
                <w:p w14:paraId="390239CC">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color w:val="auto"/>
                      <w:szCs w:val="21"/>
                    </w:rPr>
                    <w:t>达标</w:t>
                  </w:r>
                </w:p>
              </w:tc>
            </w:tr>
            <w:tr w14:paraId="6029E2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2361F1BC">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7BE2E5E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3126B589">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2F882651">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256F472C">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二氧化硫</w:t>
                  </w:r>
                </w:p>
              </w:tc>
              <w:tc>
                <w:tcPr>
                  <w:tcW w:w="1182" w:type="dxa"/>
                  <w:tcBorders>
                    <w:tl2br w:val="nil"/>
                    <w:tr2bl w:val="nil"/>
                  </w:tcBorders>
                  <w:vAlign w:val="center"/>
                </w:tcPr>
                <w:p w14:paraId="78A29740">
                  <w:pPr>
                    <w:snapToGrid w:val="0"/>
                    <w:spacing w:line="240" w:lineRule="atLeast"/>
                    <w:jc w:val="center"/>
                    <w:rPr>
                      <w:rFonts w:hint="default" w:eastAsia="宋体"/>
                      <w:color w:val="auto"/>
                      <w:szCs w:val="21"/>
                      <w:lang w:val="en-US" w:eastAsia="zh-CN"/>
                    </w:rPr>
                  </w:pPr>
                  <w:r>
                    <w:rPr>
                      <w:rFonts w:hint="eastAsia"/>
                      <w:color w:val="auto"/>
                      <w:szCs w:val="21"/>
                      <w:lang w:val="en-US" w:eastAsia="zh-CN"/>
                    </w:rPr>
                    <w:t>88</w:t>
                  </w:r>
                </w:p>
              </w:tc>
              <w:tc>
                <w:tcPr>
                  <w:tcW w:w="1182" w:type="dxa"/>
                  <w:tcBorders>
                    <w:tl2br w:val="nil"/>
                    <w:tr2bl w:val="nil"/>
                  </w:tcBorders>
                  <w:vAlign w:val="center"/>
                </w:tcPr>
                <w:p w14:paraId="6B00C7BC">
                  <w:pPr>
                    <w:snapToGrid w:val="0"/>
                    <w:spacing w:line="240" w:lineRule="atLeast"/>
                    <w:jc w:val="center"/>
                    <w:rPr>
                      <w:rFonts w:hint="default" w:eastAsia="宋体"/>
                      <w:color w:val="auto"/>
                      <w:szCs w:val="21"/>
                      <w:lang w:val="en-US" w:eastAsia="zh-CN"/>
                    </w:rPr>
                  </w:pPr>
                  <w:r>
                    <w:rPr>
                      <w:rFonts w:hint="eastAsia"/>
                      <w:color w:val="auto"/>
                      <w:szCs w:val="21"/>
                      <w:lang w:val="en-US" w:eastAsia="zh-CN"/>
                    </w:rPr>
                    <w:t>0.074</w:t>
                  </w:r>
                </w:p>
              </w:tc>
            </w:tr>
            <w:tr w14:paraId="0CE3B1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2F94B239">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7D03FA3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082E8D19">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19F1B2E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4EE87958">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执行标准</w:t>
                  </w:r>
                </w:p>
              </w:tc>
              <w:tc>
                <w:tcPr>
                  <w:tcW w:w="1182" w:type="dxa"/>
                  <w:tcBorders>
                    <w:tl2br w:val="nil"/>
                    <w:tr2bl w:val="nil"/>
                  </w:tcBorders>
                  <w:vAlign w:val="center"/>
                </w:tcPr>
                <w:p w14:paraId="64A7B068">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850</w:t>
                  </w:r>
                </w:p>
              </w:tc>
              <w:tc>
                <w:tcPr>
                  <w:tcW w:w="1182" w:type="dxa"/>
                  <w:tcBorders>
                    <w:tl2br w:val="nil"/>
                    <w:tr2bl w:val="nil"/>
                  </w:tcBorders>
                  <w:vAlign w:val="center"/>
                </w:tcPr>
                <w:p w14:paraId="692AC066">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r>
            <w:tr w14:paraId="352C9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5FA3571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70F23C6D">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1AEB19E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3ADDEBC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tcBorders>
                    <w:tl2br w:val="nil"/>
                    <w:tr2bl w:val="nil"/>
                  </w:tcBorders>
                  <w:vAlign w:val="center"/>
                </w:tcPr>
                <w:p w14:paraId="40CB4464">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达标情况</w:t>
                  </w:r>
                </w:p>
              </w:tc>
              <w:tc>
                <w:tcPr>
                  <w:tcW w:w="1182" w:type="dxa"/>
                  <w:tcBorders>
                    <w:tl2br w:val="nil"/>
                    <w:tr2bl w:val="nil"/>
                  </w:tcBorders>
                  <w:vAlign w:val="center"/>
                </w:tcPr>
                <w:p w14:paraId="723C4C72">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color w:val="auto"/>
                      <w:szCs w:val="21"/>
                    </w:rPr>
                    <w:t>达标</w:t>
                  </w:r>
                </w:p>
              </w:tc>
              <w:tc>
                <w:tcPr>
                  <w:tcW w:w="1182" w:type="dxa"/>
                  <w:tcBorders>
                    <w:tl2br w:val="nil"/>
                    <w:tr2bl w:val="nil"/>
                  </w:tcBorders>
                  <w:vAlign w:val="center"/>
                </w:tcPr>
                <w:p w14:paraId="68BE1C07">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color w:val="auto"/>
                      <w:szCs w:val="21"/>
                    </w:rPr>
                    <w:t>达标</w:t>
                  </w:r>
                </w:p>
              </w:tc>
            </w:tr>
            <w:tr w14:paraId="160C59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restart"/>
                  <w:tcBorders>
                    <w:tl2br w:val="nil"/>
                    <w:tr2bl w:val="nil"/>
                  </w:tcBorders>
                  <w:vAlign w:val="center"/>
                </w:tcPr>
                <w:p w14:paraId="43C239B9">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2009.11.24</w:t>
                  </w:r>
                </w:p>
              </w:tc>
              <w:tc>
                <w:tcPr>
                  <w:tcW w:w="1395" w:type="dxa"/>
                  <w:vMerge w:val="restart"/>
                  <w:tcBorders>
                    <w:tl2br w:val="nil"/>
                    <w:tr2bl w:val="nil"/>
                  </w:tcBorders>
                  <w:vAlign w:val="center"/>
                </w:tcPr>
                <w:p w14:paraId="3AE3F36C">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垂直烟道</w:t>
                  </w:r>
                </w:p>
              </w:tc>
              <w:tc>
                <w:tcPr>
                  <w:tcW w:w="1380" w:type="dxa"/>
                  <w:vMerge w:val="restart"/>
                  <w:tcBorders>
                    <w:tl2br w:val="nil"/>
                    <w:tr2bl w:val="nil"/>
                  </w:tcBorders>
                  <w:vAlign w:val="center"/>
                </w:tcPr>
                <w:p w14:paraId="4A1D82E9">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15</w:t>
                  </w:r>
                </w:p>
              </w:tc>
              <w:tc>
                <w:tcPr>
                  <w:tcW w:w="1165" w:type="dxa"/>
                  <w:vMerge w:val="restart"/>
                  <w:tcBorders>
                    <w:tl2br w:val="nil"/>
                    <w:tr2bl w:val="nil"/>
                  </w:tcBorders>
                  <w:vAlign w:val="center"/>
                </w:tcPr>
                <w:p w14:paraId="5DB6DD69">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布袋除尘</w:t>
                  </w:r>
                </w:p>
              </w:tc>
              <w:tc>
                <w:tcPr>
                  <w:tcW w:w="1182" w:type="dxa"/>
                  <w:vMerge w:val="restart"/>
                  <w:tcBorders>
                    <w:tl2br w:val="nil"/>
                    <w:tr2bl w:val="nil"/>
                  </w:tcBorders>
                  <w:vAlign w:val="center"/>
                </w:tcPr>
                <w:p w14:paraId="4EE011BE">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烟尘</w:t>
                  </w:r>
                </w:p>
              </w:tc>
              <w:tc>
                <w:tcPr>
                  <w:tcW w:w="1182" w:type="dxa"/>
                  <w:tcBorders>
                    <w:tl2br w:val="nil"/>
                    <w:tr2bl w:val="nil"/>
                  </w:tcBorders>
                  <w:vAlign w:val="center"/>
                </w:tcPr>
                <w:p w14:paraId="7D33FF16">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72.9</w:t>
                  </w:r>
                </w:p>
              </w:tc>
              <w:tc>
                <w:tcPr>
                  <w:tcW w:w="1182" w:type="dxa"/>
                  <w:tcBorders>
                    <w:tl2br w:val="nil"/>
                    <w:tr2bl w:val="nil"/>
                  </w:tcBorders>
                  <w:vAlign w:val="center"/>
                </w:tcPr>
                <w:p w14:paraId="0C227440">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0.11</w:t>
                  </w:r>
                </w:p>
              </w:tc>
            </w:tr>
            <w:tr w14:paraId="344EF0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Borders>
                    <w:tl2br w:val="nil"/>
                    <w:tr2bl w:val="nil"/>
                  </w:tcBorders>
                  <w:vAlign w:val="center"/>
                </w:tcPr>
                <w:p w14:paraId="060502FF">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Borders>
                    <w:tl2br w:val="nil"/>
                    <w:tr2bl w:val="nil"/>
                  </w:tcBorders>
                  <w:vAlign w:val="center"/>
                </w:tcPr>
                <w:p w14:paraId="4AF2CE2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Borders>
                    <w:tl2br w:val="nil"/>
                    <w:tr2bl w:val="nil"/>
                  </w:tcBorders>
                  <w:vAlign w:val="center"/>
                </w:tcPr>
                <w:p w14:paraId="6CE6106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Borders>
                    <w:tl2br w:val="nil"/>
                    <w:tr2bl w:val="nil"/>
                  </w:tcBorders>
                  <w:vAlign w:val="center"/>
                </w:tcPr>
                <w:p w14:paraId="649BC3E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vMerge w:val="continue"/>
                  <w:tcBorders>
                    <w:tl2br w:val="nil"/>
                    <w:tr2bl w:val="nil"/>
                  </w:tcBorders>
                  <w:vAlign w:val="center"/>
                </w:tcPr>
                <w:p w14:paraId="3A5C637D">
                  <w:pPr>
                    <w:numPr>
                      <w:ilvl w:val="0"/>
                      <w:numId w:val="0"/>
                    </w:numPr>
                    <w:spacing w:line="240" w:lineRule="auto"/>
                    <w:jc w:val="center"/>
                    <w:rPr>
                      <w:rFonts w:hint="eastAsia" w:cs="Times New Roman"/>
                      <w:b w:val="0"/>
                      <w:bCs w:val="0"/>
                      <w:color w:val="auto"/>
                      <w:sz w:val="21"/>
                      <w:szCs w:val="21"/>
                      <w:vertAlign w:val="baseline"/>
                      <w:lang w:val="en-US" w:eastAsia="zh-CN"/>
                    </w:rPr>
                  </w:pPr>
                </w:p>
              </w:tc>
              <w:tc>
                <w:tcPr>
                  <w:tcW w:w="1182" w:type="dxa"/>
                  <w:tcBorders>
                    <w:tl2br w:val="nil"/>
                    <w:tr2bl w:val="nil"/>
                  </w:tcBorders>
                  <w:vAlign w:val="center"/>
                </w:tcPr>
                <w:p w14:paraId="60E9829B">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71.6</w:t>
                  </w:r>
                </w:p>
              </w:tc>
              <w:tc>
                <w:tcPr>
                  <w:tcW w:w="1182" w:type="dxa"/>
                  <w:tcBorders>
                    <w:tl2br w:val="nil"/>
                    <w:tr2bl w:val="nil"/>
                  </w:tcBorders>
                  <w:vAlign w:val="center"/>
                </w:tcPr>
                <w:p w14:paraId="7A5730BB">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0.11</w:t>
                  </w:r>
                </w:p>
              </w:tc>
            </w:tr>
            <w:tr w14:paraId="5E2B69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052C665">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6F1C9D3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4D55422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0B316153">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82" w:type="dxa"/>
                  <w:vMerge w:val="continue"/>
                </w:tcPr>
                <w:p w14:paraId="5284137B">
                  <w:pPr>
                    <w:numPr>
                      <w:ilvl w:val="0"/>
                      <w:numId w:val="0"/>
                    </w:numPr>
                    <w:spacing w:line="240" w:lineRule="auto"/>
                    <w:jc w:val="center"/>
                    <w:rPr>
                      <w:rFonts w:hint="eastAsia" w:cs="Times New Roman"/>
                      <w:b w:val="0"/>
                      <w:bCs w:val="0"/>
                      <w:color w:val="auto"/>
                      <w:sz w:val="21"/>
                      <w:szCs w:val="21"/>
                      <w:vertAlign w:val="baseline"/>
                      <w:lang w:val="en-US" w:eastAsia="zh-CN"/>
                    </w:rPr>
                  </w:pPr>
                </w:p>
              </w:tc>
              <w:tc>
                <w:tcPr>
                  <w:tcW w:w="0" w:type="auto"/>
                  <w:vAlign w:val="center"/>
                </w:tcPr>
                <w:p w14:paraId="0D5E89AC">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68.9</w:t>
                  </w:r>
                </w:p>
              </w:tc>
              <w:tc>
                <w:tcPr>
                  <w:tcW w:w="0" w:type="auto"/>
                  <w:vAlign w:val="center"/>
                </w:tcPr>
                <w:p w14:paraId="2F2BA3A9">
                  <w:pPr>
                    <w:snapToGrid w:val="0"/>
                    <w:spacing w:line="240" w:lineRule="atLeas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0.092</w:t>
                  </w:r>
                </w:p>
              </w:tc>
            </w:tr>
            <w:tr w14:paraId="6BF2AF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5E7D89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409AF7F8">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2C1C72A5">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55235C2F">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0" w:type="auto"/>
                  <w:vAlign w:val="center"/>
                </w:tcPr>
                <w:p w14:paraId="5E030919">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执行标准</w:t>
                  </w:r>
                </w:p>
              </w:tc>
              <w:tc>
                <w:tcPr>
                  <w:tcW w:w="0" w:type="auto"/>
                  <w:vAlign w:val="center"/>
                </w:tcPr>
                <w:p w14:paraId="2F9EBAF5">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p>
              </w:tc>
              <w:tc>
                <w:tcPr>
                  <w:tcW w:w="0" w:type="auto"/>
                  <w:vAlign w:val="center"/>
                </w:tcPr>
                <w:p w14:paraId="2A9DE1A6">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75165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3186E09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5072CC0B">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2D29870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259511C5">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0" w:type="auto"/>
                  <w:vAlign w:val="center"/>
                </w:tcPr>
                <w:p w14:paraId="322C5AC5">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达标情况</w:t>
                  </w:r>
                </w:p>
              </w:tc>
              <w:tc>
                <w:tcPr>
                  <w:tcW w:w="0" w:type="auto"/>
                  <w:vAlign w:val="center"/>
                </w:tcPr>
                <w:p w14:paraId="16539F76">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color w:val="auto"/>
                      <w:szCs w:val="21"/>
                    </w:rPr>
                    <w:t>达标</w:t>
                  </w:r>
                </w:p>
              </w:tc>
              <w:tc>
                <w:tcPr>
                  <w:tcW w:w="0" w:type="auto"/>
                  <w:vAlign w:val="center"/>
                </w:tcPr>
                <w:p w14:paraId="523034F8">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color w:val="auto"/>
                      <w:szCs w:val="21"/>
                    </w:rPr>
                    <w:t>达标</w:t>
                  </w:r>
                </w:p>
              </w:tc>
            </w:tr>
            <w:tr w14:paraId="140655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FB77216">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0AB845D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6DBD685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33F0CBC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0" w:type="auto"/>
                  <w:vAlign w:val="center"/>
                </w:tcPr>
                <w:p w14:paraId="77143ECF">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二氧化硫</w:t>
                  </w:r>
                </w:p>
              </w:tc>
              <w:tc>
                <w:tcPr>
                  <w:tcW w:w="0" w:type="auto"/>
                  <w:vAlign w:val="center"/>
                </w:tcPr>
                <w:p w14:paraId="45BE1A25">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160</w:t>
                  </w:r>
                </w:p>
              </w:tc>
              <w:tc>
                <w:tcPr>
                  <w:tcW w:w="0" w:type="auto"/>
                  <w:vAlign w:val="center"/>
                </w:tcPr>
                <w:p w14:paraId="0FF60BE2">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0.23</w:t>
                  </w:r>
                </w:p>
              </w:tc>
            </w:tr>
            <w:tr w14:paraId="07EB2B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078596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56E0A0AE">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5504CFA2">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71D47353">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0" w:type="auto"/>
                  <w:vAlign w:val="center"/>
                </w:tcPr>
                <w:p w14:paraId="0123289A">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执行标准</w:t>
                  </w:r>
                </w:p>
              </w:tc>
              <w:tc>
                <w:tcPr>
                  <w:tcW w:w="0" w:type="auto"/>
                  <w:vAlign w:val="center"/>
                </w:tcPr>
                <w:p w14:paraId="4534655D">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850</w:t>
                  </w:r>
                </w:p>
              </w:tc>
              <w:tc>
                <w:tcPr>
                  <w:tcW w:w="0" w:type="auto"/>
                  <w:vAlign w:val="center"/>
                </w:tcPr>
                <w:p w14:paraId="0C5CB6A3">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r>
            <w:tr w14:paraId="644C84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ACC1AE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95" w:type="dxa"/>
                  <w:vMerge w:val="continue"/>
                </w:tcPr>
                <w:p w14:paraId="150E5E23">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380" w:type="dxa"/>
                  <w:vMerge w:val="continue"/>
                </w:tcPr>
                <w:p w14:paraId="227C95DB">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65" w:type="dxa"/>
                  <w:vMerge w:val="continue"/>
                </w:tcPr>
                <w:p w14:paraId="53D7F030">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0" w:type="auto"/>
                  <w:vAlign w:val="center"/>
                </w:tcPr>
                <w:p w14:paraId="70E5886A">
                  <w:pPr>
                    <w:numPr>
                      <w:ilvl w:val="0"/>
                      <w:numId w:val="0"/>
                    </w:numPr>
                    <w:spacing w:line="240" w:lineRule="auto"/>
                    <w:ind w:left="0" w:leftChars="0"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达标情况</w:t>
                  </w:r>
                </w:p>
              </w:tc>
              <w:tc>
                <w:tcPr>
                  <w:tcW w:w="0" w:type="auto"/>
                  <w:vAlign w:val="center"/>
                </w:tcPr>
                <w:p w14:paraId="2FE4AD48">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color w:val="auto"/>
                      <w:szCs w:val="21"/>
                    </w:rPr>
                    <w:t>达标</w:t>
                  </w:r>
                </w:p>
              </w:tc>
              <w:tc>
                <w:tcPr>
                  <w:tcW w:w="0" w:type="auto"/>
                  <w:vAlign w:val="center"/>
                </w:tcPr>
                <w:p w14:paraId="62923C74">
                  <w:pPr>
                    <w:snapToGrid w:val="0"/>
                    <w:spacing w:line="240" w:lineRule="atLeast"/>
                    <w:jc w:val="center"/>
                    <w:rPr>
                      <w:rFonts w:hint="eastAsia" w:ascii="Times New Roman" w:hAnsi="Times New Roman" w:eastAsia="宋体" w:cs="Times New Roman"/>
                      <w:color w:val="auto"/>
                      <w:kern w:val="2"/>
                      <w:sz w:val="21"/>
                      <w:szCs w:val="21"/>
                      <w:lang w:val="en-US" w:eastAsia="zh-CN" w:bidi="ar-SA"/>
                    </w:rPr>
                  </w:pPr>
                  <w:r>
                    <w:rPr>
                      <w:color w:val="auto"/>
                      <w:szCs w:val="21"/>
                    </w:rPr>
                    <w:t>达标</w:t>
                  </w:r>
                </w:p>
              </w:tc>
            </w:tr>
          </w:tbl>
          <w:p w14:paraId="52BDACB3">
            <w:pPr>
              <w:numPr>
                <w:ilvl w:val="0"/>
                <w:numId w:val="0"/>
              </w:numPr>
              <w:spacing w:line="360" w:lineRule="auto"/>
              <w:ind w:firstLine="422" w:firstLineChars="200"/>
              <w:rPr>
                <w:rFonts w:hint="default" w:ascii="Times New Roman" w:hAnsi="Times New Roman" w:eastAsia="宋体" w:cs="Times New Roman"/>
                <w:color w:val="auto"/>
                <w:sz w:val="21"/>
                <w:szCs w:val="21"/>
              </w:rPr>
            </w:pPr>
            <w:r>
              <w:rPr>
                <w:rFonts w:hint="eastAsia" w:ascii="Times New Roman" w:hAnsi="Times New Roman" w:eastAsia="宋体" w:cs="Times New Roman"/>
                <w:b/>
                <w:bCs/>
                <w:color w:val="auto"/>
                <w:sz w:val="21"/>
                <w:szCs w:val="21"/>
                <w:lang w:val="en-US" w:eastAsia="zh-CN"/>
              </w:rPr>
              <w:t>废水：</w:t>
            </w:r>
            <w:r>
              <w:rPr>
                <w:color w:val="auto"/>
                <w:szCs w:val="21"/>
              </w:rPr>
              <w:t>验收监测期间，</w:t>
            </w:r>
            <w:r>
              <w:rPr>
                <w:rFonts w:hint="eastAsia"/>
                <w:color w:val="auto"/>
                <w:szCs w:val="21"/>
              </w:rPr>
              <w:t>pH值、SS、COD、氨氮</w:t>
            </w:r>
            <w:r>
              <w:rPr>
                <w:color w:val="auto"/>
                <w:szCs w:val="21"/>
              </w:rPr>
              <w:t>均达到《污水综合排放标准》（GB8978-1996）表4</w:t>
            </w:r>
            <w:r>
              <w:rPr>
                <w:rFonts w:hint="eastAsia"/>
                <w:color w:val="auto"/>
                <w:szCs w:val="21"/>
              </w:rPr>
              <w:t>一</w:t>
            </w:r>
            <w:r>
              <w:rPr>
                <w:color w:val="auto"/>
                <w:szCs w:val="21"/>
              </w:rPr>
              <w:t>级标准要求废水监测结果见表</w:t>
            </w:r>
            <w:r>
              <w:rPr>
                <w:rFonts w:hint="eastAsia"/>
                <w:color w:val="auto"/>
                <w:szCs w:val="21"/>
              </w:rPr>
              <w:t>2-</w:t>
            </w:r>
            <w:r>
              <w:rPr>
                <w:rFonts w:hint="eastAsia"/>
                <w:color w:val="auto"/>
                <w:szCs w:val="21"/>
                <w:lang w:val="en-US" w:eastAsia="zh-CN"/>
              </w:rPr>
              <w:t>10</w:t>
            </w:r>
            <w:r>
              <w:rPr>
                <w:rFonts w:hint="default" w:ascii="Times New Roman" w:hAnsi="Times New Roman" w:eastAsia="宋体" w:cs="Times New Roman"/>
                <w:color w:val="auto"/>
                <w:sz w:val="21"/>
                <w:szCs w:val="21"/>
              </w:rPr>
              <w:t>。</w:t>
            </w:r>
          </w:p>
          <w:p w14:paraId="0C899429">
            <w:pPr>
              <w:jc w:val="center"/>
              <w:rPr>
                <w:rFonts w:hint="default" w:ascii="Times New Roman" w:hAnsi="Times New Roman" w:eastAsia="宋体" w:cs="Times New Roman"/>
                <w:b/>
                <w:bCs/>
                <w:color w:val="auto"/>
                <w:sz w:val="21"/>
                <w:szCs w:val="21"/>
              </w:rPr>
            </w:pPr>
            <w:bookmarkStart w:id="4" w:name="_Toc29873_WPSOffice_Level3"/>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 xml:space="preserve">  </w:t>
            </w:r>
            <w:bookmarkEnd w:id="4"/>
            <w:bookmarkStart w:id="5" w:name="_Toc25408_WPSOffice_Level3"/>
            <w:r>
              <w:rPr>
                <w:rFonts w:hint="default" w:ascii="Times New Roman" w:hAnsi="Times New Roman" w:eastAsia="宋体" w:cs="Times New Roman"/>
                <w:b/>
                <w:bCs/>
                <w:color w:val="auto"/>
                <w:sz w:val="21"/>
                <w:szCs w:val="21"/>
              </w:rPr>
              <w:t>废水监测结果</w:t>
            </w:r>
            <w:bookmarkEnd w:id="5"/>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79"/>
              <w:gridCol w:w="18"/>
              <w:gridCol w:w="1217"/>
              <w:gridCol w:w="1470"/>
              <w:gridCol w:w="1485"/>
              <w:gridCol w:w="1440"/>
              <w:gridCol w:w="1534"/>
            </w:tblGrid>
            <w:tr w14:paraId="501D87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restart"/>
                  <w:vAlign w:val="center"/>
                </w:tcPr>
                <w:p w14:paraId="473BB1DC">
                  <w:pPr>
                    <w:spacing w:before="31" w:before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点 位</w:t>
                  </w:r>
                </w:p>
              </w:tc>
              <w:tc>
                <w:tcPr>
                  <w:tcW w:w="679" w:type="dxa"/>
                  <w:vMerge w:val="restart"/>
                  <w:vAlign w:val="center"/>
                </w:tcPr>
                <w:p w14:paraId="65C5ED2D">
                  <w:pPr>
                    <w:spacing w:before="31" w:before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14:paraId="7F9F085C">
                  <w:pPr>
                    <w:spacing w:before="31" w:before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时间</w:t>
                  </w:r>
                </w:p>
              </w:tc>
              <w:tc>
                <w:tcPr>
                  <w:tcW w:w="1235" w:type="dxa"/>
                  <w:gridSpan w:val="2"/>
                  <w:vMerge w:val="restart"/>
                  <w:vAlign w:val="center"/>
                </w:tcPr>
                <w:p w14:paraId="54DF8F42">
                  <w:pPr>
                    <w:spacing w:before="31" w:before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14:paraId="6AA8FC0A">
                  <w:pPr>
                    <w:spacing w:before="31" w:before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次数</w:t>
                  </w:r>
                </w:p>
              </w:tc>
              <w:tc>
                <w:tcPr>
                  <w:tcW w:w="5929" w:type="dxa"/>
                  <w:gridSpan w:val="4"/>
                  <w:tcBorders>
                    <w:right w:val="nil"/>
                  </w:tcBorders>
                  <w:vAlign w:val="center"/>
                </w:tcPr>
                <w:p w14:paraId="3BE11D62">
                  <w:pPr>
                    <w:spacing w:before="31" w:beforeLines="10" w:after="31" w:afterLines="1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监测结果  （单位：mg/L ；pH（无量纲））</w:t>
                  </w:r>
                </w:p>
              </w:tc>
            </w:tr>
            <w:tr w14:paraId="5DBDB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vAlign w:val="center"/>
                </w:tcPr>
                <w:p w14:paraId="7CBD674C">
                  <w:pPr>
                    <w:spacing w:before="31" w:beforeLines="10" w:line="240" w:lineRule="auto"/>
                    <w:jc w:val="center"/>
                    <w:rPr>
                      <w:rFonts w:hint="default" w:ascii="Times New Roman" w:hAnsi="Times New Roman" w:eastAsia="宋体" w:cs="Times New Roman"/>
                      <w:b/>
                      <w:bCs/>
                      <w:color w:val="auto"/>
                      <w:sz w:val="21"/>
                      <w:szCs w:val="21"/>
                    </w:rPr>
                  </w:pPr>
                </w:p>
              </w:tc>
              <w:tc>
                <w:tcPr>
                  <w:tcW w:w="679" w:type="dxa"/>
                  <w:vMerge w:val="continue"/>
                  <w:vAlign w:val="center"/>
                </w:tcPr>
                <w:p w14:paraId="2A770417">
                  <w:pPr>
                    <w:spacing w:before="31" w:beforeLines="10" w:line="240" w:lineRule="auto"/>
                    <w:jc w:val="center"/>
                    <w:rPr>
                      <w:rFonts w:hint="default" w:ascii="Times New Roman" w:hAnsi="Times New Roman" w:eastAsia="宋体" w:cs="Times New Roman"/>
                      <w:b/>
                      <w:bCs/>
                      <w:color w:val="auto"/>
                      <w:sz w:val="21"/>
                      <w:szCs w:val="21"/>
                    </w:rPr>
                  </w:pPr>
                </w:p>
              </w:tc>
              <w:tc>
                <w:tcPr>
                  <w:tcW w:w="1235" w:type="dxa"/>
                  <w:gridSpan w:val="2"/>
                  <w:vMerge w:val="continue"/>
                  <w:vAlign w:val="center"/>
                </w:tcPr>
                <w:p w14:paraId="0CD1CD12">
                  <w:pPr>
                    <w:spacing w:before="31" w:beforeLines="10" w:line="240" w:lineRule="auto"/>
                    <w:jc w:val="center"/>
                    <w:rPr>
                      <w:rFonts w:hint="default" w:ascii="Times New Roman" w:hAnsi="Times New Roman" w:eastAsia="宋体" w:cs="Times New Roman"/>
                      <w:b/>
                      <w:bCs/>
                      <w:color w:val="auto"/>
                      <w:sz w:val="21"/>
                      <w:szCs w:val="21"/>
                    </w:rPr>
                  </w:pPr>
                </w:p>
              </w:tc>
              <w:tc>
                <w:tcPr>
                  <w:tcW w:w="1470" w:type="dxa"/>
                  <w:vAlign w:val="center"/>
                </w:tcPr>
                <w:p w14:paraId="0560D4C8">
                  <w:pPr>
                    <w:widowControl/>
                    <w:spacing w:line="240" w:lineRule="auto"/>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pH</w:t>
                  </w:r>
                </w:p>
              </w:tc>
              <w:tc>
                <w:tcPr>
                  <w:tcW w:w="1485" w:type="dxa"/>
                  <w:vAlign w:val="center"/>
                </w:tcPr>
                <w:p w14:paraId="03CDE243">
                  <w:pPr>
                    <w:widowControl/>
                    <w:spacing w:line="240" w:lineRule="auto"/>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化学需氧量</w:t>
                  </w:r>
                </w:p>
              </w:tc>
              <w:tc>
                <w:tcPr>
                  <w:tcW w:w="1440" w:type="dxa"/>
                  <w:vAlign w:val="center"/>
                </w:tcPr>
                <w:p w14:paraId="60BCCC05">
                  <w:pPr>
                    <w:widowControl/>
                    <w:spacing w:line="240" w:lineRule="auto"/>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lang w:bidi="ar"/>
                    </w:rPr>
                    <w:t>悬浮物</w:t>
                  </w:r>
                </w:p>
              </w:tc>
              <w:tc>
                <w:tcPr>
                  <w:tcW w:w="1534" w:type="dxa"/>
                  <w:tcBorders>
                    <w:right w:val="nil"/>
                  </w:tcBorders>
                  <w:vAlign w:val="center"/>
                </w:tcPr>
                <w:p w14:paraId="5DA4655E">
                  <w:pPr>
                    <w:widowControl/>
                    <w:spacing w:line="240" w:lineRule="auto"/>
                    <w:jc w:val="center"/>
                    <w:textAlignment w:val="center"/>
                    <w:rPr>
                      <w:rFonts w:hint="eastAsia"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bidi="ar"/>
                    </w:rPr>
                    <w:t>氨氮</w:t>
                  </w:r>
                </w:p>
              </w:tc>
            </w:tr>
            <w:tr w14:paraId="1F7F86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restart"/>
                  <w:tcBorders>
                    <w:tl2br w:val="nil"/>
                    <w:tr2bl w:val="nil"/>
                  </w:tcBorders>
                  <w:vAlign w:val="center"/>
                </w:tcPr>
                <w:p w14:paraId="185C48D3">
                  <w:pPr>
                    <w:spacing w:before="31"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废水总排</w:t>
                  </w:r>
                  <w:r>
                    <w:rPr>
                      <w:rFonts w:hint="default" w:ascii="Times New Roman" w:hAnsi="Times New Roman" w:eastAsia="宋体" w:cs="Times New Roman"/>
                      <w:color w:val="auto"/>
                      <w:sz w:val="21"/>
                      <w:szCs w:val="21"/>
                    </w:rPr>
                    <w:t>口</w:t>
                  </w:r>
                </w:p>
              </w:tc>
              <w:tc>
                <w:tcPr>
                  <w:tcW w:w="679" w:type="dxa"/>
                  <w:vMerge w:val="restart"/>
                  <w:tcBorders>
                    <w:tl2br w:val="nil"/>
                    <w:tr2bl w:val="nil"/>
                  </w:tcBorders>
                  <w:vAlign w:val="center"/>
                </w:tcPr>
                <w:p w14:paraId="54AF1825">
                  <w:pPr>
                    <w:spacing w:before="31" w:beforeLines="1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rPr>
                    <w:t>2009.11.23</w:t>
                  </w:r>
                </w:p>
              </w:tc>
              <w:tc>
                <w:tcPr>
                  <w:tcW w:w="1235" w:type="dxa"/>
                  <w:gridSpan w:val="2"/>
                  <w:tcBorders>
                    <w:tl2br w:val="nil"/>
                    <w:tr2bl w:val="nil"/>
                  </w:tcBorders>
                  <w:vAlign w:val="center"/>
                </w:tcPr>
                <w:p w14:paraId="10720492">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1470" w:type="dxa"/>
                  <w:tcBorders>
                    <w:tl2br w:val="nil"/>
                    <w:tr2bl w:val="nil"/>
                  </w:tcBorders>
                  <w:vAlign w:val="center"/>
                </w:tcPr>
                <w:p w14:paraId="6CA54AE0">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7.31</w:t>
                  </w:r>
                </w:p>
              </w:tc>
              <w:tc>
                <w:tcPr>
                  <w:tcW w:w="1485" w:type="dxa"/>
                  <w:tcBorders>
                    <w:tl2br w:val="nil"/>
                    <w:tr2bl w:val="nil"/>
                  </w:tcBorders>
                  <w:vAlign w:val="center"/>
                </w:tcPr>
                <w:p w14:paraId="03177CD6">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62</w:t>
                  </w:r>
                </w:p>
              </w:tc>
              <w:tc>
                <w:tcPr>
                  <w:tcW w:w="1440" w:type="dxa"/>
                  <w:tcBorders>
                    <w:tl2br w:val="nil"/>
                    <w:tr2bl w:val="nil"/>
                  </w:tcBorders>
                  <w:vAlign w:val="center"/>
                </w:tcPr>
                <w:p w14:paraId="7C6ADA3A">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47</w:t>
                  </w:r>
                </w:p>
              </w:tc>
              <w:tc>
                <w:tcPr>
                  <w:tcW w:w="1534" w:type="dxa"/>
                  <w:tcBorders>
                    <w:tl2br w:val="nil"/>
                    <w:tr2bl w:val="nil"/>
                  </w:tcBorders>
                  <w:vAlign w:val="center"/>
                </w:tcPr>
                <w:p w14:paraId="3676E207">
                  <w:pPr>
                    <w:widowControl/>
                    <w:spacing w:line="240" w:lineRule="auto"/>
                    <w:jc w:val="center"/>
                    <w:textAlignment w:val="center"/>
                    <w:rPr>
                      <w:rFonts w:hint="default" w:ascii="Times New Roman" w:hAnsi="Times New Roman" w:eastAsia="宋体" w:cs="Times New Roman"/>
                      <w:b/>
                      <w:bCs/>
                      <w:color w:val="auto"/>
                      <w:kern w:val="0"/>
                      <w:sz w:val="21"/>
                      <w:szCs w:val="21"/>
                      <w:lang w:val="en-US" w:eastAsia="zh-CN" w:bidi="ar"/>
                    </w:rPr>
                  </w:pPr>
                  <w:r>
                    <w:rPr>
                      <w:rFonts w:hint="eastAsia"/>
                      <w:color w:val="auto"/>
                      <w:sz w:val="21"/>
                      <w:szCs w:val="21"/>
                      <w:lang w:val="en-US" w:eastAsia="zh-CN"/>
                    </w:rPr>
                    <w:t>1.13</w:t>
                  </w:r>
                </w:p>
              </w:tc>
            </w:tr>
            <w:tr w14:paraId="38D5B5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7DDAD488">
                  <w:pPr>
                    <w:spacing w:before="31" w:beforeLines="10" w:line="240" w:lineRule="auto"/>
                    <w:jc w:val="center"/>
                    <w:rPr>
                      <w:rFonts w:hint="default" w:ascii="Times New Roman" w:hAnsi="Times New Roman" w:eastAsia="宋体" w:cs="Times New Roman"/>
                      <w:color w:val="auto"/>
                      <w:sz w:val="21"/>
                      <w:szCs w:val="21"/>
                    </w:rPr>
                  </w:pPr>
                </w:p>
              </w:tc>
              <w:tc>
                <w:tcPr>
                  <w:tcW w:w="679" w:type="dxa"/>
                  <w:vMerge w:val="continue"/>
                  <w:tcBorders>
                    <w:tl2br w:val="nil"/>
                    <w:tr2bl w:val="nil"/>
                  </w:tcBorders>
                  <w:vAlign w:val="center"/>
                </w:tcPr>
                <w:p w14:paraId="35174DE6">
                  <w:pPr>
                    <w:spacing w:before="31" w:beforeLines="10" w:line="240" w:lineRule="auto"/>
                    <w:jc w:val="center"/>
                    <w:rPr>
                      <w:rFonts w:hint="default" w:ascii="Times New Roman" w:hAnsi="Times New Roman" w:eastAsia="宋体" w:cs="Times New Roman"/>
                      <w:color w:val="auto"/>
                      <w:sz w:val="21"/>
                      <w:szCs w:val="21"/>
                    </w:rPr>
                  </w:pPr>
                </w:p>
              </w:tc>
              <w:tc>
                <w:tcPr>
                  <w:tcW w:w="1235" w:type="dxa"/>
                  <w:gridSpan w:val="2"/>
                  <w:tcBorders>
                    <w:tl2br w:val="nil"/>
                    <w:tr2bl w:val="nil"/>
                  </w:tcBorders>
                  <w:vAlign w:val="center"/>
                </w:tcPr>
                <w:p w14:paraId="08C62E17">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1470" w:type="dxa"/>
                  <w:tcBorders>
                    <w:tl2br w:val="nil"/>
                    <w:tr2bl w:val="nil"/>
                  </w:tcBorders>
                  <w:vAlign w:val="center"/>
                </w:tcPr>
                <w:p w14:paraId="4A4EA543">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7.34</w:t>
                  </w:r>
                </w:p>
              </w:tc>
              <w:tc>
                <w:tcPr>
                  <w:tcW w:w="1485" w:type="dxa"/>
                  <w:tcBorders>
                    <w:tl2br w:val="nil"/>
                    <w:tr2bl w:val="nil"/>
                  </w:tcBorders>
                  <w:vAlign w:val="center"/>
                </w:tcPr>
                <w:p w14:paraId="1B96B606">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64</w:t>
                  </w:r>
                </w:p>
              </w:tc>
              <w:tc>
                <w:tcPr>
                  <w:tcW w:w="1440" w:type="dxa"/>
                  <w:tcBorders>
                    <w:tl2br w:val="nil"/>
                    <w:tr2bl w:val="nil"/>
                  </w:tcBorders>
                  <w:vAlign w:val="center"/>
                </w:tcPr>
                <w:p w14:paraId="2D87F84A">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49</w:t>
                  </w:r>
                </w:p>
              </w:tc>
              <w:tc>
                <w:tcPr>
                  <w:tcW w:w="1534" w:type="dxa"/>
                  <w:tcBorders>
                    <w:tl2br w:val="nil"/>
                    <w:tr2bl w:val="nil"/>
                  </w:tcBorders>
                  <w:vAlign w:val="center"/>
                </w:tcPr>
                <w:p w14:paraId="54A9B966">
                  <w:pPr>
                    <w:widowControl/>
                    <w:spacing w:line="240" w:lineRule="auto"/>
                    <w:jc w:val="center"/>
                    <w:textAlignment w:val="center"/>
                    <w:rPr>
                      <w:rFonts w:hint="default" w:ascii="Times New Roman" w:hAnsi="Times New Roman" w:eastAsia="宋体" w:cs="Times New Roman"/>
                      <w:b/>
                      <w:bCs/>
                      <w:color w:val="auto"/>
                      <w:kern w:val="0"/>
                      <w:sz w:val="21"/>
                      <w:szCs w:val="21"/>
                      <w:lang w:val="en-US" w:eastAsia="zh-CN" w:bidi="ar"/>
                    </w:rPr>
                  </w:pPr>
                  <w:r>
                    <w:rPr>
                      <w:rFonts w:hint="eastAsia"/>
                      <w:color w:val="auto"/>
                      <w:sz w:val="21"/>
                      <w:szCs w:val="21"/>
                      <w:lang w:val="en-US" w:eastAsia="zh-CN"/>
                    </w:rPr>
                    <w:t>1.17</w:t>
                  </w:r>
                </w:p>
              </w:tc>
            </w:tr>
            <w:tr w14:paraId="077D6F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30EBAEA4">
                  <w:pPr>
                    <w:spacing w:before="31" w:beforeLines="10" w:line="240" w:lineRule="auto"/>
                    <w:jc w:val="center"/>
                    <w:rPr>
                      <w:rFonts w:hint="default" w:ascii="Times New Roman" w:hAnsi="Times New Roman" w:eastAsia="宋体" w:cs="Times New Roman"/>
                      <w:color w:val="auto"/>
                      <w:sz w:val="21"/>
                      <w:szCs w:val="21"/>
                    </w:rPr>
                  </w:pPr>
                </w:p>
              </w:tc>
              <w:tc>
                <w:tcPr>
                  <w:tcW w:w="679" w:type="dxa"/>
                  <w:vMerge w:val="continue"/>
                  <w:tcBorders>
                    <w:tl2br w:val="nil"/>
                    <w:tr2bl w:val="nil"/>
                  </w:tcBorders>
                  <w:vAlign w:val="center"/>
                </w:tcPr>
                <w:p w14:paraId="568ECEA4">
                  <w:pPr>
                    <w:spacing w:before="31" w:beforeLines="10" w:line="240" w:lineRule="auto"/>
                    <w:jc w:val="center"/>
                    <w:rPr>
                      <w:rFonts w:hint="default" w:ascii="Times New Roman" w:hAnsi="Times New Roman" w:eastAsia="宋体" w:cs="Times New Roman"/>
                      <w:color w:val="auto"/>
                      <w:sz w:val="21"/>
                      <w:szCs w:val="21"/>
                    </w:rPr>
                  </w:pPr>
                </w:p>
              </w:tc>
              <w:tc>
                <w:tcPr>
                  <w:tcW w:w="1235" w:type="dxa"/>
                  <w:gridSpan w:val="2"/>
                  <w:tcBorders>
                    <w:tl2br w:val="nil"/>
                    <w:tr2bl w:val="nil"/>
                  </w:tcBorders>
                  <w:vAlign w:val="center"/>
                </w:tcPr>
                <w:p w14:paraId="17B04B31">
                  <w:pPr>
                    <w:spacing w:before="31"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w:t>
                  </w:r>
                </w:p>
                <w:p w14:paraId="4497CD31">
                  <w:pPr>
                    <w:spacing w:before="31"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范围</w:t>
                  </w:r>
                </w:p>
              </w:tc>
              <w:tc>
                <w:tcPr>
                  <w:tcW w:w="1470" w:type="dxa"/>
                  <w:tcBorders>
                    <w:tl2br w:val="nil"/>
                    <w:tr2bl w:val="nil"/>
                  </w:tcBorders>
                  <w:vAlign w:val="center"/>
                </w:tcPr>
                <w:p w14:paraId="681940A0">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rPr>
                    <w:t>7.</w:t>
                  </w:r>
                  <w:r>
                    <w:rPr>
                      <w:rFonts w:hint="eastAsia"/>
                      <w:color w:val="auto"/>
                      <w:sz w:val="21"/>
                      <w:szCs w:val="21"/>
                      <w:lang w:val="en-US" w:eastAsia="zh-CN"/>
                    </w:rPr>
                    <w:t>31</w:t>
                  </w:r>
                  <w:r>
                    <w:rPr>
                      <w:color w:val="auto"/>
                      <w:sz w:val="21"/>
                      <w:szCs w:val="21"/>
                    </w:rPr>
                    <w:t>～</w:t>
                  </w:r>
                  <w:r>
                    <w:rPr>
                      <w:rFonts w:hint="eastAsia"/>
                      <w:color w:val="auto"/>
                      <w:sz w:val="21"/>
                      <w:szCs w:val="21"/>
                      <w:lang w:val="en-US"/>
                    </w:rPr>
                    <w:t>7.</w:t>
                  </w:r>
                  <w:r>
                    <w:rPr>
                      <w:rFonts w:hint="eastAsia"/>
                      <w:color w:val="auto"/>
                      <w:sz w:val="21"/>
                      <w:szCs w:val="21"/>
                      <w:lang w:val="en-US" w:eastAsia="zh-CN"/>
                    </w:rPr>
                    <w:t>34</w:t>
                  </w:r>
                </w:p>
              </w:tc>
              <w:tc>
                <w:tcPr>
                  <w:tcW w:w="1485" w:type="dxa"/>
                  <w:tcBorders>
                    <w:tl2br w:val="nil"/>
                    <w:tr2bl w:val="nil"/>
                  </w:tcBorders>
                  <w:vAlign w:val="center"/>
                </w:tcPr>
                <w:p w14:paraId="71F9A730">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63</w:t>
                  </w:r>
                </w:p>
              </w:tc>
              <w:tc>
                <w:tcPr>
                  <w:tcW w:w="1440" w:type="dxa"/>
                  <w:tcBorders>
                    <w:tl2br w:val="nil"/>
                    <w:tr2bl w:val="nil"/>
                  </w:tcBorders>
                  <w:vAlign w:val="center"/>
                </w:tcPr>
                <w:p w14:paraId="11AA2A89">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48</w:t>
                  </w:r>
                </w:p>
              </w:tc>
              <w:tc>
                <w:tcPr>
                  <w:tcW w:w="1534" w:type="dxa"/>
                  <w:tcBorders>
                    <w:tl2br w:val="nil"/>
                    <w:tr2bl w:val="nil"/>
                  </w:tcBorders>
                  <w:vAlign w:val="center"/>
                </w:tcPr>
                <w:p w14:paraId="2B9BD18E">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1.15</w:t>
                  </w:r>
                </w:p>
              </w:tc>
            </w:tr>
            <w:tr w14:paraId="5F3F6F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06137B2C">
                  <w:pPr>
                    <w:spacing w:before="31" w:beforeLines="10" w:line="240" w:lineRule="auto"/>
                    <w:jc w:val="center"/>
                    <w:rPr>
                      <w:rFonts w:hint="default" w:ascii="Times New Roman" w:hAnsi="Times New Roman" w:eastAsia="宋体" w:cs="Times New Roman"/>
                      <w:color w:val="auto"/>
                      <w:sz w:val="21"/>
                      <w:szCs w:val="21"/>
                    </w:rPr>
                  </w:pPr>
                </w:p>
              </w:tc>
              <w:tc>
                <w:tcPr>
                  <w:tcW w:w="1914" w:type="dxa"/>
                  <w:gridSpan w:val="3"/>
                  <w:tcBorders>
                    <w:tl2br w:val="nil"/>
                    <w:tr2bl w:val="nil"/>
                  </w:tcBorders>
                  <w:vAlign w:val="center"/>
                </w:tcPr>
                <w:p w14:paraId="4230B921">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标准限值/范围</w:t>
                  </w:r>
                </w:p>
              </w:tc>
              <w:tc>
                <w:tcPr>
                  <w:tcW w:w="1470" w:type="dxa"/>
                  <w:tcBorders>
                    <w:tl2br w:val="nil"/>
                    <w:tr2bl w:val="nil"/>
                  </w:tcBorders>
                  <w:vAlign w:val="center"/>
                </w:tcPr>
                <w:p w14:paraId="7EF40873">
                  <w:pPr>
                    <w:pStyle w:val="67"/>
                    <w:rPr>
                      <w:rFonts w:hint="default" w:ascii="Times New Roman" w:hAnsi="Times New Roman" w:eastAsia="宋体" w:cs="Times New Roman"/>
                      <w:color w:val="auto"/>
                      <w:spacing w:val="5"/>
                      <w:kern w:val="0"/>
                      <w:sz w:val="21"/>
                      <w:szCs w:val="21"/>
                      <w:lang w:val="zh-CN" w:eastAsia="zh-CN" w:bidi="ar-SA"/>
                    </w:rPr>
                  </w:pPr>
                  <w:r>
                    <w:rPr>
                      <w:rFonts w:hint="eastAsia"/>
                      <w:color w:val="auto"/>
                      <w:sz w:val="21"/>
                      <w:szCs w:val="21"/>
                    </w:rPr>
                    <w:t>6</w:t>
                  </w:r>
                  <w:r>
                    <w:rPr>
                      <w:color w:val="auto"/>
                      <w:sz w:val="21"/>
                      <w:szCs w:val="21"/>
                    </w:rPr>
                    <w:t>～</w:t>
                  </w:r>
                  <w:r>
                    <w:rPr>
                      <w:rFonts w:hint="eastAsia"/>
                      <w:color w:val="auto"/>
                      <w:sz w:val="21"/>
                      <w:szCs w:val="21"/>
                    </w:rPr>
                    <w:t>9</w:t>
                  </w:r>
                </w:p>
              </w:tc>
              <w:tc>
                <w:tcPr>
                  <w:tcW w:w="1485" w:type="dxa"/>
                  <w:tcBorders>
                    <w:tl2br w:val="nil"/>
                    <w:tr2bl w:val="nil"/>
                  </w:tcBorders>
                  <w:vAlign w:val="center"/>
                </w:tcPr>
                <w:p w14:paraId="6E83DD2E">
                  <w:pPr>
                    <w:pStyle w:val="67"/>
                    <w:rPr>
                      <w:rFonts w:hint="default" w:ascii="Times New Roman" w:hAnsi="Times New Roman" w:eastAsia="宋体" w:cs="Times New Roman"/>
                      <w:color w:val="auto"/>
                      <w:spacing w:val="5"/>
                      <w:kern w:val="0"/>
                      <w:sz w:val="21"/>
                      <w:szCs w:val="21"/>
                      <w:lang w:val="zh-CN" w:eastAsia="zh-CN" w:bidi="ar-SA"/>
                    </w:rPr>
                  </w:pPr>
                  <w:r>
                    <w:rPr>
                      <w:rFonts w:hint="eastAsia"/>
                      <w:color w:val="auto"/>
                      <w:sz w:val="21"/>
                      <w:szCs w:val="21"/>
                      <w:lang w:val="en-US" w:eastAsia="zh-CN"/>
                    </w:rPr>
                    <w:t>100</w:t>
                  </w:r>
                </w:p>
              </w:tc>
              <w:tc>
                <w:tcPr>
                  <w:tcW w:w="1440" w:type="dxa"/>
                  <w:tcBorders>
                    <w:tl2br w:val="nil"/>
                    <w:tr2bl w:val="nil"/>
                  </w:tcBorders>
                  <w:vAlign w:val="center"/>
                </w:tcPr>
                <w:p w14:paraId="12047302">
                  <w:pPr>
                    <w:pStyle w:val="67"/>
                    <w:rPr>
                      <w:rFonts w:hint="default" w:ascii="Times New Roman" w:hAnsi="Times New Roman" w:eastAsia="宋体" w:cs="Times New Roman"/>
                      <w:color w:val="auto"/>
                      <w:spacing w:val="5"/>
                      <w:kern w:val="0"/>
                      <w:sz w:val="21"/>
                      <w:szCs w:val="21"/>
                      <w:lang w:val="zh-CN" w:eastAsia="zh-CN" w:bidi="ar-SA"/>
                    </w:rPr>
                  </w:pPr>
                  <w:r>
                    <w:rPr>
                      <w:rFonts w:hint="eastAsia"/>
                      <w:color w:val="auto"/>
                      <w:sz w:val="21"/>
                      <w:szCs w:val="21"/>
                      <w:lang w:val="en-US" w:eastAsia="zh-CN"/>
                    </w:rPr>
                    <w:t>70</w:t>
                  </w:r>
                </w:p>
              </w:tc>
              <w:tc>
                <w:tcPr>
                  <w:tcW w:w="1534" w:type="dxa"/>
                  <w:tcBorders>
                    <w:tl2br w:val="nil"/>
                    <w:tr2bl w:val="nil"/>
                  </w:tcBorders>
                  <w:vAlign w:val="center"/>
                </w:tcPr>
                <w:p w14:paraId="5A132465">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15</w:t>
                  </w:r>
                </w:p>
              </w:tc>
            </w:tr>
            <w:tr w14:paraId="1C8ACA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141D610B">
                  <w:pPr>
                    <w:spacing w:before="31" w:beforeLines="10" w:line="240" w:lineRule="auto"/>
                    <w:jc w:val="center"/>
                    <w:rPr>
                      <w:rFonts w:hint="default" w:ascii="Times New Roman" w:hAnsi="Times New Roman" w:eastAsia="宋体" w:cs="Times New Roman"/>
                      <w:color w:val="auto"/>
                      <w:sz w:val="21"/>
                      <w:szCs w:val="21"/>
                    </w:rPr>
                  </w:pPr>
                </w:p>
              </w:tc>
              <w:tc>
                <w:tcPr>
                  <w:tcW w:w="1914" w:type="dxa"/>
                  <w:gridSpan w:val="3"/>
                  <w:tcBorders>
                    <w:tl2br w:val="nil"/>
                    <w:tr2bl w:val="nil"/>
                  </w:tcBorders>
                  <w:vAlign w:val="center"/>
                </w:tcPr>
                <w:p w14:paraId="6D4A4A56">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c>
                <w:tcPr>
                  <w:tcW w:w="1470" w:type="dxa"/>
                  <w:tcBorders>
                    <w:tl2br w:val="nil"/>
                    <w:tr2bl w:val="nil"/>
                  </w:tcBorders>
                  <w:vAlign w:val="center"/>
                </w:tcPr>
                <w:p w14:paraId="7D8117DA">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485" w:type="dxa"/>
                  <w:tcBorders>
                    <w:tl2br w:val="nil"/>
                    <w:tr2bl w:val="nil"/>
                  </w:tcBorders>
                  <w:vAlign w:val="center"/>
                </w:tcPr>
                <w:p w14:paraId="481D479D">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440" w:type="dxa"/>
                  <w:tcBorders>
                    <w:tl2br w:val="nil"/>
                    <w:tr2bl w:val="nil"/>
                  </w:tcBorders>
                  <w:vAlign w:val="center"/>
                </w:tcPr>
                <w:p w14:paraId="073C39C8">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534" w:type="dxa"/>
                  <w:tcBorders>
                    <w:tl2br w:val="nil"/>
                    <w:tr2bl w:val="nil"/>
                  </w:tcBorders>
                  <w:vAlign w:val="center"/>
                </w:tcPr>
                <w:p w14:paraId="1FE91DB0">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r>
            <w:tr w14:paraId="00984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3CC885BF">
                  <w:pPr>
                    <w:spacing w:before="31" w:beforeLines="10" w:line="240" w:lineRule="auto"/>
                    <w:jc w:val="center"/>
                    <w:rPr>
                      <w:rFonts w:hint="default" w:ascii="Times New Roman" w:hAnsi="Times New Roman" w:eastAsia="宋体" w:cs="Times New Roman"/>
                      <w:color w:val="auto"/>
                      <w:sz w:val="21"/>
                      <w:szCs w:val="21"/>
                    </w:rPr>
                  </w:pPr>
                </w:p>
              </w:tc>
              <w:tc>
                <w:tcPr>
                  <w:tcW w:w="697" w:type="dxa"/>
                  <w:gridSpan w:val="2"/>
                  <w:vMerge w:val="restart"/>
                  <w:tcBorders>
                    <w:tl2br w:val="nil"/>
                    <w:tr2bl w:val="nil"/>
                  </w:tcBorders>
                  <w:vAlign w:val="center"/>
                </w:tcPr>
                <w:p w14:paraId="07BFF423">
                  <w:pPr>
                    <w:spacing w:before="31" w:beforeLines="1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rPr>
                    <w:t>2009.11.24</w:t>
                  </w:r>
                </w:p>
              </w:tc>
              <w:tc>
                <w:tcPr>
                  <w:tcW w:w="1217" w:type="dxa"/>
                  <w:tcBorders>
                    <w:tl2br w:val="nil"/>
                    <w:tr2bl w:val="nil"/>
                  </w:tcBorders>
                  <w:vAlign w:val="center"/>
                </w:tcPr>
                <w:p w14:paraId="382EA2EE">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1470" w:type="dxa"/>
                  <w:tcBorders>
                    <w:tl2br w:val="nil"/>
                    <w:tr2bl w:val="nil"/>
                  </w:tcBorders>
                  <w:vAlign w:val="center"/>
                </w:tcPr>
                <w:p w14:paraId="292DA0E9">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7.40</w:t>
                  </w:r>
                </w:p>
              </w:tc>
              <w:tc>
                <w:tcPr>
                  <w:tcW w:w="1485" w:type="dxa"/>
                  <w:tcBorders>
                    <w:tl2br w:val="nil"/>
                    <w:tr2bl w:val="nil"/>
                  </w:tcBorders>
                  <w:vAlign w:val="center"/>
                </w:tcPr>
                <w:p w14:paraId="3F9D2879">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40</w:t>
                  </w:r>
                </w:p>
              </w:tc>
              <w:tc>
                <w:tcPr>
                  <w:tcW w:w="1440" w:type="dxa"/>
                  <w:tcBorders>
                    <w:tl2br w:val="nil"/>
                    <w:tr2bl w:val="nil"/>
                  </w:tcBorders>
                  <w:vAlign w:val="center"/>
                </w:tcPr>
                <w:p w14:paraId="3B12A8BE">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45</w:t>
                  </w:r>
                </w:p>
              </w:tc>
              <w:tc>
                <w:tcPr>
                  <w:tcW w:w="1534" w:type="dxa"/>
                  <w:tcBorders>
                    <w:tl2br w:val="nil"/>
                    <w:tr2bl w:val="nil"/>
                  </w:tcBorders>
                  <w:vAlign w:val="center"/>
                </w:tcPr>
                <w:p w14:paraId="252CFB4A">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1.06</w:t>
                  </w:r>
                </w:p>
              </w:tc>
            </w:tr>
            <w:tr w14:paraId="736E4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2E7240C7">
                  <w:pPr>
                    <w:spacing w:before="31" w:beforeLines="10" w:line="240" w:lineRule="auto"/>
                    <w:jc w:val="center"/>
                    <w:rPr>
                      <w:rFonts w:hint="default" w:ascii="Times New Roman" w:hAnsi="Times New Roman" w:eastAsia="宋体" w:cs="Times New Roman"/>
                      <w:color w:val="auto"/>
                      <w:sz w:val="21"/>
                      <w:szCs w:val="21"/>
                    </w:rPr>
                  </w:pPr>
                </w:p>
              </w:tc>
              <w:tc>
                <w:tcPr>
                  <w:tcW w:w="697" w:type="dxa"/>
                  <w:gridSpan w:val="2"/>
                  <w:vMerge w:val="continue"/>
                  <w:tcBorders>
                    <w:tl2br w:val="nil"/>
                    <w:tr2bl w:val="nil"/>
                  </w:tcBorders>
                  <w:vAlign w:val="center"/>
                </w:tcPr>
                <w:p w14:paraId="247557D0">
                  <w:pPr>
                    <w:spacing w:before="31" w:beforeLines="10" w:line="240" w:lineRule="auto"/>
                    <w:jc w:val="center"/>
                    <w:rPr>
                      <w:rFonts w:hint="default" w:ascii="Times New Roman" w:hAnsi="Times New Roman" w:eastAsia="宋体" w:cs="Times New Roman"/>
                      <w:color w:val="auto"/>
                      <w:sz w:val="21"/>
                      <w:szCs w:val="21"/>
                    </w:rPr>
                  </w:pPr>
                </w:p>
              </w:tc>
              <w:tc>
                <w:tcPr>
                  <w:tcW w:w="1217" w:type="dxa"/>
                  <w:tcBorders>
                    <w:tl2br w:val="nil"/>
                    <w:tr2bl w:val="nil"/>
                  </w:tcBorders>
                  <w:vAlign w:val="center"/>
                </w:tcPr>
                <w:p w14:paraId="767615D3">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1470" w:type="dxa"/>
                  <w:tcBorders>
                    <w:tl2br w:val="nil"/>
                    <w:tr2bl w:val="nil"/>
                  </w:tcBorders>
                  <w:vAlign w:val="center"/>
                </w:tcPr>
                <w:p w14:paraId="69220BFF">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7.42</w:t>
                  </w:r>
                </w:p>
              </w:tc>
              <w:tc>
                <w:tcPr>
                  <w:tcW w:w="1485" w:type="dxa"/>
                  <w:tcBorders>
                    <w:tl2br w:val="nil"/>
                    <w:tr2bl w:val="nil"/>
                  </w:tcBorders>
                  <w:vAlign w:val="center"/>
                </w:tcPr>
                <w:p w14:paraId="2E915754">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42</w:t>
                  </w:r>
                </w:p>
              </w:tc>
              <w:tc>
                <w:tcPr>
                  <w:tcW w:w="1440" w:type="dxa"/>
                  <w:tcBorders>
                    <w:tl2br w:val="nil"/>
                    <w:tr2bl w:val="nil"/>
                  </w:tcBorders>
                  <w:vAlign w:val="center"/>
                </w:tcPr>
                <w:p w14:paraId="5432DD69">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43</w:t>
                  </w:r>
                </w:p>
              </w:tc>
              <w:tc>
                <w:tcPr>
                  <w:tcW w:w="1534" w:type="dxa"/>
                  <w:tcBorders>
                    <w:tl2br w:val="nil"/>
                    <w:tr2bl w:val="nil"/>
                  </w:tcBorders>
                  <w:vAlign w:val="center"/>
                </w:tcPr>
                <w:p w14:paraId="5BCB42C3">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1.09</w:t>
                  </w:r>
                </w:p>
              </w:tc>
            </w:tr>
            <w:tr w14:paraId="7A3E7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3B0B5826">
                  <w:pPr>
                    <w:spacing w:before="31" w:beforeLines="10" w:line="240" w:lineRule="auto"/>
                    <w:jc w:val="center"/>
                    <w:rPr>
                      <w:rFonts w:hint="default" w:ascii="Times New Roman" w:hAnsi="Times New Roman" w:eastAsia="宋体" w:cs="Times New Roman"/>
                      <w:color w:val="auto"/>
                      <w:sz w:val="21"/>
                      <w:szCs w:val="21"/>
                    </w:rPr>
                  </w:pPr>
                </w:p>
              </w:tc>
              <w:tc>
                <w:tcPr>
                  <w:tcW w:w="697" w:type="dxa"/>
                  <w:gridSpan w:val="2"/>
                  <w:vMerge w:val="continue"/>
                  <w:tcBorders>
                    <w:tl2br w:val="nil"/>
                    <w:tr2bl w:val="nil"/>
                  </w:tcBorders>
                  <w:vAlign w:val="center"/>
                </w:tcPr>
                <w:p w14:paraId="3E0996FE">
                  <w:pPr>
                    <w:spacing w:before="31" w:beforeLines="10" w:line="240" w:lineRule="auto"/>
                    <w:jc w:val="center"/>
                    <w:rPr>
                      <w:rFonts w:hint="default" w:ascii="Times New Roman" w:hAnsi="Times New Roman" w:eastAsia="宋体" w:cs="Times New Roman"/>
                      <w:color w:val="auto"/>
                      <w:sz w:val="21"/>
                      <w:szCs w:val="21"/>
                    </w:rPr>
                  </w:pPr>
                </w:p>
              </w:tc>
              <w:tc>
                <w:tcPr>
                  <w:tcW w:w="1217" w:type="dxa"/>
                  <w:tcBorders>
                    <w:tl2br w:val="nil"/>
                    <w:tr2bl w:val="nil"/>
                  </w:tcBorders>
                  <w:vAlign w:val="center"/>
                </w:tcPr>
                <w:p w14:paraId="5464FAE8">
                  <w:pPr>
                    <w:spacing w:before="31"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w:t>
                  </w:r>
                </w:p>
                <w:p w14:paraId="6CE5D26A">
                  <w:pPr>
                    <w:spacing w:before="31"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范围</w:t>
                  </w:r>
                </w:p>
              </w:tc>
              <w:tc>
                <w:tcPr>
                  <w:tcW w:w="1470" w:type="dxa"/>
                  <w:tcBorders>
                    <w:tl2br w:val="nil"/>
                    <w:tr2bl w:val="nil"/>
                  </w:tcBorders>
                  <w:vAlign w:val="center"/>
                </w:tcPr>
                <w:p w14:paraId="62B03008">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rPr>
                    <w:t>7.</w:t>
                  </w:r>
                  <w:r>
                    <w:rPr>
                      <w:rFonts w:hint="eastAsia"/>
                      <w:color w:val="auto"/>
                      <w:sz w:val="21"/>
                      <w:szCs w:val="21"/>
                      <w:lang w:val="en-US" w:eastAsia="zh-CN"/>
                    </w:rPr>
                    <w:t>40</w:t>
                  </w:r>
                  <w:r>
                    <w:rPr>
                      <w:color w:val="auto"/>
                      <w:sz w:val="21"/>
                      <w:szCs w:val="21"/>
                    </w:rPr>
                    <w:t>～</w:t>
                  </w:r>
                  <w:r>
                    <w:rPr>
                      <w:rFonts w:hint="eastAsia"/>
                      <w:color w:val="auto"/>
                      <w:sz w:val="21"/>
                      <w:szCs w:val="21"/>
                      <w:lang w:val="en-US"/>
                    </w:rPr>
                    <w:t>7.</w:t>
                  </w:r>
                  <w:r>
                    <w:rPr>
                      <w:rFonts w:hint="eastAsia"/>
                      <w:color w:val="auto"/>
                      <w:sz w:val="21"/>
                      <w:szCs w:val="21"/>
                      <w:lang w:val="en-US" w:eastAsia="zh-CN"/>
                    </w:rPr>
                    <w:t>42</w:t>
                  </w:r>
                </w:p>
              </w:tc>
              <w:tc>
                <w:tcPr>
                  <w:tcW w:w="1485" w:type="dxa"/>
                  <w:tcBorders>
                    <w:tl2br w:val="nil"/>
                    <w:tr2bl w:val="nil"/>
                  </w:tcBorders>
                  <w:vAlign w:val="center"/>
                </w:tcPr>
                <w:p w14:paraId="7B542C8D">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41</w:t>
                  </w:r>
                </w:p>
              </w:tc>
              <w:tc>
                <w:tcPr>
                  <w:tcW w:w="1440" w:type="dxa"/>
                  <w:tcBorders>
                    <w:tl2br w:val="nil"/>
                    <w:tr2bl w:val="nil"/>
                  </w:tcBorders>
                  <w:vAlign w:val="center"/>
                </w:tcPr>
                <w:p w14:paraId="4E926171">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44</w:t>
                  </w:r>
                </w:p>
              </w:tc>
              <w:tc>
                <w:tcPr>
                  <w:tcW w:w="1534" w:type="dxa"/>
                  <w:tcBorders>
                    <w:tl2br w:val="nil"/>
                    <w:tr2bl w:val="nil"/>
                  </w:tcBorders>
                  <w:vAlign w:val="center"/>
                </w:tcPr>
                <w:p w14:paraId="0D7D124C">
                  <w:pPr>
                    <w:pStyle w:val="67"/>
                    <w:rPr>
                      <w:rFonts w:hint="default" w:ascii="Times New Roman" w:hAnsi="Times New Roman" w:eastAsia="宋体" w:cs="Times New Roman"/>
                      <w:color w:val="auto"/>
                      <w:kern w:val="0"/>
                      <w:sz w:val="21"/>
                      <w:szCs w:val="21"/>
                      <w:lang w:val="en-US" w:eastAsia="zh-CN"/>
                    </w:rPr>
                  </w:pPr>
                  <w:r>
                    <w:rPr>
                      <w:rFonts w:hint="eastAsia"/>
                      <w:color w:val="auto"/>
                      <w:sz w:val="21"/>
                      <w:szCs w:val="21"/>
                      <w:lang w:val="en-US" w:eastAsia="zh-CN"/>
                    </w:rPr>
                    <w:t>1.08</w:t>
                  </w:r>
                </w:p>
              </w:tc>
            </w:tr>
            <w:tr w14:paraId="6946E1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0D6A8808">
                  <w:pPr>
                    <w:spacing w:before="31" w:beforeLines="10" w:line="240" w:lineRule="auto"/>
                    <w:jc w:val="center"/>
                    <w:rPr>
                      <w:rFonts w:hint="default" w:ascii="Times New Roman" w:hAnsi="Times New Roman" w:eastAsia="宋体" w:cs="Times New Roman"/>
                      <w:color w:val="auto"/>
                      <w:sz w:val="21"/>
                      <w:szCs w:val="21"/>
                    </w:rPr>
                  </w:pPr>
                </w:p>
              </w:tc>
              <w:tc>
                <w:tcPr>
                  <w:tcW w:w="1914" w:type="dxa"/>
                  <w:gridSpan w:val="3"/>
                  <w:tcBorders>
                    <w:tl2br w:val="nil"/>
                    <w:tr2bl w:val="nil"/>
                  </w:tcBorders>
                  <w:vAlign w:val="center"/>
                </w:tcPr>
                <w:p w14:paraId="6E6FC3B1">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标准限值/范围</w:t>
                  </w:r>
                </w:p>
              </w:tc>
              <w:tc>
                <w:tcPr>
                  <w:tcW w:w="1470" w:type="dxa"/>
                  <w:tcBorders>
                    <w:tl2br w:val="nil"/>
                    <w:tr2bl w:val="nil"/>
                  </w:tcBorders>
                  <w:vAlign w:val="center"/>
                </w:tcPr>
                <w:p w14:paraId="4C54B3F9">
                  <w:pPr>
                    <w:pStyle w:val="67"/>
                    <w:rPr>
                      <w:rFonts w:hint="default" w:ascii="Times New Roman" w:hAnsi="Times New Roman" w:eastAsia="宋体" w:cs="Times New Roman"/>
                      <w:color w:val="auto"/>
                      <w:spacing w:val="5"/>
                      <w:kern w:val="0"/>
                      <w:sz w:val="21"/>
                      <w:szCs w:val="21"/>
                      <w:lang w:val="zh-CN" w:eastAsia="zh-CN" w:bidi="ar-SA"/>
                    </w:rPr>
                  </w:pPr>
                  <w:r>
                    <w:rPr>
                      <w:rFonts w:hint="eastAsia"/>
                      <w:color w:val="auto"/>
                      <w:sz w:val="21"/>
                      <w:szCs w:val="21"/>
                    </w:rPr>
                    <w:t>6</w:t>
                  </w:r>
                  <w:r>
                    <w:rPr>
                      <w:color w:val="auto"/>
                      <w:sz w:val="21"/>
                      <w:szCs w:val="21"/>
                    </w:rPr>
                    <w:t>～</w:t>
                  </w:r>
                  <w:r>
                    <w:rPr>
                      <w:rFonts w:hint="eastAsia"/>
                      <w:color w:val="auto"/>
                      <w:sz w:val="21"/>
                      <w:szCs w:val="21"/>
                    </w:rPr>
                    <w:t>9</w:t>
                  </w:r>
                </w:p>
              </w:tc>
              <w:tc>
                <w:tcPr>
                  <w:tcW w:w="1485" w:type="dxa"/>
                  <w:tcBorders>
                    <w:tl2br w:val="nil"/>
                    <w:tr2bl w:val="nil"/>
                  </w:tcBorders>
                  <w:vAlign w:val="center"/>
                </w:tcPr>
                <w:p w14:paraId="32837BF9">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100</w:t>
                  </w:r>
                </w:p>
              </w:tc>
              <w:tc>
                <w:tcPr>
                  <w:tcW w:w="1440" w:type="dxa"/>
                  <w:tcBorders>
                    <w:tl2br w:val="nil"/>
                    <w:tr2bl w:val="nil"/>
                  </w:tcBorders>
                  <w:vAlign w:val="center"/>
                </w:tcPr>
                <w:p w14:paraId="2C3EDB02">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70</w:t>
                  </w:r>
                </w:p>
              </w:tc>
              <w:tc>
                <w:tcPr>
                  <w:tcW w:w="1534" w:type="dxa"/>
                  <w:tcBorders>
                    <w:tl2br w:val="nil"/>
                    <w:tr2bl w:val="nil"/>
                  </w:tcBorders>
                  <w:vAlign w:val="center"/>
                </w:tcPr>
                <w:p w14:paraId="3EB84253">
                  <w:pPr>
                    <w:pStyle w:val="67"/>
                    <w:rPr>
                      <w:rFonts w:hint="default" w:ascii="Times New Roman" w:hAnsi="Times New Roman" w:eastAsia="宋体" w:cs="Times New Roman"/>
                      <w:color w:val="auto"/>
                      <w:spacing w:val="5"/>
                      <w:kern w:val="0"/>
                      <w:sz w:val="21"/>
                      <w:szCs w:val="21"/>
                      <w:lang w:val="en-US" w:eastAsia="zh-CN" w:bidi="ar-SA"/>
                    </w:rPr>
                  </w:pPr>
                  <w:r>
                    <w:rPr>
                      <w:rFonts w:hint="eastAsia"/>
                      <w:color w:val="auto"/>
                      <w:sz w:val="21"/>
                      <w:szCs w:val="21"/>
                      <w:lang w:val="en-US" w:eastAsia="zh-CN"/>
                    </w:rPr>
                    <w:t>15</w:t>
                  </w:r>
                </w:p>
              </w:tc>
            </w:tr>
            <w:tr w14:paraId="03F61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dxa"/>
                  <w:vMerge w:val="continue"/>
                  <w:tcBorders>
                    <w:tl2br w:val="nil"/>
                    <w:tr2bl w:val="nil"/>
                  </w:tcBorders>
                  <w:vAlign w:val="center"/>
                </w:tcPr>
                <w:p w14:paraId="71384929">
                  <w:pPr>
                    <w:spacing w:before="31" w:beforeLines="10" w:line="240" w:lineRule="auto"/>
                    <w:jc w:val="center"/>
                    <w:rPr>
                      <w:rFonts w:hint="default" w:ascii="Times New Roman" w:hAnsi="Times New Roman" w:eastAsia="宋体" w:cs="Times New Roman"/>
                      <w:color w:val="auto"/>
                      <w:sz w:val="21"/>
                      <w:szCs w:val="21"/>
                    </w:rPr>
                  </w:pPr>
                </w:p>
              </w:tc>
              <w:tc>
                <w:tcPr>
                  <w:tcW w:w="1914" w:type="dxa"/>
                  <w:gridSpan w:val="3"/>
                  <w:tcBorders>
                    <w:tl2br w:val="nil"/>
                    <w:tr2bl w:val="nil"/>
                  </w:tcBorders>
                  <w:vAlign w:val="center"/>
                </w:tcPr>
                <w:p w14:paraId="57DF0D5A">
                  <w:pPr>
                    <w:spacing w:before="31" w:beforeLines="10" w:after="31" w:after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c>
                <w:tcPr>
                  <w:tcW w:w="1470" w:type="dxa"/>
                  <w:tcBorders>
                    <w:tl2br w:val="nil"/>
                    <w:tr2bl w:val="nil"/>
                  </w:tcBorders>
                  <w:vAlign w:val="center"/>
                </w:tcPr>
                <w:p w14:paraId="49E11DDA">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485" w:type="dxa"/>
                  <w:tcBorders>
                    <w:tl2br w:val="nil"/>
                    <w:tr2bl w:val="nil"/>
                  </w:tcBorders>
                  <w:vAlign w:val="center"/>
                </w:tcPr>
                <w:p w14:paraId="417C38AA">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440" w:type="dxa"/>
                  <w:tcBorders>
                    <w:tl2br w:val="nil"/>
                    <w:tr2bl w:val="nil"/>
                  </w:tcBorders>
                  <w:vAlign w:val="center"/>
                </w:tcPr>
                <w:p w14:paraId="5C58119F">
                  <w:pPr>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1534" w:type="dxa"/>
                  <w:tcBorders>
                    <w:tl2br w:val="nil"/>
                    <w:tr2bl w:val="nil"/>
                  </w:tcBorders>
                  <w:vAlign w:val="center"/>
                </w:tcPr>
                <w:p w14:paraId="3BAF1232">
                  <w:pPr>
                    <w:spacing w:line="240" w:lineRule="auto"/>
                    <w:jc w:val="center"/>
                    <w:textAlignment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达标</w:t>
                  </w:r>
                </w:p>
              </w:tc>
            </w:tr>
          </w:tbl>
          <w:p w14:paraId="5B1FEB14">
            <w:pPr>
              <w:spacing w:line="360" w:lineRule="auto"/>
              <w:ind w:firstLine="422" w:firstLineChars="200"/>
              <w:rPr>
                <w:rFonts w:ascii="Times New Roman" w:hAnsi="Times New Roman" w:cs="Times New Roman"/>
                <w:b/>
                <w:bCs/>
                <w:color w:val="auto"/>
                <w:sz w:val="21"/>
                <w:szCs w:val="21"/>
              </w:rPr>
            </w:pPr>
            <w:r>
              <w:rPr>
                <w:rFonts w:hint="eastAsia" w:ascii="Times New Roman" w:hAnsi="Times New Roman" w:eastAsia="宋体" w:cs="Times New Roman"/>
                <w:b/>
                <w:bCs/>
                <w:color w:val="auto"/>
                <w:sz w:val="21"/>
                <w:szCs w:val="21"/>
                <w:lang w:val="en-US" w:eastAsia="zh-CN"/>
              </w:rPr>
              <w:t>噪声：</w:t>
            </w:r>
            <w:r>
              <w:rPr>
                <w:rFonts w:ascii="Times New Roman" w:hAnsi="Times New Roman" w:cs="Times New Roman"/>
                <w:color w:val="auto"/>
                <w:kern w:val="24"/>
                <w:sz w:val="21"/>
                <w:szCs w:val="21"/>
              </w:rPr>
              <w:t>验收</w:t>
            </w:r>
            <w:r>
              <w:rPr>
                <w:rFonts w:hint="eastAsia" w:ascii="Times New Roman" w:hAnsi="Times New Roman" w:cs="Times New Roman"/>
                <w:color w:val="auto"/>
                <w:kern w:val="24"/>
                <w:sz w:val="21"/>
                <w:szCs w:val="21"/>
              </w:rPr>
              <w:t>监测</w:t>
            </w:r>
            <w:r>
              <w:rPr>
                <w:rFonts w:ascii="Times New Roman" w:hAnsi="Times New Roman" w:cs="Times New Roman"/>
                <w:color w:val="auto"/>
                <w:kern w:val="24"/>
                <w:sz w:val="21"/>
                <w:szCs w:val="21"/>
              </w:rPr>
              <w:t>期间，</w:t>
            </w:r>
            <w:r>
              <w:rPr>
                <w:rFonts w:hint="eastAsia" w:ascii="Times New Roman" w:hAnsi="Times New Roman" w:cs="Times New Roman"/>
                <w:color w:val="auto"/>
                <w:kern w:val="24"/>
                <w:sz w:val="21"/>
                <w:szCs w:val="21"/>
              </w:rPr>
              <w:t>监测结果表明，</w:t>
            </w:r>
            <w:r>
              <w:rPr>
                <w:rFonts w:ascii="Times New Roman" w:hAnsi="Times New Roman" w:cs="Times New Roman"/>
                <w:color w:val="auto"/>
                <w:sz w:val="21"/>
                <w:szCs w:val="21"/>
              </w:rPr>
              <w:t>厂界噪声</w:t>
            </w:r>
            <w:r>
              <w:rPr>
                <w:rFonts w:hint="eastAsia" w:ascii="Times New Roman" w:hAnsi="Times New Roman" w:cs="Times New Roman"/>
                <w:color w:val="auto"/>
                <w:sz w:val="21"/>
                <w:szCs w:val="21"/>
              </w:rPr>
              <w:t>监测值符合</w:t>
            </w:r>
            <w:r>
              <w:rPr>
                <w:rFonts w:ascii="Times New Roman" w:hAnsi="Times New Roman"/>
                <w:color w:val="auto"/>
                <w:sz w:val="21"/>
                <w:szCs w:val="21"/>
              </w:rPr>
              <w:t>《工业企业厂界</w:t>
            </w:r>
            <w:r>
              <w:rPr>
                <w:rFonts w:hint="eastAsia" w:ascii="Times New Roman" w:hAnsi="Times New Roman"/>
                <w:color w:val="auto"/>
                <w:sz w:val="21"/>
                <w:szCs w:val="21"/>
              </w:rPr>
              <w:t>环境</w:t>
            </w:r>
            <w:r>
              <w:rPr>
                <w:rFonts w:ascii="Times New Roman" w:hAnsi="Times New Roman"/>
                <w:color w:val="auto"/>
                <w:sz w:val="21"/>
                <w:szCs w:val="21"/>
              </w:rPr>
              <w:t>噪声</w:t>
            </w:r>
            <w:r>
              <w:rPr>
                <w:rFonts w:hint="eastAsia" w:ascii="Times New Roman" w:hAnsi="Times New Roman"/>
                <w:color w:val="auto"/>
                <w:sz w:val="21"/>
                <w:szCs w:val="21"/>
              </w:rPr>
              <w:t>排放</w:t>
            </w:r>
            <w:r>
              <w:rPr>
                <w:rFonts w:ascii="Times New Roman" w:hAnsi="Times New Roman"/>
                <w:color w:val="auto"/>
                <w:sz w:val="21"/>
                <w:szCs w:val="21"/>
              </w:rPr>
              <w:t>标准》（GB12348-</w:t>
            </w:r>
            <w:r>
              <w:rPr>
                <w:rFonts w:hint="eastAsia" w:ascii="Times New Roman" w:hAnsi="Times New Roman"/>
                <w:color w:val="auto"/>
                <w:sz w:val="21"/>
                <w:szCs w:val="21"/>
              </w:rPr>
              <w:t>2008</w:t>
            </w:r>
            <w:r>
              <w:rPr>
                <w:rFonts w:ascii="Times New Roman" w:hAnsi="Times New Roman"/>
                <w:color w:val="auto"/>
                <w:sz w:val="21"/>
                <w:szCs w:val="21"/>
              </w:rPr>
              <w:t>）</w:t>
            </w:r>
            <w:r>
              <w:rPr>
                <w:rFonts w:hint="eastAsia" w:ascii="Times New Roman" w:hAnsi="Times New Roman"/>
                <w:color w:val="auto"/>
                <w:sz w:val="21"/>
                <w:szCs w:val="21"/>
              </w:rPr>
              <w:t>表1</w:t>
            </w:r>
            <w:r>
              <w:rPr>
                <w:rFonts w:ascii="Times New Roman" w:hAnsi="Times New Roman"/>
                <w:color w:val="auto"/>
                <w:sz w:val="21"/>
                <w:szCs w:val="21"/>
              </w:rPr>
              <w:t>中</w:t>
            </w:r>
            <w:r>
              <w:rPr>
                <w:rFonts w:hint="eastAsia" w:ascii="Times New Roman" w:hAnsi="Times New Roman"/>
                <w:color w:val="auto"/>
                <w:sz w:val="21"/>
                <w:szCs w:val="21"/>
              </w:rPr>
              <w:t>3</w:t>
            </w:r>
            <w:r>
              <w:rPr>
                <w:rFonts w:ascii="Times New Roman" w:hAnsi="Times New Roman"/>
                <w:color w:val="auto"/>
                <w:sz w:val="21"/>
                <w:szCs w:val="21"/>
              </w:rPr>
              <w:t>类标准</w:t>
            </w:r>
            <w:r>
              <w:rPr>
                <w:rFonts w:ascii="Times New Roman" w:hAnsi="Times New Roman" w:eastAsia="宋体" w:cs="Times New Roman"/>
                <w:color w:val="auto"/>
                <w:sz w:val="21"/>
                <w:szCs w:val="21"/>
              </w:rPr>
              <w:t>。</w:t>
            </w:r>
            <w:r>
              <w:rPr>
                <w:rFonts w:ascii="Times New Roman" w:hAnsi="Times New Roman" w:cs="Times New Roman"/>
                <w:color w:val="auto"/>
                <w:sz w:val="21"/>
                <w:szCs w:val="21"/>
              </w:rPr>
              <w:t>具体</w:t>
            </w:r>
            <w:r>
              <w:rPr>
                <w:rFonts w:hint="eastAsia" w:ascii="Times New Roman" w:hAnsi="Times New Roman" w:cs="Times New Roman"/>
                <w:color w:val="auto"/>
                <w:sz w:val="21"/>
                <w:szCs w:val="21"/>
              </w:rPr>
              <w:t>监测</w:t>
            </w:r>
            <w:r>
              <w:rPr>
                <w:rFonts w:ascii="Times New Roman" w:hAnsi="Times New Roman" w:cs="Times New Roman"/>
                <w:color w:val="auto"/>
                <w:sz w:val="21"/>
                <w:szCs w:val="21"/>
              </w:rPr>
              <w:t>结果见表</w:t>
            </w:r>
            <w:r>
              <w:rPr>
                <w:rFonts w:hint="eastAsia" w:ascii="Times New Roman" w:hAnsi="Times New Roman" w:cs="Times New Roman"/>
                <w:color w:val="auto"/>
                <w:sz w:val="21"/>
                <w:szCs w:val="21"/>
                <w:lang w:val="en-US" w:eastAsia="zh-CN"/>
              </w:rPr>
              <w:t>2-1</w:t>
            </w:r>
            <w:r>
              <w:rPr>
                <w:rFonts w:hint="eastAsia" w:cs="Times New Roman"/>
                <w:color w:val="auto"/>
                <w:sz w:val="21"/>
                <w:szCs w:val="21"/>
                <w:lang w:val="en-US" w:eastAsia="zh-CN"/>
              </w:rPr>
              <w:t>1</w:t>
            </w:r>
            <w:r>
              <w:rPr>
                <w:rFonts w:ascii="Times New Roman" w:hAnsi="Times New Roman" w:cs="Times New Roman"/>
                <w:color w:val="auto"/>
                <w:sz w:val="21"/>
                <w:szCs w:val="21"/>
              </w:rPr>
              <w:t>。</w:t>
            </w:r>
          </w:p>
          <w:p w14:paraId="1B1B36CF">
            <w:pPr>
              <w:spacing w:line="360" w:lineRule="auto"/>
              <w:jc w:val="center"/>
              <w:rPr>
                <w:rFonts w:ascii="Times New Roman" w:hAnsi="Times New Roman"/>
                <w:b/>
                <w:color w:val="auto"/>
                <w:sz w:val="21"/>
                <w:szCs w:val="21"/>
              </w:rPr>
            </w:pPr>
            <w:bookmarkStart w:id="6" w:name="_Toc452_WPSOffice_Level3"/>
            <w:r>
              <w:rPr>
                <w:rFonts w:ascii="Times New Roman" w:hAnsi="Times New Roman"/>
                <w:b/>
                <w:color w:val="auto"/>
                <w:sz w:val="21"/>
                <w:szCs w:val="21"/>
              </w:rPr>
              <w:t>表</w:t>
            </w:r>
            <w:r>
              <w:rPr>
                <w:rFonts w:hint="eastAsia" w:ascii="Times New Roman" w:hAnsi="Times New Roman"/>
                <w:b/>
                <w:color w:val="auto"/>
                <w:sz w:val="21"/>
                <w:szCs w:val="21"/>
                <w:lang w:val="en-US" w:eastAsia="zh-CN"/>
              </w:rPr>
              <w:t>2-1</w:t>
            </w:r>
            <w:r>
              <w:rPr>
                <w:rFonts w:hint="eastAsia"/>
                <w:b/>
                <w:color w:val="auto"/>
                <w:sz w:val="21"/>
                <w:szCs w:val="21"/>
                <w:lang w:val="en-US" w:eastAsia="zh-CN"/>
              </w:rPr>
              <w:t xml:space="preserve">1 </w:t>
            </w:r>
            <w:r>
              <w:rPr>
                <w:rFonts w:hint="eastAsia" w:ascii="Times New Roman" w:hAnsi="Times New Roman"/>
                <w:b/>
                <w:color w:val="auto"/>
                <w:sz w:val="21"/>
                <w:szCs w:val="21"/>
              </w:rPr>
              <w:t xml:space="preserve"> </w:t>
            </w:r>
            <w:r>
              <w:rPr>
                <w:rFonts w:ascii="Times New Roman" w:hAnsi="Times New Roman"/>
                <w:b/>
                <w:color w:val="auto"/>
                <w:sz w:val="21"/>
                <w:szCs w:val="21"/>
              </w:rPr>
              <w:t>噪声</w:t>
            </w:r>
            <w:r>
              <w:rPr>
                <w:rFonts w:hint="eastAsia" w:ascii="Times New Roman" w:hAnsi="Times New Roman"/>
                <w:b/>
                <w:color w:val="auto"/>
                <w:sz w:val="21"/>
                <w:szCs w:val="21"/>
              </w:rPr>
              <w:t>监测</w:t>
            </w:r>
            <w:r>
              <w:rPr>
                <w:rFonts w:ascii="Times New Roman" w:hAnsi="Times New Roman"/>
                <w:b/>
                <w:color w:val="auto"/>
                <w:sz w:val="21"/>
                <w:szCs w:val="21"/>
              </w:rPr>
              <w:t>结果</w:t>
            </w:r>
            <w:r>
              <w:rPr>
                <w:rFonts w:hint="eastAsia" w:ascii="Times New Roman" w:hAnsi="Times New Roman"/>
                <w:b/>
                <w:color w:val="auto"/>
                <w:sz w:val="21"/>
                <w:szCs w:val="21"/>
              </w:rPr>
              <w:t>表</w:t>
            </w:r>
            <w:bookmarkEnd w:id="6"/>
          </w:p>
          <w:tbl>
            <w:tblPr>
              <w:tblStyle w:val="42"/>
              <w:tblpPr w:leftFromText="180" w:rightFromText="180" w:vertAnchor="text" w:horzAnchor="margin" w:tblpXSpec="center" w:tblpY="46"/>
              <w:tblOverlap w:val="never"/>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27"/>
              <w:gridCol w:w="1070"/>
              <w:gridCol w:w="1069"/>
              <w:gridCol w:w="1070"/>
              <w:gridCol w:w="1077"/>
              <w:gridCol w:w="1324"/>
            </w:tblGrid>
            <w:tr w14:paraId="1D2D3F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Merge w:val="restart"/>
                  <w:vAlign w:val="center"/>
                </w:tcPr>
                <w:p w14:paraId="0F9A4489">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kern w:val="0"/>
                      <w:sz w:val="21"/>
                      <w:szCs w:val="21"/>
                    </w:rPr>
                    <w:t>噪声测点</w:t>
                  </w:r>
                </w:p>
              </w:tc>
              <w:tc>
                <w:tcPr>
                  <w:tcW w:w="927" w:type="dxa"/>
                  <w:vMerge w:val="restart"/>
                  <w:vAlign w:val="center"/>
                </w:tcPr>
                <w:p w14:paraId="038583A4">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kern w:val="0"/>
                      <w:sz w:val="21"/>
                      <w:szCs w:val="21"/>
                    </w:rPr>
                    <w:t>日期</w:t>
                  </w:r>
                </w:p>
              </w:tc>
              <w:tc>
                <w:tcPr>
                  <w:tcW w:w="4286" w:type="dxa"/>
                  <w:gridSpan w:val="4"/>
                  <w:vAlign w:val="center"/>
                </w:tcPr>
                <w:p w14:paraId="045BA673">
                  <w:pPr>
                    <w:spacing w:before="62" w:beforeLines="20" w:line="240" w:lineRule="auto"/>
                    <w:ind w:right="420"/>
                    <w:jc w:val="center"/>
                    <w:rPr>
                      <w:rFonts w:ascii="Times New Roman" w:hAnsi="Times New Roman" w:cs="Times New Roman"/>
                      <w:b/>
                      <w:bCs/>
                      <w:color w:val="auto"/>
                      <w:kern w:val="0"/>
                      <w:sz w:val="21"/>
                      <w:szCs w:val="21"/>
                    </w:rPr>
                  </w:pPr>
                  <w:r>
                    <w:rPr>
                      <w:rFonts w:ascii="Times New Roman" w:hAnsi="Times New Roman" w:cs="Times New Roman"/>
                      <w:b/>
                      <w:bCs/>
                      <w:color w:val="auto"/>
                      <w:sz w:val="21"/>
                      <w:szCs w:val="21"/>
                    </w:rPr>
                    <w:t>结果（单位：dB(A)）</w:t>
                  </w:r>
                </w:p>
              </w:tc>
              <w:tc>
                <w:tcPr>
                  <w:tcW w:w="1324" w:type="dxa"/>
                  <w:vMerge w:val="restart"/>
                  <w:vAlign w:val="center"/>
                </w:tcPr>
                <w:p w14:paraId="23BD1559">
                  <w:pPr>
                    <w:spacing w:before="62" w:beforeLines="20" w:line="240" w:lineRule="auto"/>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结果评价</w:t>
                  </w:r>
                </w:p>
              </w:tc>
            </w:tr>
            <w:tr w14:paraId="03B169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Merge w:val="continue"/>
                  <w:vAlign w:val="center"/>
                </w:tcPr>
                <w:p w14:paraId="76388E6D">
                  <w:pPr>
                    <w:spacing w:before="62" w:beforeLines="20" w:line="240" w:lineRule="auto"/>
                    <w:jc w:val="center"/>
                    <w:rPr>
                      <w:rFonts w:ascii="Times New Roman" w:hAnsi="Times New Roman" w:cs="Times New Roman"/>
                      <w:b/>
                      <w:bCs/>
                      <w:color w:val="auto"/>
                      <w:sz w:val="21"/>
                      <w:szCs w:val="21"/>
                    </w:rPr>
                  </w:pPr>
                </w:p>
              </w:tc>
              <w:tc>
                <w:tcPr>
                  <w:tcW w:w="927" w:type="dxa"/>
                  <w:vMerge w:val="continue"/>
                  <w:vAlign w:val="center"/>
                </w:tcPr>
                <w:p w14:paraId="04168DB1">
                  <w:pPr>
                    <w:spacing w:before="62" w:beforeLines="20" w:line="240" w:lineRule="auto"/>
                    <w:jc w:val="center"/>
                    <w:rPr>
                      <w:rFonts w:ascii="Times New Roman" w:hAnsi="Times New Roman" w:cs="Times New Roman"/>
                      <w:b/>
                      <w:bCs/>
                      <w:color w:val="auto"/>
                      <w:sz w:val="21"/>
                      <w:szCs w:val="21"/>
                    </w:rPr>
                  </w:pPr>
                </w:p>
              </w:tc>
              <w:tc>
                <w:tcPr>
                  <w:tcW w:w="1070" w:type="dxa"/>
                  <w:vAlign w:val="center"/>
                </w:tcPr>
                <w:p w14:paraId="64FA6223">
                  <w:pPr>
                    <w:widowControl/>
                    <w:adjustRightInd w:val="0"/>
                    <w:spacing w:before="62" w:beforeLines="20" w:line="240" w:lineRule="auto"/>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昼间</w:t>
                  </w:r>
                </w:p>
              </w:tc>
              <w:tc>
                <w:tcPr>
                  <w:tcW w:w="1069" w:type="dxa"/>
                  <w:vAlign w:val="center"/>
                </w:tcPr>
                <w:p w14:paraId="5E31A354">
                  <w:pPr>
                    <w:widowControl/>
                    <w:adjustRightInd w:val="0"/>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w:t>
                  </w:r>
                </w:p>
              </w:tc>
              <w:tc>
                <w:tcPr>
                  <w:tcW w:w="1070" w:type="dxa"/>
                  <w:vAlign w:val="center"/>
                </w:tcPr>
                <w:p w14:paraId="0B870DCF">
                  <w:pPr>
                    <w:widowControl/>
                    <w:adjustRightInd w:val="0"/>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夜间</w:t>
                  </w:r>
                </w:p>
              </w:tc>
              <w:tc>
                <w:tcPr>
                  <w:tcW w:w="1077" w:type="dxa"/>
                  <w:vAlign w:val="center"/>
                </w:tcPr>
                <w:p w14:paraId="515B6849">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w:t>
                  </w:r>
                </w:p>
              </w:tc>
              <w:tc>
                <w:tcPr>
                  <w:tcW w:w="1324" w:type="dxa"/>
                  <w:vMerge w:val="continue"/>
                  <w:vAlign w:val="center"/>
                </w:tcPr>
                <w:p w14:paraId="1C08CA9A">
                  <w:pPr>
                    <w:spacing w:before="62" w:beforeLines="20" w:line="240" w:lineRule="auto"/>
                    <w:jc w:val="center"/>
                    <w:rPr>
                      <w:rFonts w:ascii="Times New Roman" w:hAnsi="Times New Roman" w:cs="Times New Roman"/>
                      <w:b/>
                      <w:bCs/>
                      <w:color w:val="auto"/>
                      <w:sz w:val="21"/>
                      <w:szCs w:val="21"/>
                    </w:rPr>
                  </w:pPr>
                </w:p>
              </w:tc>
            </w:tr>
            <w:tr w14:paraId="1DDD94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74DF57AE">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Z1</w:t>
                  </w:r>
                  <w:r>
                    <w:rPr>
                      <w:rFonts w:hint="eastAsia" w:ascii="Times New Roman" w:hAnsi="Times New Roman" w:cs="Times New Roman"/>
                      <w:color w:val="auto"/>
                      <w:sz w:val="21"/>
                      <w:szCs w:val="21"/>
                    </w:rPr>
                    <w:t>（东厂界外1m）</w:t>
                  </w:r>
                </w:p>
              </w:tc>
              <w:tc>
                <w:tcPr>
                  <w:tcW w:w="927" w:type="dxa"/>
                  <w:vMerge w:val="restart"/>
                  <w:vAlign w:val="center"/>
                </w:tcPr>
                <w:p w14:paraId="2CBACF85">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2009.11.23</w:t>
                  </w:r>
                </w:p>
              </w:tc>
              <w:tc>
                <w:tcPr>
                  <w:tcW w:w="1070" w:type="dxa"/>
                  <w:vAlign w:val="center"/>
                </w:tcPr>
                <w:p w14:paraId="1F5D176B">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58.4</w:t>
                  </w:r>
                </w:p>
              </w:tc>
              <w:tc>
                <w:tcPr>
                  <w:tcW w:w="1069" w:type="dxa"/>
                  <w:vAlign w:val="center"/>
                </w:tcPr>
                <w:p w14:paraId="326CF096">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54D4FFA6">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52.4</w:t>
                  </w:r>
                </w:p>
              </w:tc>
              <w:tc>
                <w:tcPr>
                  <w:tcW w:w="1077" w:type="dxa"/>
                  <w:vAlign w:val="center"/>
                </w:tcPr>
                <w:p w14:paraId="34195499">
                  <w:pPr>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59DC600C">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达标</w:t>
                  </w:r>
                </w:p>
              </w:tc>
            </w:tr>
            <w:tr w14:paraId="36F99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5B0DD078">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Z2</w:t>
                  </w:r>
                  <w:r>
                    <w:rPr>
                      <w:rFonts w:hint="eastAsia" w:ascii="Times New Roman" w:hAnsi="Times New Roman" w:cs="Times New Roman"/>
                      <w:color w:val="auto"/>
                      <w:sz w:val="21"/>
                      <w:szCs w:val="21"/>
                    </w:rPr>
                    <w:t>（南厂界外1m）</w:t>
                  </w:r>
                </w:p>
              </w:tc>
              <w:tc>
                <w:tcPr>
                  <w:tcW w:w="927" w:type="dxa"/>
                  <w:vMerge w:val="continue"/>
                  <w:vAlign w:val="center"/>
                </w:tcPr>
                <w:p w14:paraId="5B2FF8D7">
                  <w:pPr>
                    <w:spacing w:before="31" w:beforeLines="10" w:line="240" w:lineRule="auto"/>
                    <w:jc w:val="center"/>
                    <w:rPr>
                      <w:rFonts w:ascii="Times New Roman" w:hAnsi="Times New Roman" w:cs="Times New Roman"/>
                      <w:color w:val="auto"/>
                      <w:sz w:val="21"/>
                      <w:szCs w:val="21"/>
                    </w:rPr>
                  </w:pPr>
                </w:p>
              </w:tc>
              <w:tc>
                <w:tcPr>
                  <w:tcW w:w="1070" w:type="dxa"/>
                  <w:vAlign w:val="center"/>
                </w:tcPr>
                <w:p w14:paraId="0E8029AB">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60.7</w:t>
                  </w:r>
                </w:p>
              </w:tc>
              <w:tc>
                <w:tcPr>
                  <w:tcW w:w="1069" w:type="dxa"/>
                  <w:vAlign w:val="center"/>
                </w:tcPr>
                <w:p w14:paraId="1BD50507">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7FDE2963">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52.5</w:t>
                  </w:r>
                </w:p>
              </w:tc>
              <w:tc>
                <w:tcPr>
                  <w:tcW w:w="1077" w:type="dxa"/>
                  <w:vAlign w:val="center"/>
                </w:tcPr>
                <w:p w14:paraId="37BEF672">
                  <w:pPr>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35640177">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r w14:paraId="5772B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12B862FF">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Z3</w:t>
                  </w:r>
                  <w:r>
                    <w:rPr>
                      <w:rFonts w:hint="eastAsia" w:ascii="Times New Roman" w:hAnsi="Times New Roman" w:cs="Times New Roman"/>
                      <w:color w:val="auto"/>
                      <w:sz w:val="21"/>
                      <w:szCs w:val="21"/>
                    </w:rPr>
                    <w:t>（西厂界外1m）</w:t>
                  </w:r>
                </w:p>
              </w:tc>
              <w:tc>
                <w:tcPr>
                  <w:tcW w:w="927" w:type="dxa"/>
                  <w:vMerge w:val="continue"/>
                  <w:vAlign w:val="center"/>
                </w:tcPr>
                <w:p w14:paraId="7379F34B">
                  <w:pPr>
                    <w:spacing w:before="62" w:beforeLines="20" w:line="240" w:lineRule="auto"/>
                    <w:jc w:val="center"/>
                    <w:rPr>
                      <w:rFonts w:ascii="Times New Roman" w:hAnsi="Times New Roman" w:cs="Times New Roman"/>
                      <w:color w:val="auto"/>
                      <w:sz w:val="21"/>
                      <w:szCs w:val="21"/>
                    </w:rPr>
                  </w:pPr>
                </w:p>
              </w:tc>
              <w:tc>
                <w:tcPr>
                  <w:tcW w:w="1070" w:type="dxa"/>
                  <w:vAlign w:val="center"/>
                </w:tcPr>
                <w:p w14:paraId="53E3F1DB">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57.4</w:t>
                  </w:r>
                </w:p>
              </w:tc>
              <w:tc>
                <w:tcPr>
                  <w:tcW w:w="1069" w:type="dxa"/>
                  <w:vAlign w:val="center"/>
                </w:tcPr>
                <w:p w14:paraId="76CF1A7E">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222C9BB6">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54.4</w:t>
                  </w:r>
                </w:p>
              </w:tc>
              <w:tc>
                <w:tcPr>
                  <w:tcW w:w="1077" w:type="dxa"/>
                  <w:vAlign w:val="center"/>
                </w:tcPr>
                <w:p w14:paraId="71E272FB">
                  <w:pPr>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2E907B39">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r w14:paraId="65D4AE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1ADB95BD">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Z4</w:t>
                  </w:r>
                  <w:r>
                    <w:rPr>
                      <w:rFonts w:hint="eastAsia" w:ascii="Times New Roman" w:hAnsi="Times New Roman" w:cs="Times New Roman"/>
                      <w:color w:val="auto"/>
                      <w:sz w:val="21"/>
                      <w:szCs w:val="21"/>
                    </w:rPr>
                    <w:t>（北厂界外1m）</w:t>
                  </w:r>
                </w:p>
              </w:tc>
              <w:tc>
                <w:tcPr>
                  <w:tcW w:w="927" w:type="dxa"/>
                  <w:vMerge w:val="continue"/>
                  <w:vAlign w:val="center"/>
                </w:tcPr>
                <w:p w14:paraId="43963005">
                  <w:pPr>
                    <w:spacing w:before="62" w:beforeLines="20" w:line="240" w:lineRule="auto"/>
                    <w:jc w:val="center"/>
                    <w:rPr>
                      <w:rFonts w:ascii="Times New Roman" w:hAnsi="Times New Roman" w:cs="Times New Roman"/>
                      <w:color w:val="auto"/>
                      <w:sz w:val="21"/>
                      <w:szCs w:val="21"/>
                    </w:rPr>
                  </w:pPr>
                </w:p>
              </w:tc>
              <w:tc>
                <w:tcPr>
                  <w:tcW w:w="1070" w:type="dxa"/>
                  <w:vAlign w:val="center"/>
                </w:tcPr>
                <w:p w14:paraId="7C5DD402">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53.1</w:t>
                  </w:r>
                </w:p>
              </w:tc>
              <w:tc>
                <w:tcPr>
                  <w:tcW w:w="1069" w:type="dxa"/>
                  <w:vAlign w:val="center"/>
                </w:tcPr>
                <w:p w14:paraId="2D1E4CE1">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1908ADE6">
                  <w:pPr>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50.3</w:t>
                  </w:r>
                </w:p>
              </w:tc>
              <w:tc>
                <w:tcPr>
                  <w:tcW w:w="1077" w:type="dxa"/>
                  <w:vAlign w:val="center"/>
                </w:tcPr>
                <w:p w14:paraId="61387264">
                  <w:pPr>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60B67B6B">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bl>
          <w:p w14:paraId="15C9A709">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 xml:space="preserve">4、现有项目排污许可证执行情况及污染物实际排放情况 </w:t>
            </w:r>
          </w:p>
          <w:p w14:paraId="7120A548">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根据江苏弘业检测技术有限公司于2023.07.20对企业进行的自行监测报告（（2023）弘业（环）字第（1432）号、（2023）弘业（环）字第（0805）号），相关污染物排放情况见下表。</w:t>
            </w:r>
          </w:p>
          <w:p w14:paraId="241548BB">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jc w:val="center"/>
              <w:textAlignment w:val="auto"/>
              <w:rPr>
                <w:rFonts w:hint="default"/>
                <w:b/>
                <w:bCs/>
                <w:color w:val="auto"/>
                <w:sz w:val="21"/>
                <w:szCs w:val="21"/>
                <w:vertAlign w:val="baseline"/>
                <w:lang w:val="en-US" w:eastAsia="zh-CN"/>
              </w:rPr>
            </w:pPr>
            <w:r>
              <w:rPr>
                <w:rFonts w:hint="eastAsia"/>
                <w:b/>
                <w:bCs/>
                <w:color w:val="auto"/>
                <w:sz w:val="21"/>
                <w:szCs w:val="21"/>
                <w:lang w:val="en-US" w:eastAsia="zh-CN"/>
              </w:rPr>
              <w:t>表2-12 有组织废气自行监测结果</w:t>
            </w:r>
          </w:p>
          <w:tbl>
            <w:tblPr>
              <w:tblStyle w:val="43"/>
              <w:tblW w:w="82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78"/>
              <w:gridCol w:w="1378"/>
              <w:gridCol w:w="1379"/>
              <w:gridCol w:w="1379"/>
              <w:gridCol w:w="1380"/>
            </w:tblGrid>
            <w:tr w14:paraId="2AAFFC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tcBorders>
                    <w:tl2br w:val="nil"/>
                    <w:tr2bl w:val="nil"/>
                  </w:tcBorders>
                  <w:vAlign w:val="center"/>
                </w:tcPr>
                <w:p w14:paraId="4BFD1D41">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监测点位</w:t>
                  </w:r>
                </w:p>
              </w:tc>
              <w:tc>
                <w:tcPr>
                  <w:tcW w:w="2756" w:type="dxa"/>
                  <w:gridSpan w:val="2"/>
                  <w:tcBorders>
                    <w:tl2br w:val="nil"/>
                    <w:tr2bl w:val="nil"/>
                  </w:tcBorders>
                  <w:vAlign w:val="center"/>
                </w:tcPr>
                <w:p w14:paraId="35034647">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检测因子</w:t>
                  </w:r>
                </w:p>
              </w:tc>
              <w:tc>
                <w:tcPr>
                  <w:tcW w:w="1379" w:type="dxa"/>
                  <w:tcBorders>
                    <w:tl2br w:val="nil"/>
                    <w:tr2bl w:val="nil"/>
                  </w:tcBorders>
                  <w:vAlign w:val="center"/>
                </w:tcPr>
                <w:p w14:paraId="464BB34F">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排放浓度mg/m3</w:t>
                  </w:r>
                </w:p>
              </w:tc>
              <w:tc>
                <w:tcPr>
                  <w:tcW w:w="1379" w:type="dxa"/>
                  <w:tcBorders>
                    <w:tl2br w:val="nil"/>
                    <w:tr2bl w:val="nil"/>
                  </w:tcBorders>
                  <w:vAlign w:val="center"/>
                </w:tcPr>
                <w:p w14:paraId="67D56A68">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排放速率kg/h</w:t>
                  </w:r>
                </w:p>
              </w:tc>
              <w:tc>
                <w:tcPr>
                  <w:tcW w:w="1380" w:type="dxa"/>
                  <w:tcBorders>
                    <w:tl2br w:val="nil"/>
                    <w:tr2bl w:val="nil"/>
                  </w:tcBorders>
                  <w:vAlign w:val="center"/>
                </w:tcPr>
                <w:p w14:paraId="0C949172">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达标情况</w:t>
                  </w:r>
                </w:p>
              </w:tc>
            </w:tr>
            <w:tr w14:paraId="5BEB92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restart"/>
                  <w:tcBorders>
                    <w:tl2br w:val="nil"/>
                    <w:tr2bl w:val="nil"/>
                  </w:tcBorders>
                  <w:vAlign w:val="center"/>
                </w:tcPr>
                <w:p w14:paraId="2842796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DA001</w:t>
                  </w:r>
                </w:p>
              </w:tc>
              <w:tc>
                <w:tcPr>
                  <w:tcW w:w="1378" w:type="dxa"/>
                  <w:vMerge w:val="restart"/>
                  <w:tcBorders>
                    <w:tl2br w:val="nil"/>
                    <w:tr2bl w:val="nil"/>
                  </w:tcBorders>
                  <w:vAlign w:val="center"/>
                </w:tcPr>
                <w:p w14:paraId="21E7722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二氧化硫</w:t>
                  </w:r>
                </w:p>
              </w:tc>
              <w:tc>
                <w:tcPr>
                  <w:tcW w:w="1378" w:type="dxa"/>
                  <w:tcBorders>
                    <w:tl2br w:val="nil"/>
                    <w:tr2bl w:val="nil"/>
                  </w:tcBorders>
                  <w:vAlign w:val="center"/>
                </w:tcPr>
                <w:p w14:paraId="20E9B13C">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1379" w:type="dxa"/>
                  <w:tcBorders>
                    <w:tl2br w:val="nil"/>
                    <w:tr2bl w:val="nil"/>
                  </w:tcBorders>
                  <w:vAlign w:val="center"/>
                </w:tcPr>
                <w:p w14:paraId="4281B31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17</w:t>
                  </w:r>
                </w:p>
              </w:tc>
              <w:tc>
                <w:tcPr>
                  <w:tcW w:w="1379" w:type="dxa"/>
                  <w:tcBorders>
                    <w:tl2br w:val="nil"/>
                    <w:tr2bl w:val="nil"/>
                  </w:tcBorders>
                  <w:vAlign w:val="center"/>
                </w:tcPr>
                <w:p w14:paraId="52DCC7B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0.170</w:t>
                  </w:r>
                </w:p>
              </w:tc>
              <w:tc>
                <w:tcPr>
                  <w:tcW w:w="1380" w:type="dxa"/>
                  <w:vMerge w:val="restart"/>
                  <w:tcBorders>
                    <w:tl2br w:val="nil"/>
                    <w:tr2bl w:val="nil"/>
                  </w:tcBorders>
                  <w:vAlign w:val="center"/>
                </w:tcPr>
                <w:p w14:paraId="2932AC7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446858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tcBorders>
                    <w:tl2br w:val="nil"/>
                    <w:tr2bl w:val="nil"/>
                  </w:tcBorders>
                  <w:vAlign w:val="center"/>
                </w:tcPr>
                <w:p w14:paraId="63A5648A">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tcBorders>
                    <w:tl2br w:val="nil"/>
                    <w:tr2bl w:val="nil"/>
                  </w:tcBorders>
                  <w:vAlign w:val="center"/>
                </w:tcPr>
                <w:p w14:paraId="3D4B94D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tcBorders>
                    <w:tl2br w:val="nil"/>
                    <w:tr2bl w:val="nil"/>
                  </w:tcBorders>
                  <w:vAlign w:val="center"/>
                </w:tcPr>
                <w:p w14:paraId="19C4DDB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1379" w:type="dxa"/>
                  <w:tcBorders>
                    <w:tl2br w:val="nil"/>
                    <w:tr2bl w:val="nil"/>
                  </w:tcBorders>
                  <w:vAlign w:val="center"/>
                </w:tcPr>
                <w:p w14:paraId="608D876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21</w:t>
                  </w:r>
                </w:p>
              </w:tc>
              <w:tc>
                <w:tcPr>
                  <w:tcW w:w="1379" w:type="dxa"/>
                  <w:tcBorders>
                    <w:tl2br w:val="nil"/>
                    <w:tr2bl w:val="nil"/>
                  </w:tcBorders>
                  <w:vAlign w:val="center"/>
                </w:tcPr>
                <w:p w14:paraId="6EF351B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0.223</w:t>
                  </w:r>
                </w:p>
              </w:tc>
              <w:tc>
                <w:tcPr>
                  <w:tcW w:w="1380" w:type="dxa"/>
                  <w:vMerge w:val="continue"/>
                  <w:tcBorders>
                    <w:tl2br w:val="nil"/>
                    <w:tr2bl w:val="nil"/>
                  </w:tcBorders>
                  <w:vAlign w:val="center"/>
                </w:tcPr>
                <w:p w14:paraId="26BA33E1">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642CB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tcBorders>
                    <w:tl2br w:val="nil"/>
                    <w:tr2bl w:val="nil"/>
                  </w:tcBorders>
                  <w:vAlign w:val="center"/>
                </w:tcPr>
                <w:p w14:paraId="05765471">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tcBorders>
                    <w:tl2br w:val="nil"/>
                    <w:tr2bl w:val="nil"/>
                  </w:tcBorders>
                  <w:vAlign w:val="center"/>
                </w:tcPr>
                <w:p w14:paraId="56E4ECE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tcBorders>
                    <w:tl2br w:val="nil"/>
                    <w:tr2bl w:val="nil"/>
                  </w:tcBorders>
                  <w:vAlign w:val="center"/>
                </w:tcPr>
                <w:p w14:paraId="5269C18A">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1379" w:type="dxa"/>
                  <w:tcBorders>
                    <w:tl2br w:val="nil"/>
                    <w:tr2bl w:val="nil"/>
                  </w:tcBorders>
                  <w:vAlign w:val="center"/>
                </w:tcPr>
                <w:p w14:paraId="3A73C64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18</w:t>
                  </w:r>
                </w:p>
              </w:tc>
              <w:tc>
                <w:tcPr>
                  <w:tcW w:w="1379" w:type="dxa"/>
                  <w:tcBorders>
                    <w:tl2br w:val="nil"/>
                    <w:tr2bl w:val="nil"/>
                  </w:tcBorders>
                  <w:vAlign w:val="center"/>
                </w:tcPr>
                <w:p w14:paraId="0394AEE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0.183</w:t>
                  </w:r>
                </w:p>
              </w:tc>
              <w:tc>
                <w:tcPr>
                  <w:tcW w:w="1380" w:type="dxa"/>
                  <w:vMerge w:val="continue"/>
                  <w:tcBorders>
                    <w:tl2br w:val="nil"/>
                    <w:tr2bl w:val="nil"/>
                  </w:tcBorders>
                  <w:vAlign w:val="center"/>
                </w:tcPr>
                <w:p w14:paraId="31FBD05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729CF0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78" w:type="dxa"/>
                  <w:vMerge w:val="continue"/>
                  <w:tcBorders>
                    <w:tl2br w:val="nil"/>
                    <w:tr2bl w:val="nil"/>
                  </w:tcBorders>
                  <w:vAlign w:val="center"/>
                </w:tcPr>
                <w:p w14:paraId="7D0C6E2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tcBorders>
                    <w:tl2br w:val="nil"/>
                    <w:tr2bl w:val="nil"/>
                  </w:tcBorders>
                  <w:vAlign w:val="center"/>
                </w:tcPr>
                <w:p w14:paraId="0638103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tcBorders>
                    <w:tl2br w:val="nil"/>
                    <w:tr2bl w:val="nil"/>
                  </w:tcBorders>
                  <w:vAlign w:val="center"/>
                </w:tcPr>
                <w:p w14:paraId="7B6AC92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平均值</w:t>
                  </w:r>
                </w:p>
              </w:tc>
              <w:tc>
                <w:tcPr>
                  <w:tcW w:w="1379" w:type="dxa"/>
                  <w:tcBorders>
                    <w:tl2br w:val="nil"/>
                    <w:tr2bl w:val="nil"/>
                  </w:tcBorders>
                  <w:vAlign w:val="center"/>
                </w:tcPr>
                <w:p w14:paraId="7D37376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18.7</w:t>
                  </w:r>
                </w:p>
              </w:tc>
              <w:tc>
                <w:tcPr>
                  <w:tcW w:w="1379" w:type="dxa"/>
                  <w:tcBorders>
                    <w:tl2br w:val="nil"/>
                    <w:tr2bl w:val="nil"/>
                  </w:tcBorders>
                  <w:vAlign w:val="center"/>
                </w:tcPr>
                <w:p w14:paraId="2350AEF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0.192</w:t>
                  </w:r>
                </w:p>
              </w:tc>
              <w:tc>
                <w:tcPr>
                  <w:tcW w:w="1380" w:type="dxa"/>
                  <w:vMerge w:val="continue"/>
                  <w:tcBorders>
                    <w:tl2br w:val="nil"/>
                    <w:tr2bl w:val="nil"/>
                  </w:tcBorders>
                  <w:vAlign w:val="center"/>
                </w:tcPr>
                <w:p w14:paraId="7CDC5EF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516CAC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tcBorders>
                    <w:tl2br w:val="nil"/>
                    <w:tr2bl w:val="nil"/>
                  </w:tcBorders>
                  <w:vAlign w:val="center"/>
                </w:tcPr>
                <w:p w14:paraId="38237AF1">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restart"/>
                  <w:tcBorders>
                    <w:tl2br w:val="nil"/>
                    <w:tr2bl w:val="nil"/>
                  </w:tcBorders>
                  <w:vAlign w:val="center"/>
                </w:tcPr>
                <w:p w14:paraId="778630B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氮氧化物</w:t>
                  </w:r>
                </w:p>
              </w:tc>
              <w:tc>
                <w:tcPr>
                  <w:tcW w:w="1378" w:type="dxa"/>
                  <w:tcBorders>
                    <w:tl2br w:val="nil"/>
                    <w:tr2bl w:val="nil"/>
                  </w:tcBorders>
                  <w:vAlign w:val="center"/>
                </w:tcPr>
                <w:p w14:paraId="177A9EF6">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1</w:t>
                  </w:r>
                </w:p>
              </w:tc>
              <w:tc>
                <w:tcPr>
                  <w:tcW w:w="1379" w:type="dxa"/>
                  <w:tcBorders>
                    <w:tl2br w:val="nil"/>
                    <w:tr2bl w:val="nil"/>
                  </w:tcBorders>
                  <w:vAlign w:val="center"/>
                </w:tcPr>
                <w:p w14:paraId="748A4A2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80</w:t>
                  </w:r>
                </w:p>
              </w:tc>
              <w:tc>
                <w:tcPr>
                  <w:tcW w:w="1379" w:type="dxa"/>
                  <w:tcBorders>
                    <w:tl2br w:val="nil"/>
                    <w:tr2bl w:val="nil"/>
                  </w:tcBorders>
                  <w:vAlign w:val="center"/>
                </w:tcPr>
                <w:p w14:paraId="3F562C3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0.781</w:t>
                  </w:r>
                </w:p>
              </w:tc>
              <w:tc>
                <w:tcPr>
                  <w:tcW w:w="1380" w:type="dxa"/>
                  <w:vMerge w:val="restart"/>
                  <w:tcBorders>
                    <w:tl2br w:val="nil"/>
                    <w:tr2bl w:val="nil"/>
                  </w:tcBorders>
                  <w:vAlign w:val="center"/>
                </w:tcPr>
                <w:p w14:paraId="2DD5CCC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370FA0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tcBorders>
                    <w:tl2br w:val="nil"/>
                    <w:tr2bl w:val="nil"/>
                  </w:tcBorders>
                  <w:vAlign w:val="center"/>
                </w:tcPr>
                <w:p w14:paraId="12A2AFF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tcBorders>
                    <w:tl2br w:val="nil"/>
                    <w:tr2bl w:val="nil"/>
                  </w:tcBorders>
                  <w:vAlign w:val="center"/>
                </w:tcPr>
                <w:p w14:paraId="791B082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tcBorders>
                    <w:tl2br w:val="nil"/>
                    <w:tr2bl w:val="nil"/>
                  </w:tcBorders>
                  <w:vAlign w:val="center"/>
                </w:tcPr>
                <w:p w14:paraId="6D98042B">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2</w:t>
                  </w:r>
                </w:p>
              </w:tc>
              <w:tc>
                <w:tcPr>
                  <w:tcW w:w="1379" w:type="dxa"/>
                  <w:tcBorders>
                    <w:tl2br w:val="nil"/>
                    <w:tr2bl w:val="nil"/>
                  </w:tcBorders>
                  <w:vAlign w:val="center"/>
                </w:tcPr>
                <w:p w14:paraId="4F800CC8">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81</w:t>
                  </w:r>
                </w:p>
              </w:tc>
              <w:tc>
                <w:tcPr>
                  <w:tcW w:w="1379" w:type="dxa"/>
                  <w:tcBorders>
                    <w:tl2br w:val="nil"/>
                    <w:tr2bl w:val="nil"/>
                  </w:tcBorders>
                  <w:vAlign w:val="center"/>
                </w:tcPr>
                <w:p w14:paraId="3FC4081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0.890</w:t>
                  </w:r>
                </w:p>
              </w:tc>
              <w:tc>
                <w:tcPr>
                  <w:tcW w:w="1380" w:type="dxa"/>
                  <w:vMerge w:val="continue"/>
                  <w:tcBorders>
                    <w:tl2br w:val="nil"/>
                    <w:tr2bl w:val="nil"/>
                  </w:tcBorders>
                  <w:vAlign w:val="center"/>
                </w:tcPr>
                <w:p w14:paraId="0C620C6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4A360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tcBorders>
                    <w:tl2br w:val="nil"/>
                    <w:tr2bl w:val="nil"/>
                  </w:tcBorders>
                  <w:vAlign w:val="center"/>
                </w:tcPr>
                <w:p w14:paraId="4322E761">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tcBorders>
                    <w:tl2br w:val="nil"/>
                    <w:tr2bl w:val="nil"/>
                  </w:tcBorders>
                  <w:vAlign w:val="center"/>
                </w:tcPr>
                <w:p w14:paraId="419380A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tcBorders>
                    <w:tl2br w:val="nil"/>
                    <w:tr2bl w:val="nil"/>
                  </w:tcBorders>
                  <w:vAlign w:val="center"/>
                </w:tcPr>
                <w:p w14:paraId="7AF0A8AB">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3</w:t>
                  </w:r>
                </w:p>
              </w:tc>
              <w:tc>
                <w:tcPr>
                  <w:tcW w:w="1379" w:type="dxa"/>
                  <w:tcBorders>
                    <w:tl2br w:val="nil"/>
                    <w:tr2bl w:val="nil"/>
                  </w:tcBorders>
                  <w:vAlign w:val="center"/>
                </w:tcPr>
                <w:p w14:paraId="15ED6B8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91</w:t>
                  </w:r>
                </w:p>
              </w:tc>
              <w:tc>
                <w:tcPr>
                  <w:tcW w:w="1379" w:type="dxa"/>
                  <w:tcBorders>
                    <w:tl2br w:val="nil"/>
                    <w:tr2bl w:val="nil"/>
                  </w:tcBorders>
                  <w:vAlign w:val="center"/>
                </w:tcPr>
                <w:p w14:paraId="3641709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0.974</w:t>
                  </w:r>
                </w:p>
              </w:tc>
              <w:tc>
                <w:tcPr>
                  <w:tcW w:w="1380" w:type="dxa"/>
                  <w:vMerge w:val="continue"/>
                  <w:tcBorders>
                    <w:tl2br w:val="nil"/>
                    <w:tr2bl w:val="nil"/>
                  </w:tcBorders>
                  <w:vAlign w:val="center"/>
                </w:tcPr>
                <w:p w14:paraId="4E03F3D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2E327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vAlign w:val="center"/>
                </w:tcPr>
                <w:p w14:paraId="353409B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vAlign w:val="center"/>
                </w:tcPr>
                <w:p w14:paraId="7B52980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0" w:type="auto"/>
                  <w:vAlign w:val="center"/>
                </w:tcPr>
                <w:p w14:paraId="1FB47620">
                  <w:pPr>
                    <w:pStyle w:val="16"/>
                    <w:numPr>
                      <w:ilvl w:val="0"/>
                      <w:numId w:val="0"/>
                    </w:numPr>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平均值</w:t>
                  </w:r>
                </w:p>
              </w:tc>
              <w:tc>
                <w:tcPr>
                  <w:tcW w:w="0" w:type="auto"/>
                  <w:vAlign w:val="center"/>
                </w:tcPr>
                <w:p w14:paraId="0D95ADDA">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84</w:t>
                  </w:r>
                </w:p>
              </w:tc>
              <w:tc>
                <w:tcPr>
                  <w:tcW w:w="0" w:type="auto"/>
                  <w:vAlign w:val="center"/>
                </w:tcPr>
                <w:p w14:paraId="1CB605A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0.882</w:t>
                  </w:r>
                </w:p>
              </w:tc>
              <w:tc>
                <w:tcPr>
                  <w:tcW w:w="1380" w:type="dxa"/>
                  <w:vMerge w:val="continue"/>
                  <w:vAlign w:val="center"/>
                </w:tcPr>
                <w:p w14:paraId="7BE7FD3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61165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vAlign w:val="center"/>
                </w:tcPr>
                <w:p w14:paraId="6FCBE08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restart"/>
                  <w:vAlign w:val="center"/>
                </w:tcPr>
                <w:p w14:paraId="2330D46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颗粒物</w:t>
                  </w:r>
                </w:p>
              </w:tc>
              <w:tc>
                <w:tcPr>
                  <w:tcW w:w="0" w:type="auto"/>
                  <w:vAlign w:val="center"/>
                </w:tcPr>
                <w:p w14:paraId="526AEEBD">
                  <w:pPr>
                    <w:pStyle w:val="16"/>
                    <w:numPr>
                      <w:ilvl w:val="0"/>
                      <w:numId w:val="0"/>
                    </w:numPr>
                    <w:spacing w:before="0" w:after="0" w:line="240" w:lineRule="auto"/>
                    <w:ind w:left="0" w:leftChars="0" w:right="0" w:rightChars="0"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1</w:t>
                  </w:r>
                </w:p>
              </w:tc>
              <w:tc>
                <w:tcPr>
                  <w:tcW w:w="0" w:type="auto"/>
                  <w:vAlign w:val="center"/>
                </w:tcPr>
                <w:p w14:paraId="254DD48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1.9</w:t>
                  </w:r>
                </w:p>
              </w:tc>
              <w:tc>
                <w:tcPr>
                  <w:tcW w:w="0" w:type="auto"/>
                  <w:vAlign w:val="center"/>
                </w:tcPr>
                <w:p w14:paraId="622F4CE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1.88</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10-2</w:t>
                  </w:r>
                </w:p>
              </w:tc>
              <w:tc>
                <w:tcPr>
                  <w:tcW w:w="1380" w:type="dxa"/>
                  <w:vMerge w:val="restart"/>
                  <w:vAlign w:val="center"/>
                </w:tcPr>
                <w:p w14:paraId="1B4972D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70DAF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vAlign w:val="center"/>
                </w:tcPr>
                <w:p w14:paraId="2006D1FC">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vAlign w:val="center"/>
                </w:tcPr>
                <w:p w14:paraId="0F1DB11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0" w:type="auto"/>
                  <w:vAlign w:val="center"/>
                </w:tcPr>
                <w:p w14:paraId="07D0B666">
                  <w:pPr>
                    <w:pStyle w:val="16"/>
                    <w:numPr>
                      <w:ilvl w:val="0"/>
                      <w:numId w:val="0"/>
                    </w:numPr>
                    <w:spacing w:before="0" w:after="0" w:line="240" w:lineRule="auto"/>
                    <w:ind w:left="0" w:leftChars="0" w:right="0" w:rightChars="0"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2</w:t>
                  </w:r>
                </w:p>
              </w:tc>
              <w:tc>
                <w:tcPr>
                  <w:tcW w:w="0" w:type="auto"/>
                  <w:vAlign w:val="center"/>
                </w:tcPr>
                <w:p w14:paraId="7EFD1FE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2.1</w:t>
                  </w:r>
                </w:p>
              </w:tc>
              <w:tc>
                <w:tcPr>
                  <w:tcW w:w="0" w:type="auto"/>
                  <w:vAlign w:val="center"/>
                </w:tcPr>
                <w:p w14:paraId="0D8DB5F0">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2.25</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10-2</w:t>
                  </w:r>
                </w:p>
              </w:tc>
              <w:tc>
                <w:tcPr>
                  <w:tcW w:w="1380" w:type="dxa"/>
                  <w:vMerge w:val="continue"/>
                  <w:vAlign w:val="center"/>
                </w:tcPr>
                <w:p w14:paraId="6B9154B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6DA7C2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vAlign w:val="center"/>
                </w:tcPr>
                <w:p w14:paraId="0D24146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vAlign w:val="center"/>
                </w:tcPr>
                <w:p w14:paraId="77D0CA3C">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0" w:type="auto"/>
                  <w:vAlign w:val="center"/>
                </w:tcPr>
                <w:p w14:paraId="4233C726">
                  <w:pPr>
                    <w:pStyle w:val="16"/>
                    <w:numPr>
                      <w:ilvl w:val="0"/>
                      <w:numId w:val="0"/>
                    </w:numPr>
                    <w:spacing w:before="0" w:after="0" w:line="240" w:lineRule="auto"/>
                    <w:ind w:left="0" w:leftChars="0" w:right="0" w:rightChars="0"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3</w:t>
                  </w:r>
                </w:p>
              </w:tc>
              <w:tc>
                <w:tcPr>
                  <w:tcW w:w="0" w:type="auto"/>
                  <w:vAlign w:val="center"/>
                </w:tcPr>
                <w:p w14:paraId="3F0739B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2.7</w:t>
                  </w:r>
                </w:p>
              </w:tc>
              <w:tc>
                <w:tcPr>
                  <w:tcW w:w="0" w:type="auto"/>
                  <w:vAlign w:val="center"/>
                </w:tcPr>
                <w:p w14:paraId="74EDEF8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2.89</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10-2</w:t>
                  </w:r>
                </w:p>
              </w:tc>
              <w:tc>
                <w:tcPr>
                  <w:tcW w:w="1380" w:type="dxa"/>
                  <w:vMerge w:val="continue"/>
                  <w:vAlign w:val="center"/>
                </w:tcPr>
                <w:p w14:paraId="04E870B8">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r w14:paraId="02D387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8" w:type="dxa"/>
                  <w:vMerge w:val="continue"/>
                  <w:vAlign w:val="center"/>
                </w:tcPr>
                <w:p w14:paraId="3EA3579C">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1378" w:type="dxa"/>
                  <w:vMerge w:val="continue"/>
                  <w:vAlign w:val="center"/>
                </w:tcPr>
                <w:p w14:paraId="17C9FD6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c>
                <w:tcPr>
                  <w:tcW w:w="0" w:type="auto"/>
                  <w:vAlign w:val="center"/>
                </w:tcPr>
                <w:p w14:paraId="7F62B5B9">
                  <w:pPr>
                    <w:pStyle w:val="16"/>
                    <w:numPr>
                      <w:ilvl w:val="0"/>
                      <w:numId w:val="0"/>
                    </w:numPr>
                    <w:spacing w:before="0" w:after="0" w:line="240" w:lineRule="auto"/>
                    <w:ind w:left="0" w:leftChars="0" w:right="0" w:rightChars="0"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sz w:val="21"/>
                      <w:szCs w:val="21"/>
                      <w:vertAlign w:val="baseline"/>
                      <w:lang w:val="en-US" w:eastAsia="zh-CN"/>
                    </w:rPr>
                    <w:t>平均值</w:t>
                  </w:r>
                </w:p>
              </w:tc>
              <w:tc>
                <w:tcPr>
                  <w:tcW w:w="0" w:type="auto"/>
                  <w:vAlign w:val="center"/>
                </w:tcPr>
                <w:p w14:paraId="6D6A838C">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w:t>
                  </w:r>
                </w:p>
              </w:tc>
              <w:tc>
                <w:tcPr>
                  <w:tcW w:w="0" w:type="auto"/>
                  <w:vAlign w:val="center"/>
                </w:tcPr>
                <w:p w14:paraId="63A2B6E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2.34</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10-2</w:t>
                  </w:r>
                </w:p>
              </w:tc>
              <w:tc>
                <w:tcPr>
                  <w:tcW w:w="1380" w:type="dxa"/>
                  <w:vMerge w:val="continue"/>
                  <w:vAlign w:val="center"/>
                </w:tcPr>
                <w:p w14:paraId="19F955D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p>
              </w:tc>
            </w:tr>
          </w:tbl>
          <w:p w14:paraId="66F9D568">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jc w:val="center"/>
              <w:textAlignment w:val="auto"/>
              <w:rPr>
                <w:rFonts w:hint="eastAsia"/>
                <w:b/>
                <w:bCs/>
                <w:color w:val="auto"/>
                <w:sz w:val="21"/>
                <w:szCs w:val="21"/>
                <w:lang w:val="en-US" w:eastAsia="zh-CN"/>
              </w:rPr>
            </w:pPr>
            <w:r>
              <w:rPr>
                <w:rFonts w:hint="eastAsia"/>
                <w:b/>
                <w:bCs/>
                <w:color w:val="auto"/>
                <w:sz w:val="21"/>
                <w:szCs w:val="21"/>
                <w:lang w:val="en-US" w:eastAsia="zh-CN"/>
              </w:rPr>
              <w:t>表2-13 无组织废气自行监测结果</w:t>
            </w:r>
          </w:p>
          <w:tbl>
            <w:tblPr>
              <w:tblStyle w:val="43"/>
              <w:tblW w:w="82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64"/>
              <w:gridCol w:w="1148"/>
              <w:gridCol w:w="1230"/>
              <w:gridCol w:w="1164"/>
              <w:gridCol w:w="1608"/>
            </w:tblGrid>
            <w:tr w14:paraId="1DE728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restart"/>
                  <w:tcBorders>
                    <w:tl2br w:val="nil"/>
                    <w:tr2bl w:val="nil"/>
                  </w:tcBorders>
                  <w:vAlign w:val="center"/>
                </w:tcPr>
                <w:p w14:paraId="7FCAC7CD">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检测项目</w:t>
                  </w:r>
                </w:p>
              </w:tc>
              <w:tc>
                <w:tcPr>
                  <w:tcW w:w="2164" w:type="dxa"/>
                  <w:vMerge w:val="restart"/>
                  <w:tcBorders>
                    <w:tl2br w:val="nil"/>
                    <w:tr2bl w:val="nil"/>
                  </w:tcBorders>
                  <w:vAlign w:val="center"/>
                </w:tcPr>
                <w:p w14:paraId="64065C94">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监测点位</w:t>
                  </w:r>
                </w:p>
              </w:tc>
              <w:tc>
                <w:tcPr>
                  <w:tcW w:w="3542" w:type="dxa"/>
                  <w:gridSpan w:val="3"/>
                  <w:tcBorders>
                    <w:tl2br w:val="nil"/>
                    <w:tr2bl w:val="nil"/>
                  </w:tcBorders>
                  <w:vAlign w:val="center"/>
                </w:tcPr>
                <w:p w14:paraId="5AAB833E">
                  <w:pPr>
                    <w:numPr>
                      <w:ilvl w:val="0"/>
                      <w:numId w:val="0"/>
                    </w:numPr>
                    <w:spacing w:line="240" w:lineRule="auto"/>
                    <w:jc w:val="center"/>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浓度值mg/m</w:t>
                  </w:r>
                  <w:r>
                    <w:rPr>
                      <w:rFonts w:hint="eastAsia" w:cs="Times New Roman"/>
                      <w:b w:val="0"/>
                      <w:bCs w:val="0"/>
                      <w:color w:val="auto"/>
                      <w:sz w:val="21"/>
                      <w:szCs w:val="21"/>
                      <w:vertAlign w:val="superscript"/>
                      <w:lang w:val="en-US" w:eastAsia="zh-CN"/>
                    </w:rPr>
                    <w:t>3</w:t>
                  </w:r>
                </w:p>
              </w:tc>
              <w:tc>
                <w:tcPr>
                  <w:tcW w:w="1608" w:type="dxa"/>
                  <w:vMerge w:val="restart"/>
                  <w:tcBorders>
                    <w:tl2br w:val="nil"/>
                    <w:tr2bl w:val="nil"/>
                  </w:tcBorders>
                  <w:vAlign w:val="center"/>
                </w:tcPr>
                <w:p w14:paraId="0E1CD951">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达标情况</w:t>
                  </w:r>
                </w:p>
              </w:tc>
            </w:tr>
            <w:tr w14:paraId="67F8FA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continue"/>
                  <w:tcBorders>
                    <w:tl2br w:val="nil"/>
                    <w:tr2bl w:val="nil"/>
                  </w:tcBorders>
                  <w:vAlign w:val="center"/>
                </w:tcPr>
                <w:p w14:paraId="77724BB7">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2164" w:type="dxa"/>
                  <w:vMerge w:val="continue"/>
                  <w:tcBorders>
                    <w:tl2br w:val="nil"/>
                    <w:tr2bl w:val="nil"/>
                  </w:tcBorders>
                  <w:vAlign w:val="center"/>
                </w:tcPr>
                <w:p w14:paraId="0CBFE9BC">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1148" w:type="dxa"/>
                  <w:tcBorders>
                    <w:tl2br w:val="nil"/>
                    <w:tr2bl w:val="nil"/>
                  </w:tcBorders>
                  <w:vAlign w:val="center"/>
                </w:tcPr>
                <w:p w14:paraId="1F09A843">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w:t>
                  </w:r>
                </w:p>
              </w:tc>
              <w:tc>
                <w:tcPr>
                  <w:tcW w:w="1230" w:type="dxa"/>
                  <w:tcBorders>
                    <w:tl2br w:val="nil"/>
                    <w:tr2bl w:val="nil"/>
                  </w:tcBorders>
                  <w:vAlign w:val="center"/>
                </w:tcPr>
                <w:p w14:paraId="7D9F7EB0">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w:t>
                  </w:r>
                </w:p>
              </w:tc>
              <w:tc>
                <w:tcPr>
                  <w:tcW w:w="1164" w:type="dxa"/>
                  <w:tcBorders>
                    <w:tl2br w:val="nil"/>
                    <w:tr2bl w:val="nil"/>
                  </w:tcBorders>
                  <w:vAlign w:val="center"/>
                </w:tcPr>
                <w:p w14:paraId="27F0EBFF">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3</w:t>
                  </w:r>
                </w:p>
              </w:tc>
              <w:tc>
                <w:tcPr>
                  <w:tcW w:w="1608" w:type="dxa"/>
                  <w:vMerge w:val="continue"/>
                  <w:tcBorders>
                    <w:tl2br w:val="nil"/>
                    <w:tr2bl w:val="nil"/>
                  </w:tcBorders>
                  <w:vAlign w:val="center"/>
                </w:tcPr>
                <w:p w14:paraId="11962465">
                  <w:pPr>
                    <w:numPr>
                      <w:ilvl w:val="0"/>
                      <w:numId w:val="0"/>
                    </w:numPr>
                    <w:spacing w:line="240" w:lineRule="auto"/>
                    <w:jc w:val="center"/>
                    <w:rPr>
                      <w:rFonts w:hint="default" w:cs="Times New Roman"/>
                      <w:b w:val="0"/>
                      <w:bCs w:val="0"/>
                      <w:color w:val="auto"/>
                      <w:sz w:val="21"/>
                      <w:szCs w:val="21"/>
                      <w:vertAlign w:val="baseline"/>
                      <w:lang w:val="en-US" w:eastAsia="zh-CN"/>
                    </w:rPr>
                  </w:pPr>
                </w:p>
              </w:tc>
            </w:tr>
            <w:tr w14:paraId="3C25F2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restart"/>
                  <w:tcBorders>
                    <w:tl2br w:val="nil"/>
                    <w:tr2bl w:val="nil"/>
                  </w:tcBorders>
                  <w:vAlign w:val="center"/>
                </w:tcPr>
                <w:p w14:paraId="09984631">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颗粒物</w:t>
                  </w:r>
                </w:p>
              </w:tc>
              <w:tc>
                <w:tcPr>
                  <w:tcW w:w="2164" w:type="dxa"/>
                  <w:tcBorders>
                    <w:tl2br w:val="nil"/>
                    <w:tr2bl w:val="nil"/>
                  </w:tcBorders>
                  <w:vAlign w:val="center"/>
                </w:tcPr>
                <w:p w14:paraId="0C1D8020">
                  <w:pPr>
                    <w:kinsoku w:val="0"/>
                    <w:overflowPunct w:val="0"/>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Cs w:val="21"/>
                    </w:rPr>
                    <w:t>上风向G1</w:t>
                  </w:r>
                </w:p>
              </w:tc>
              <w:tc>
                <w:tcPr>
                  <w:tcW w:w="1148" w:type="dxa"/>
                  <w:tcBorders>
                    <w:tl2br w:val="nil"/>
                    <w:tr2bl w:val="nil"/>
                  </w:tcBorders>
                  <w:vAlign w:val="center"/>
                </w:tcPr>
                <w:p w14:paraId="043EBB97">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0.14</w:t>
                  </w:r>
                </w:p>
              </w:tc>
              <w:tc>
                <w:tcPr>
                  <w:tcW w:w="1230" w:type="dxa"/>
                  <w:tcBorders>
                    <w:tl2br w:val="nil"/>
                    <w:tr2bl w:val="nil"/>
                  </w:tcBorders>
                  <w:vAlign w:val="center"/>
                </w:tcPr>
                <w:p w14:paraId="2F925E82">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0.152</w:t>
                  </w:r>
                </w:p>
              </w:tc>
              <w:tc>
                <w:tcPr>
                  <w:tcW w:w="1164" w:type="dxa"/>
                  <w:tcBorders>
                    <w:tl2br w:val="nil"/>
                    <w:tr2bl w:val="nil"/>
                  </w:tcBorders>
                  <w:vAlign w:val="center"/>
                </w:tcPr>
                <w:p w14:paraId="2A6CD30A">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0.163</w:t>
                  </w:r>
                </w:p>
              </w:tc>
              <w:tc>
                <w:tcPr>
                  <w:tcW w:w="1608" w:type="dxa"/>
                  <w:vMerge w:val="restart"/>
                  <w:tcBorders>
                    <w:tl2br w:val="nil"/>
                    <w:tr2bl w:val="nil"/>
                  </w:tcBorders>
                  <w:vAlign w:val="center"/>
                </w:tcPr>
                <w:p w14:paraId="60012F79">
                  <w:pPr>
                    <w:numPr>
                      <w:ilvl w:val="0"/>
                      <w:numId w:val="0"/>
                    </w:num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达标</w:t>
                  </w:r>
                </w:p>
              </w:tc>
            </w:tr>
            <w:tr w14:paraId="4E778F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continue"/>
                  <w:tcBorders>
                    <w:tl2br w:val="nil"/>
                    <w:tr2bl w:val="nil"/>
                  </w:tcBorders>
                  <w:vAlign w:val="center"/>
                </w:tcPr>
                <w:p w14:paraId="313B1983">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2164" w:type="dxa"/>
                  <w:tcBorders>
                    <w:tl2br w:val="nil"/>
                    <w:tr2bl w:val="nil"/>
                  </w:tcBorders>
                  <w:vAlign w:val="center"/>
                </w:tcPr>
                <w:p w14:paraId="72548B1B">
                  <w:pPr>
                    <w:kinsoku w:val="0"/>
                    <w:overflowPunct w:val="0"/>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Cs w:val="21"/>
                    </w:rPr>
                    <w:t>下风向G2</w:t>
                  </w:r>
                </w:p>
              </w:tc>
              <w:tc>
                <w:tcPr>
                  <w:tcW w:w="1148" w:type="dxa"/>
                  <w:tcBorders>
                    <w:tl2br w:val="nil"/>
                    <w:tr2bl w:val="nil"/>
                  </w:tcBorders>
                  <w:vAlign w:val="center"/>
                </w:tcPr>
                <w:p w14:paraId="3033DA98">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0.172</w:t>
                  </w:r>
                </w:p>
              </w:tc>
              <w:tc>
                <w:tcPr>
                  <w:tcW w:w="1230" w:type="dxa"/>
                  <w:tcBorders>
                    <w:tl2br w:val="nil"/>
                    <w:tr2bl w:val="nil"/>
                  </w:tcBorders>
                  <w:vAlign w:val="center"/>
                </w:tcPr>
                <w:p w14:paraId="58303943">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0.181</w:t>
                  </w:r>
                </w:p>
              </w:tc>
              <w:tc>
                <w:tcPr>
                  <w:tcW w:w="1164" w:type="dxa"/>
                  <w:tcBorders>
                    <w:tl2br w:val="nil"/>
                    <w:tr2bl w:val="nil"/>
                  </w:tcBorders>
                  <w:vAlign w:val="center"/>
                </w:tcPr>
                <w:p w14:paraId="262646E0">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0.192</w:t>
                  </w:r>
                </w:p>
              </w:tc>
              <w:tc>
                <w:tcPr>
                  <w:tcW w:w="1608" w:type="dxa"/>
                  <w:vMerge w:val="continue"/>
                  <w:tcBorders>
                    <w:tl2br w:val="nil"/>
                    <w:tr2bl w:val="nil"/>
                  </w:tcBorders>
                  <w:vAlign w:val="center"/>
                </w:tcPr>
                <w:p w14:paraId="5E009260">
                  <w:pPr>
                    <w:numPr>
                      <w:ilvl w:val="0"/>
                      <w:numId w:val="0"/>
                    </w:numPr>
                    <w:spacing w:line="240" w:lineRule="auto"/>
                    <w:jc w:val="center"/>
                    <w:rPr>
                      <w:rFonts w:hint="default" w:cs="Times New Roman"/>
                      <w:b w:val="0"/>
                      <w:bCs w:val="0"/>
                      <w:color w:val="auto"/>
                      <w:sz w:val="21"/>
                      <w:szCs w:val="21"/>
                      <w:vertAlign w:val="baseline"/>
                      <w:lang w:val="en-US" w:eastAsia="zh-CN"/>
                    </w:rPr>
                  </w:pPr>
                </w:p>
              </w:tc>
            </w:tr>
            <w:tr w14:paraId="41FBE3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continue"/>
                  <w:tcBorders>
                    <w:tl2br w:val="nil"/>
                    <w:tr2bl w:val="nil"/>
                  </w:tcBorders>
                  <w:vAlign w:val="center"/>
                </w:tcPr>
                <w:p w14:paraId="54F6B3EA">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2164" w:type="dxa"/>
                  <w:tcBorders>
                    <w:tl2br w:val="nil"/>
                    <w:tr2bl w:val="nil"/>
                  </w:tcBorders>
                  <w:vAlign w:val="center"/>
                </w:tcPr>
                <w:p w14:paraId="478BEF9B">
                  <w:pPr>
                    <w:kinsoku w:val="0"/>
                    <w:overflowPunct w:val="0"/>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Cs w:val="21"/>
                    </w:rPr>
                    <w:t>下风向G3</w:t>
                  </w:r>
                </w:p>
              </w:tc>
              <w:tc>
                <w:tcPr>
                  <w:tcW w:w="1148" w:type="dxa"/>
                  <w:tcBorders>
                    <w:tl2br w:val="nil"/>
                    <w:tr2bl w:val="nil"/>
                  </w:tcBorders>
                  <w:vAlign w:val="center"/>
                </w:tcPr>
                <w:p w14:paraId="5A1C0C85">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0.196</w:t>
                  </w:r>
                </w:p>
              </w:tc>
              <w:tc>
                <w:tcPr>
                  <w:tcW w:w="1230" w:type="dxa"/>
                  <w:tcBorders>
                    <w:tl2br w:val="nil"/>
                    <w:tr2bl w:val="nil"/>
                  </w:tcBorders>
                  <w:vAlign w:val="center"/>
                </w:tcPr>
                <w:p w14:paraId="2611FD67">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0.204</w:t>
                  </w:r>
                </w:p>
              </w:tc>
              <w:tc>
                <w:tcPr>
                  <w:tcW w:w="1164" w:type="dxa"/>
                  <w:tcBorders>
                    <w:tl2br w:val="nil"/>
                    <w:tr2bl w:val="nil"/>
                  </w:tcBorders>
                  <w:vAlign w:val="center"/>
                </w:tcPr>
                <w:p w14:paraId="7B749FE4">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0.217</w:t>
                  </w:r>
                </w:p>
              </w:tc>
              <w:tc>
                <w:tcPr>
                  <w:tcW w:w="1608" w:type="dxa"/>
                  <w:vMerge w:val="continue"/>
                  <w:tcBorders>
                    <w:tl2br w:val="nil"/>
                    <w:tr2bl w:val="nil"/>
                  </w:tcBorders>
                  <w:vAlign w:val="center"/>
                </w:tcPr>
                <w:p w14:paraId="4D6508ED">
                  <w:pPr>
                    <w:numPr>
                      <w:ilvl w:val="0"/>
                      <w:numId w:val="0"/>
                    </w:numPr>
                    <w:spacing w:line="240" w:lineRule="auto"/>
                    <w:jc w:val="center"/>
                    <w:rPr>
                      <w:rFonts w:hint="default" w:cs="Times New Roman"/>
                      <w:b w:val="0"/>
                      <w:bCs w:val="0"/>
                      <w:color w:val="auto"/>
                      <w:sz w:val="21"/>
                      <w:szCs w:val="21"/>
                      <w:vertAlign w:val="baseline"/>
                      <w:lang w:val="en-US" w:eastAsia="zh-CN"/>
                    </w:rPr>
                  </w:pPr>
                </w:p>
              </w:tc>
            </w:tr>
            <w:tr w14:paraId="3DE14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8" w:type="dxa"/>
                  <w:vMerge w:val="continue"/>
                  <w:tcBorders>
                    <w:tl2br w:val="nil"/>
                    <w:tr2bl w:val="nil"/>
                  </w:tcBorders>
                  <w:vAlign w:val="center"/>
                </w:tcPr>
                <w:p w14:paraId="6CCDF2B4">
                  <w:pPr>
                    <w:numPr>
                      <w:ilvl w:val="0"/>
                      <w:numId w:val="0"/>
                    </w:numPr>
                    <w:spacing w:line="240" w:lineRule="auto"/>
                    <w:jc w:val="center"/>
                    <w:rPr>
                      <w:rFonts w:hint="default" w:cs="Times New Roman"/>
                      <w:b w:val="0"/>
                      <w:bCs w:val="0"/>
                      <w:color w:val="auto"/>
                      <w:sz w:val="21"/>
                      <w:szCs w:val="21"/>
                      <w:vertAlign w:val="baseline"/>
                      <w:lang w:val="en-US" w:eastAsia="zh-CN"/>
                    </w:rPr>
                  </w:pPr>
                </w:p>
              </w:tc>
              <w:tc>
                <w:tcPr>
                  <w:tcW w:w="2164" w:type="dxa"/>
                  <w:tcBorders>
                    <w:tl2br w:val="nil"/>
                    <w:tr2bl w:val="nil"/>
                  </w:tcBorders>
                  <w:vAlign w:val="center"/>
                </w:tcPr>
                <w:p w14:paraId="71236E54">
                  <w:pPr>
                    <w:kinsoku w:val="0"/>
                    <w:overflowPunct w:val="0"/>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下风向G4</w:t>
                  </w:r>
                </w:p>
              </w:tc>
              <w:tc>
                <w:tcPr>
                  <w:tcW w:w="1148" w:type="dxa"/>
                  <w:tcBorders>
                    <w:tl2br w:val="nil"/>
                    <w:tr2bl w:val="nil"/>
                  </w:tcBorders>
                  <w:vAlign w:val="center"/>
                </w:tcPr>
                <w:p w14:paraId="4F292F2E">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0.231</w:t>
                  </w:r>
                </w:p>
              </w:tc>
              <w:tc>
                <w:tcPr>
                  <w:tcW w:w="1230" w:type="dxa"/>
                  <w:tcBorders>
                    <w:tl2br w:val="nil"/>
                    <w:tr2bl w:val="nil"/>
                  </w:tcBorders>
                  <w:vAlign w:val="center"/>
                </w:tcPr>
                <w:p w14:paraId="3DCBBEC9">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0.243</w:t>
                  </w:r>
                </w:p>
              </w:tc>
              <w:tc>
                <w:tcPr>
                  <w:tcW w:w="1164" w:type="dxa"/>
                  <w:tcBorders>
                    <w:tl2br w:val="nil"/>
                    <w:tr2bl w:val="nil"/>
                  </w:tcBorders>
                  <w:vAlign w:val="center"/>
                </w:tcPr>
                <w:p w14:paraId="063F2342">
                  <w:pPr>
                    <w:pStyle w:val="67"/>
                    <w:kinsoku w:val="0"/>
                    <w:overflowPunct w:val="0"/>
                    <w:autoSpaceDE w:val="0"/>
                    <w:autoSpaceDN w:val="0"/>
                    <w:adjustRightInd w:val="0"/>
                    <w:snapToGrid w:val="0"/>
                    <w:rPr>
                      <w:rFonts w:hint="default" w:ascii="Times New Roman" w:hAnsi="Times New Roman" w:eastAsia="宋体" w:cs="Times New Roman"/>
                      <w:color w:val="auto"/>
                      <w:spacing w:val="5"/>
                      <w:kern w:val="0"/>
                      <w:sz w:val="21"/>
                      <w:szCs w:val="21"/>
                      <w:lang w:val="en-US" w:eastAsia="zh-CN" w:bidi="ar-SA"/>
                    </w:rPr>
                  </w:pPr>
                  <w:r>
                    <w:rPr>
                      <w:rFonts w:hint="eastAsia"/>
                      <w:color w:val="auto"/>
                      <w:lang w:val="en-US" w:eastAsia="zh-CN"/>
                    </w:rPr>
                    <w:t>253</w:t>
                  </w:r>
                </w:p>
              </w:tc>
              <w:tc>
                <w:tcPr>
                  <w:tcW w:w="1608" w:type="dxa"/>
                  <w:vMerge w:val="continue"/>
                  <w:tcBorders>
                    <w:tl2br w:val="nil"/>
                    <w:tr2bl w:val="nil"/>
                  </w:tcBorders>
                  <w:vAlign w:val="center"/>
                </w:tcPr>
                <w:p w14:paraId="2DDE532F">
                  <w:pPr>
                    <w:numPr>
                      <w:ilvl w:val="0"/>
                      <w:numId w:val="0"/>
                    </w:numPr>
                    <w:spacing w:line="240" w:lineRule="auto"/>
                    <w:jc w:val="center"/>
                    <w:rPr>
                      <w:rFonts w:hint="default" w:cs="Times New Roman"/>
                      <w:b w:val="0"/>
                      <w:bCs w:val="0"/>
                      <w:color w:val="auto"/>
                      <w:sz w:val="21"/>
                      <w:szCs w:val="21"/>
                      <w:vertAlign w:val="baseline"/>
                      <w:lang w:val="en-US" w:eastAsia="zh-CN"/>
                    </w:rPr>
                  </w:pPr>
                </w:p>
              </w:tc>
            </w:tr>
          </w:tbl>
          <w:p w14:paraId="31499E25">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jc w:val="center"/>
              <w:textAlignment w:val="auto"/>
              <w:rPr>
                <w:rFonts w:hint="eastAsia"/>
                <w:b/>
                <w:bCs/>
                <w:color w:val="auto"/>
                <w:sz w:val="21"/>
                <w:szCs w:val="21"/>
                <w:vertAlign w:val="baseline"/>
                <w:lang w:val="en-US" w:eastAsia="zh-CN"/>
              </w:rPr>
            </w:pPr>
            <w:r>
              <w:rPr>
                <w:rFonts w:hint="eastAsia"/>
                <w:b/>
                <w:bCs/>
                <w:color w:val="auto"/>
                <w:sz w:val="21"/>
                <w:szCs w:val="21"/>
                <w:lang w:val="en-US" w:eastAsia="zh-CN"/>
              </w:rPr>
              <w:t>表2-14 废水自行监测结果</w:t>
            </w:r>
          </w:p>
          <w:tbl>
            <w:tblPr>
              <w:tblStyle w:val="43"/>
              <w:tblW w:w="82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305"/>
              <w:gridCol w:w="891"/>
              <w:gridCol w:w="1034"/>
              <w:gridCol w:w="1034"/>
              <w:gridCol w:w="1034"/>
              <w:gridCol w:w="2068"/>
            </w:tblGrid>
            <w:tr w14:paraId="234F74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vAlign w:val="center"/>
                </w:tcPr>
                <w:p w14:paraId="696A0B6B">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检测</w:t>
                  </w:r>
                </w:p>
                <w:p w14:paraId="7319B8A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点位</w:t>
                  </w:r>
                </w:p>
              </w:tc>
              <w:tc>
                <w:tcPr>
                  <w:tcW w:w="1305" w:type="dxa"/>
                  <w:tcBorders>
                    <w:tl2br w:val="nil"/>
                    <w:tr2bl w:val="nil"/>
                  </w:tcBorders>
                  <w:vAlign w:val="center"/>
                </w:tcPr>
                <w:p w14:paraId="5D989EB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测试项目</w:t>
                  </w:r>
                </w:p>
              </w:tc>
              <w:tc>
                <w:tcPr>
                  <w:tcW w:w="891" w:type="dxa"/>
                  <w:tcBorders>
                    <w:tl2br w:val="nil"/>
                    <w:tr2bl w:val="nil"/>
                  </w:tcBorders>
                  <w:vAlign w:val="center"/>
                </w:tcPr>
                <w:p w14:paraId="612B5D12">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计量</w:t>
                  </w:r>
                </w:p>
                <w:p w14:paraId="7DE0238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单位</w:t>
                  </w:r>
                </w:p>
              </w:tc>
              <w:tc>
                <w:tcPr>
                  <w:tcW w:w="1034" w:type="dxa"/>
                  <w:tcBorders>
                    <w:tl2br w:val="nil"/>
                    <w:tr2bl w:val="nil"/>
                  </w:tcBorders>
                  <w:vAlign w:val="center"/>
                </w:tcPr>
                <w:p w14:paraId="2891A0C6">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1034" w:type="dxa"/>
                  <w:tcBorders>
                    <w:tl2br w:val="nil"/>
                    <w:tr2bl w:val="nil"/>
                  </w:tcBorders>
                  <w:vAlign w:val="center"/>
                </w:tcPr>
                <w:p w14:paraId="44F425A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1034" w:type="dxa"/>
                  <w:tcBorders>
                    <w:tl2br w:val="nil"/>
                    <w:tr2bl w:val="nil"/>
                  </w:tcBorders>
                  <w:vAlign w:val="center"/>
                </w:tcPr>
                <w:p w14:paraId="5A65B5C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2068" w:type="dxa"/>
                  <w:tcBorders>
                    <w:tl2br w:val="nil"/>
                    <w:tr2bl w:val="nil"/>
                  </w:tcBorders>
                  <w:vAlign w:val="center"/>
                </w:tcPr>
                <w:p w14:paraId="70963D4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标准值</w:t>
                  </w:r>
                </w:p>
              </w:tc>
            </w:tr>
            <w:tr w14:paraId="1B0211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vMerge w:val="restart"/>
                  <w:tcBorders>
                    <w:tl2br w:val="nil"/>
                    <w:tr2bl w:val="nil"/>
                  </w:tcBorders>
                  <w:vAlign w:val="center"/>
                </w:tcPr>
                <w:p w14:paraId="5E58554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污水接管口</w:t>
                  </w:r>
                </w:p>
              </w:tc>
              <w:tc>
                <w:tcPr>
                  <w:tcW w:w="1305" w:type="dxa"/>
                  <w:tcBorders>
                    <w:tl2br w:val="nil"/>
                    <w:tr2bl w:val="nil"/>
                  </w:tcBorders>
                  <w:vAlign w:val="center"/>
                </w:tcPr>
                <w:p w14:paraId="0FC37037">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pH值</w:t>
                  </w:r>
                </w:p>
              </w:tc>
              <w:tc>
                <w:tcPr>
                  <w:tcW w:w="891" w:type="dxa"/>
                  <w:tcBorders>
                    <w:tl2br w:val="nil"/>
                    <w:tr2bl w:val="nil"/>
                  </w:tcBorders>
                  <w:vAlign w:val="center"/>
                </w:tcPr>
                <w:p w14:paraId="0D4112FA">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无量纲</w:t>
                  </w:r>
                </w:p>
              </w:tc>
              <w:tc>
                <w:tcPr>
                  <w:tcW w:w="1034" w:type="dxa"/>
                  <w:tcBorders>
                    <w:tl2br w:val="nil"/>
                    <w:tr2bl w:val="nil"/>
                  </w:tcBorders>
                  <w:vAlign w:val="center"/>
                </w:tcPr>
                <w:p w14:paraId="2118816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7.4</w:t>
                  </w:r>
                </w:p>
              </w:tc>
              <w:tc>
                <w:tcPr>
                  <w:tcW w:w="1034" w:type="dxa"/>
                  <w:tcBorders>
                    <w:tl2br w:val="nil"/>
                    <w:tr2bl w:val="nil"/>
                  </w:tcBorders>
                  <w:vAlign w:val="center"/>
                </w:tcPr>
                <w:p w14:paraId="6C30EC3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7.5</w:t>
                  </w:r>
                </w:p>
              </w:tc>
              <w:tc>
                <w:tcPr>
                  <w:tcW w:w="1034" w:type="dxa"/>
                  <w:tcBorders>
                    <w:tl2br w:val="nil"/>
                    <w:tr2bl w:val="nil"/>
                  </w:tcBorders>
                  <w:vAlign w:val="center"/>
                </w:tcPr>
                <w:p w14:paraId="68FB85A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7.4</w:t>
                  </w:r>
                </w:p>
              </w:tc>
              <w:tc>
                <w:tcPr>
                  <w:tcW w:w="2068" w:type="dxa"/>
                  <w:tcBorders>
                    <w:tl2br w:val="nil"/>
                    <w:tr2bl w:val="nil"/>
                  </w:tcBorders>
                  <w:vAlign w:val="center"/>
                </w:tcPr>
                <w:p w14:paraId="1ADCFAC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6-9</w:t>
                  </w:r>
                </w:p>
              </w:tc>
            </w:tr>
            <w:tr w14:paraId="730C8D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vMerge w:val="continue"/>
                  <w:tcBorders>
                    <w:tl2br w:val="nil"/>
                    <w:tr2bl w:val="nil"/>
                  </w:tcBorders>
                  <w:vAlign w:val="center"/>
                </w:tcPr>
                <w:p w14:paraId="50C9CEF2">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p>
              </w:tc>
              <w:tc>
                <w:tcPr>
                  <w:tcW w:w="1305" w:type="dxa"/>
                  <w:tcBorders>
                    <w:tl2br w:val="nil"/>
                    <w:tr2bl w:val="nil"/>
                  </w:tcBorders>
                  <w:vAlign w:val="center"/>
                </w:tcPr>
                <w:p w14:paraId="3E6CA3E4">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化学需氧量</w:t>
                  </w:r>
                </w:p>
              </w:tc>
              <w:tc>
                <w:tcPr>
                  <w:tcW w:w="891" w:type="dxa"/>
                  <w:tcBorders>
                    <w:tl2br w:val="nil"/>
                    <w:tr2bl w:val="nil"/>
                  </w:tcBorders>
                  <w:vAlign w:val="center"/>
                </w:tcPr>
                <w:p w14:paraId="420127D7">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mg/L</w:t>
                  </w:r>
                </w:p>
              </w:tc>
              <w:tc>
                <w:tcPr>
                  <w:tcW w:w="1034" w:type="dxa"/>
                  <w:tcBorders>
                    <w:tl2br w:val="nil"/>
                    <w:tr2bl w:val="nil"/>
                  </w:tcBorders>
                  <w:vAlign w:val="center"/>
                </w:tcPr>
                <w:p w14:paraId="396C1118">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155</w:t>
                  </w:r>
                </w:p>
              </w:tc>
              <w:tc>
                <w:tcPr>
                  <w:tcW w:w="1034" w:type="dxa"/>
                  <w:tcBorders>
                    <w:tl2br w:val="nil"/>
                    <w:tr2bl w:val="nil"/>
                  </w:tcBorders>
                  <w:vAlign w:val="center"/>
                </w:tcPr>
                <w:p w14:paraId="38ADBCB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167</w:t>
                  </w:r>
                </w:p>
              </w:tc>
              <w:tc>
                <w:tcPr>
                  <w:tcW w:w="1034" w:type="dxa"/>
                  <w:tcBorders>
                    <w:tl2br w:val="nil"/>
                    <w:tr2bl w:val="nil"/>
                  </w:tcBorders>
                  <w:vAlign w:val="center"/>
                </w:tcPr>
                <w:p w14:paraId="368BE30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147</w:t>
                  </w:r>
                </w:p>
              </w:tc>
              <w:tc>
                <w:tcPr>
                  <w:tcW w:w="2068" w:type="dxa"/>
                  <w:tcBorders>
                    <w:tl2br w:val="nil"/>
                    <w:tr2bl w:val="nil"/>
                  </w:tcBorders>
                  <w:vAlign w:val="center"/>
                </w:tcPr>
                <w:p w14:paraId="5B2B59B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500</w:t>
                  </w:r>
                </w:p>
              </w:tc>
            </w:tr>
            <w:tr w14:paraId="2B36E6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vMerge w:val="continue"/>
                  <w:tcBorders>
                    <w:tl2br w:val="nil"/>
                    <w:tr2bl w:val="nil"/>
                  </w:tcBorders>
                  <w:vAlign w:val="center"/>
                </w:tcPr>
                <w:p w14:paraId="3059EAA7">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p>
              </w:tc>
              <w:tc>
                <w:tcPr>
                  <w:tcW w:w="1305" w:type="dxa"/>
                  <w:tcBorders>
                    <w:tl2br w:val="nil"/>
                    <w:tr2bl w:val="nil"/>
                  </w:tcBorders>
                  <w:vAlign w:val="center"/>
                </w:tcPr>
                <w:p w14:paraId="40C2B77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氨氮</w:t>
                  </w:r>
                </w:p>
              </w:tc>
              <w:tc>
                <w:tcPr>
                  <w:tcW w:w="891" w:type="dxa"/>
                  <w:tcBorders>
                    <w:tl2br w:val="nil"/>
                    <w:tr2bl w:val="nil"/>
                  </w:tcBorders>
                  <w:vAlign w:val="center"/>
                </w:tcPr>
                <w:p w14:paraId="15A4F753">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mg/L</w:t>
                  </w:r>
                </w:p>
              </w:tc>
              <w:tc>
                <w:tcPr>
                  <w:tcW w:w="1034" w:type="dxa"/>
                  <w:tcBorders>
                    <w:tl2br w:val="nil"/>
                    <w:tr2bl w:val="nil"/>
                  </w:tcBorders>
                  <w:vAlign w:val="center"/>
                </w:tcPr>
                <w:p w14:paraId="782373E2">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25.7</w:t>
                  </w:r>
                </w:p>
              </w:tc>
              <w:tc>
                <w:tcPr>
                  <w:tcW w:w="1034" w:type="dxa"/>
                  <w:tcBorders>
                    <w:tl2br w:val="nil"/>
                    <w:tr2bl w:val="nil"/>
                  </w:tcBorders>
                  <w:vAlign w:val="center"/>
                </w:tcPr>
                <w:p w14:paraId="79546D17">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26.4</w:t>
                  </w:r>
                </w:p>
              </w:tc>
              <w:tc>
                <w:tcPr>
                  <w:tcW w:w="1034" w:type="dxa"/>
                  <w:tcBorders>
                    <w:tl2br w:val="nil"/>
                    <w:tr2bl w:val="nil"/>
                  </w:tcBorders>
                  <w:vAlign w:val="center"/>
                </w:tcPr>
                <w:p w14:paraId="6925E3DF">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27.2</w:t>
                  </w:r>
                </w:p>
              </w:tc>
              <w:tc>
                <w:tcPr>
                  <w:tcW w:w="2068" w:type="dxa"/>
                  <w:tcBorders>
                    <w:tl2br w:val="nil"/>
                    <w:tr2bl w:val="nil"/>
                  </w:tcBorders>
                  <w:vAlign w:val="center"/>
                </w:tcPr>
                <w:p w14:paraId="7B58B12E">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45</w:t>
                  </w:r>
                </w:p>
              </w:tc>
            </w:tr>
            <w:tr w14:paraId="45CD85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vMerge w:val="continue"/>
                  <w:tcBorders>
                    <w:tl2br w:val="nil"/>
                    <w:tr2bl w:val="nil"/>
                  </w:tcBorders>
                  <w:vAlign w:val="center"/>
                </w:tcPr>
                <w:p w14:paraId="116B061B">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p>
              </w:tc>
              <w:tc>
                <w:tcPr>
                  <w:tcW w:w="1305" w:type="dxa"/>
                  <w:tcBorders>
                    <w:tl2br w:val="nil"/>
                    <w:tr2bl w:val="nil"/>
                  </w:tcBorders>
                  <w:vAlign w:val="center"/>
                </w:tcPr>
                <w:p w14:paraId="7D5639A3">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总磷</w:t>
                  </w:r>
                </w:p>
              </w:tc>
              <w:tc>
                <w:tcPr>
                  <w:tcW w:w="891" w:type="dxa"/>
                  <w:tcBorders>
                    <w:tl2br w:val="nil"/>
                    <w:tr2bl w:val="nil"/>
                  </w:tcBorders>
                  <w:vAlign w:val="center"/>
                </w:tcPr>
                <w:p w14:paraId="1BCD9055">
                  <w:pPr>
                    <w:pStyle w:val="16"/>
                    <w:numPr>
                      <w:ilvl w:val="0"/>
                      <w:numId w:val="0"/>
                    </w:numPr>
                    <w:spacing w:before="0" w:after="0" w:line="240" w:lineRule="auto"/>
                    <w:ind w:right="0" w:rightChars="0"/>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mg/L</w:t>
                  </w:r>
                </w:p>
              </w:tc>
              <w:tc>
                <w:tcPr>
                  <w:tcW w:w="1034" w:type="dxa"/>
                  <w:tcBorders>
                    <w:tl2br w:val="nil"/>
                    <w:tr2bl w:val="nil"/>
                  </w:tcBorders>
                  <w:vAlign w:val="center"/>
                </w:tcPr>
                <w:p w14:paraId="77EBCC75">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0.83</w:t>
                  </w:r>
                </w:p>
              </w:tc>
              <w:tc>
                <w:tcPr>
                  <w:tcW w:w="1034" w:type="dxa"/>
                  <w:tcBorders>
                    <w:tl2br w:val="nil"/>
                    <w:tr2bl w:val="nil"/>
                  </w:tcBorders>
                  <w:vAlign w:val="center"/>
                </w:tcPr>
                <w:p w14:paraId="38FADADB">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0.84</w:t>
                  </w:r>
                </w:p>
              </w:tc>
              <w:tc>
                <w:tcPr>
                  <w:tcW w:w="1034" w:type="dxa"/>
                  <w:tcBorders>
                    <w:tl2br w:val="nil"/>
                    <w:tr2bl w:val="nil"/>
                  </w:tcBorders>
                  <w:vAlign w:val="center"/>
                </w:tcPr>
                <w:p w14:paraId="0D2C0359">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0.87</w:t>
                  </w:r>
                </w:p>
              </w:tc>
              <w:tc>
                <w:tcPr>
                  <w:tcW w:w="2068" w:type="dxa"/>
                  <w:tcBorders>
                    <w:tl2br w:val="nil"/>
                    <w:tr2bl w:val="nil"/>
                  </w:tcBorders>
                  <w:vAlign w:val="center"/>
                </w:tcPr>
                <w:p w14:paraId="5293802D">
                  <w:pPr>
                    <w:pStyle w:val="16"/>
                    <w:numPr>
                      <w:ilvl w:val="0"/>
                      <w:numId w:val="0"/>
                    </w:numPr>
                    <w:spacing w:before="0" w:after="0" w:line="240" w:lineRule="auto"/>
                    <w:ind w:right="0" w:rightChars="0"/>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8</w:t>
                  </w:r>
                </w:p>
              </w:tc>
            </w:tr>
          </w:tbl>
          <w:p w14:paraId="4001FF99">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jc w:val="center"/>
              <w:textAlignment w:val="auto"/>
              <w:rPr>
                <w:rFonts w:hint="default"/>
                <w:b/>
                <w:bCs/>
                <w:color w:val="auto"/>
                <w:sz w:val="21"/>
                <w:szCs w:val="21"/>
                <w:lang w:val="en-US" w:eastAsia="zh-CN"/>
              </w:rPr>
            </w:pPr>
            <w:r>
              <w:rPr>
                <w:rFonts w:hint="eastAsia"/>
                <w:b/>
                <w:bCs/>
                <w:color w:val="auto"/>
                <w:sz w:val="21"/>
                <w:szCs w:val="21"/>
                <w:lang w:val="en-US" w:eastAsia="zh-CN"/>
              </w:rPr>
              <w:t xml:space="preserve">表2-15 噪声自行监测结果 </w:t>
            </w:r>
          </w:p>
          <w:tbl>
            <w:tblPr>
              <w:tblStyle w:val="42"/>
              <w:tblpPr w:leftFromText="180" w:rightFromText="180" w:vertAnchor="text" w:horzAnchor="margin" w:tblpXSpec="center" w:tblpY="46"/>
              <w:tblOverlap w:val="never"/>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27"/>
              <w:gridCol w:w="1070"/>
              <w:gridCol w:w="1069"/>
              <w:gridCol w:w="1070"/>
              <w:gridCol w:w="1077"/>
              <w:gridCol w:w="1324"/>
            </w:tblGrid>
            <w:tr w14:paraId="0123EC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Merge w:val="restart"/>
                  <w:vAlign w:val="center"/>
                </w:tcPr>
                <w:p w14:paraId="4A87A348">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kern w:val="0"/>
                      <w:sz w:val="21"/>
                      <w:szCs w:val="21"/>
                    </w:rPr>
                    <w:t>噪声测点</w:t>
                  </w:r>
                </w:p>
              </w:tc>
              <w:tc>
                <w:tcPr>
                  <w:tcW w:w="927" w:type="dxa"/>
                  <w:vMerge w:val="restart"/>
                  <w:vAlign w:val="center"/>
                </w:tcPr>
                <w:p w14:paraId="7D9BF096">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kern w:val="0"/>
                      <w:sz w:val="21"/>
                      <w:szCs w:val="21"/>
                    </w:rPr>
                    <w:t>日期</w:t>
                  </w:r>
                </w:p>
              </w:tc>
              <w:tc>
                <w:tcPr>
                  <w:tcW w:w="4286" w:type="dxa"/>
                  <w:gridSpan w:val="4"/>
                  <w:vAlign w:val="center"/>
                </w:tcPr>
                <w:p w14:paraId="18C95E44">
                  <w:pPr>
                    <w:spacing w:before="62" w:beforeLines="20" w:line="240" w:lineRule="auto"/>
                    <w:ind w:right="420"/>
                    <w:jc w:val="center"/>
                    <w:rPr>
                      <w:rFonts w:ascii="Times New Roman" w:hAnsi="Times New Roman" w:cs="Times New Roman"/>
                      <w:b/>
                      <w:bCs/>
                      <w:color w:val="auto"/>
                      <w:kern w:val="0"/>
                      <w:sz w:val="21"/>
                      <w:szCs w:val="21"/>
                    </w:rPr>
                  </w:pPr>
                  <w:r>
                    <w:rPr>
                      <w:rFonts w:ascii="Times New Roman" w:hAnsi="Times New Roman" w:cs="Times New Roman"/>
                      <w:b/>
                      <w:bCs/>
                      <w:color w:val="auto"/>
                      <w:sz w:val="21"/>
                      <w:szCs w:val="21"/>
                    </w:rPr>
                    <w:t>结果（单位：dB(A)）</w:t>
                  </w:r>
                </w:p>
              </w:tc>
              <w:tc>
                <w:tcPr>
                  <w:tcW w:w="1324" w:type="dxa"/>
                  <w:vMerge w:val="restart"/>
                  <w:vAlign w:val="center"/>
                </w:tcPr>
                <w:p w14:paraId="43CFAE1F">
                  <w:pPr>
                    <w:spacing w:before="62" w:beforeLines="20" w:line="240" w:lineRule="auto"/>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结果评价</w:t>
                  </w:r>
                </w:p>
              </w:tc>
            </w:tr>
            <w:tr w14:paraId="45E4E7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Merge w:val="continue"/>
                  <w:vAlign w:val="center"/>
                </w:tcPr>
                <w:p w14:paraId="6FE1E96E">
                  <w:pPr>
                    <w:spacing w:before="62" w:beforeLines="20" w:line="240" w:lineRule="auto"/>
                    <w:jc w:val="center"/>
                    <w:rPr>
                      <w:rFonts w:ascii="Times New Roman" w:hAnsi="Times New Roman" w:cs="Times New Roman"/>
                      <w:b/>
                      <w:bCs/>
                      <w:color w:val="auto"/>
                      <w:sz w:val="21"/>
                      <w:szCs w:val="21"/>
                    </w:rPr>
                  </w:pPr>
                </w:p>
              </w:tc>
              <w:tc>
                <w:tcPr>
                  <w:tcW w:w="927" w:type="dxa"/>
                  <w:vMerge w:val="continue"/>
                  <w:vAlign w:val="center"/>
                </w:tcPr>
                <w:p w14:paraId="6AE44442">
                  <w:pPr>
                    <w:spacing w:before="62" w:beforeLines="20" w:line="240" w:lineRule="auto"/>
                    <w:jc w:val="center"/>
                    <w:rPr>
                      <w:rFonts w:ascii="Times New Roman" w:hAnsi="Times New Roman" w:cs="Times New Roman"/>
                      <w:b/>
                      <w:bCs/>
                      <w:color w:val="auto"/>
                      <w:sz w:val="21"/>
                      <w:szCs w:val="21"/>
                    </w:rPr>
                  </w:pPr>
                </w:p>
              </w:tc>
              <w:tc>
                <w:tcPr>
                  <w:tcW w:w="1070" w:type="dxa"/>
                  <w:vAlign w:val="center"/>
                </w:tcPr>
                <w:p w14:paraId="683C1F48">
                  <w:pPr>
                    <w:widowControl/>
                    <w:adjustRightInd w:val="0"/>
                    <w:spacing w:before="62" w:beforeLines="20" w:line="240" w:lineRule="auto"/>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昼间</w:t>
                  </w:r>
                </w:p>
              </w:tc>
              <w:tc>
                <w:tcPr>
                  <w:tcW w:w="1069" w:type="dxa"/>
                  <w:vAlign w:val="center"/>
                </w:tcPr>
                <w:p w14:paraId="3A13F8A7">
                  <w:pPr>
                    <w:widowControl/>
                    <w:adjustRightInd w:val="0"/>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w:t>
                  </w:r>
                </w:p>
              </w:tc>
              <w:tc>
                <w:tcPr>
                  <w:tcW w:w="1070" w:type="dxa"/>
                  <w:vAlign w:val="center"/>
                </w:tcPr>
                <w:p w14:paraId="103E7207">
                  <w:pPr>
                    <w:widowControl/>
                    <w:adjustRightInd w:val="0"/>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夜间</w:t>
                  </w:r>
                </w:p>
              </w:tc>
              <w:tc>
                <w:tcPr>
                  <w:tcW w:w="1077" w:type="dxa"/>
                  <w:vAlign w:val="center"/>
                </w:tcPr>
                <w:p w14:paraId="363C5179">
                  <w:pPr>
                    <w:spacing w:before="62" w:beforeLines="20"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w:t>
                  </w:r>
                </w:p>
              </w:tc>
              <w:tc>
                <w:tcPr>
                  <w:tcW w:w="1324" w:type="dxa"/>
                  <w:vMerge w:val="continue"/>
                  <w:vAlign w:val="center"/>
                </w:tcPr>
                <w:p w14:paraId="604EAEE3">
                  <w:pPr>
                    <w:spacing w:before="62" w:beforeLines="20" w:line="240" w:lineRule="auto"/>
                    <w:jc w:val="center"/>
                    <w:rPr>
                      <w:rFonts w:ascii="Times New Roman" w:hAnsi="Times New Roman" w:cs="Times New Roman"/>
                      <w:b/>
                      <w:bCs/>
                      <w:color w:val="auto"/>
                      <w:sz w:val="21"/>
                      <w:szCs w:val="21"/>
                    </w:rPr>
                  </w:pPr>
                </w:p>
              </w:tc>
            </w:tr>
            <w:tr w14:paraId="517E17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2BCF8141">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Z1</w:t>
                  </w:r>
                  <w:r>
                    <w:rPr>
                      <w:rFonts w:hint="eastAsia" w:ascii="Times New Roman" w:hAnsi="Times New Roman" w:cs="Times New Roman"/>
                      <w:color w:val="auto"/>
                      <w:sz w:val="21"/>
                      <w:szCs w:val="21"/>
                    </w:rPr>
                    <w:t>（东厂界外1m）</w:t>
                  </w:r>
                </w:p>
              </w:tc>
              <w:tc>
                <w:tcPr>
                  <w:tcW w:w="927" w:type="dxa"/>
                  <w:vMerge w:val="restart"/>
                  <w:vAlign w:val="center"/>
                </w:tcPr>
                <w:p w14:paraId="3DC87CD6">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2023.07.120</w:t>
                  </w:r>
                </w:p>
              </w:tc>
              <w:tc>
                <w:tcPr>
                  <w:tcW w:w="1070" w:type="dxa"/>
                  <w:vAlign w:val="center"/>
                </w:tcPr>
                <w:p w14:paraId="7A084B9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61.2</w:t>
                  </w:r>
                </w:p>
              </w:tc>
              <w:tc>
                <w:tcPr>
                  <w:tcW w:w="1069" w:type="dxa"/>
                  <w:vAlign w:val="center"/>
                </w:tcPr>
                <w:p w14:paraId="26DE9F3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1B93362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44.1</w:t>
                  </w:r>
                </w:p>
              </w:tc>
              <w:tc>
                <w:tcPr>
                  <w:tcW w:w="1077" w:type="dxa"/>
                  <w:vAlign w:val="center"/>
                </w:tcPr>
                <w:p w14:paraId="43861EEE">
                  <w:pPr>
                    <w:spacing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3317A530">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sz w:val="21"/>
                      <w:szCs w:val="21"/>
                    </w:rPr>
                  </w:pPr>
                  <w:r>
                    <w:rPr>
                      <w:rFonts w:ascii="Times New Roman" w:hAnsi="Times New Roman" w:cs="Times New Roman"/>
                      <w:color w:val="auto"/>
                      <w:kern w:val="2"/>
                      <w:sz w:val="21"/>
                      <w:szCs w:val="21"/>
                    </w:rPr>
                    <w:t>达标</w:t>
                  </w:r>
                </w:p>
              </w:tc>
            </w:tr>
            <w:tr w14:paraId="4A570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5DBC3202">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Z2</w:t>
                  </w:r>
                  <w:r>
                    <w:rPr>
                      <w:rFonts w:hint="eastAsia" w:ascii="Times New Roman" w:hAnsi="Times New Roman" w:cs="Times New Roman"/>
                      <w:color w:val="auto"/>
                      <w:sz w:val="21"/>
                      <w:szCs w:val="21"/>
                    </w:rPr>
                    <w:t>（南厂界外1m）</w:t>
                  </w:r>
                </w:p>
              </w:tc>
              <w:tc>
                <w:tcPr>
                  <w:tcW w:w="927" w:type="dxa"/>
                  <w:vMerge w:val="continue"/>
                  <w:vAlign w:val="center"/>
                </w:tcPr>
                <w:p w14:paraId="0857FB92">
                  <w:pPr>
                    <w:spacing w:before="31" w:beforeLines="10" w:line="240" w:lineRule="auto"/>
                    <w:jc w:val="center"/>
                    <w:rPr>
                      <w:rFonts w:ascii="Times New Roman" w:hAnsi="Times New Roman" w:cs="Times New Roman"/>
                      <w:color w:val="auto"/>
                      <w:sz w:val="21"/>
                      <w:szCs w:val="21"/>
                    </w:rPr>
                  </w:pPr>
                </w:p>
              </w:tc>
              <w:tc>
                <w:tcPr>
                  <w:tcW w:w="1070" w:type="dxa"/>
                  <w:vAlign w:val="center"/>
                </w:tcPr>
                <w:p w14:paraId="0BDE805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61.3</w:t>
                  </w:r>
                </w:p>
              </w:tc>
              <w:tc>
                <w:tcPr>
                  <w:tcW w:w="1069" w:type="dxa"/>
                  <w:vAlign w:val="center"/>
                </w:tcPr>
                <w:p w14:paraId="59334D0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7C74A19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44.5</w:t>
                  </w:r>
                </w:p>
              </w:tc>
              <w:tc>
                <w:tcPr>
                  <w:tcW w:w="1077" w:type="dxa"/>
                  <w:vAlign w:val="center"/>
                </w:tcPr>
                <w:p w14:paraId="29B96D54">
                  <w:pPr>
                    <w:spacing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79FC6ECB">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r w14:paraId="13E6B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44385EB3">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Z3</w:t>
                  </w:r>
                  <w:r>
                    <w:rPr>
                      <w:rFonts w:hint="eastAsia" w:ascii="Times New Roman" w:hAnsi="Times New Roman" w:cs="Times New Roman"/>
                      <w:color w:val="auto"/>
                      <w:sz w:val="21"/>
                      <w:szCs w:val="21"/>
                    </w:rPr>
                    <w:t>（西厂界外1m）</w:t>
                  </w:r>
                </w:p>
              </w:tc>
              <w:tc>
                <w:tcPr>
                  <w:tcW w:w="927" w:type="dxa"/>
                  <w:vMerge w:val="continue"/>
                  <w:vAlign w:val="center"/>
                </w:tcPr>
                <w:p w14:paraId="69C7707E">
                  <w:pPr>
                    <w:spacing w:before="62" w:beforeLines="20" w:line="240" w:lineRule="auto"/>
                    <w:jc w:val="center"/>
                    <w:rPr>
                      <w:rFonts w:ascii="Times New Roman" w:hAnsi="Times New Roman" w:cs="Times New Roman"/>
                      <w:color w:val="auto"/>
                      <w:sz w:val="21"/>
                      <w:szCs w:val="21"/>
                    </w:rPr>
                  </w:pPr>
                </w:p>
              </w:tc>
              <w:tc>
                <w:tcPr>
                  <w:tcW w:w="1070" w:type="dxa"/>
                  <w:vAlign w:val="center"/>
                </w:tcPr>
                <w:p w14:paraId="54BF2BC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62.0</w:t>
                  </w:r>
                </w:p>
              </w:tc>
              <w:tc>
                <w:tcPr>
                  <w:tcW w:w="1069" w:type="dxa"/>
                  <w:vAlign w:val="center"/>
                </w:tcPr>
                <w:p w14:paraId="4D5FFA7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16F7E63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44.8</w:t>
                  </w:r>
                </w:p>
              </w:tc>
              <w:tc>
                <w:tcPr>
                  <w:tcW w:w="1077" w:type="dxa"/>
                  <w:vAlign w:val="center"/>
                </w:tcPr>
                <w:p w14:paraId="1FBED2AC">
                  <w:pPr>
                    <w:spacing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6E50665D">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r w14:paraId="1A4E07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985" w:type="dxa"/>
                  <w:vAlign w:val="center"/>
                </w:tcPr>
                <w:p w14:paraId="60F42655">
                  <w:pPr>
                    <w:spacing w:before="62" w:beforeLines="2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Z4</w:t>
                  </w:r>
                  <w:r>
                    <w:rPr>
                      <w:rFonts w:hint="eastAsia" w:ascii="Times New Roman" w:hAnsi="Times New Roman" w:cs="Times New Roman"/>
                      <w:color w:val="auto"/>
                      <w:sz w:val="21"/>
                      <w:szCs w:val="21"/>
                    </w:rPr>
                    <w:t>（北厂界外1m）</w:t>
                  </w:r>
                </w:p>
              </w:tc>
              <w:tc>
                <w:tcPr>
                  <w:tcW w:w="927" w:type="dxa"/>
                  <w:vMerge w:val="continue"/>
                  <w:vAlign w:val="center"/>
                </w:tcPr>
                <w:p w14:paraId="595960AA">
                  <w:pPr>
                    <w:spacing w:before="62" w:beforeLines="20" w:line="240" w:lineRule="auto"/>
                    <w:jc w:val="center"/>
                    <w:rPr>
                      <w:rFonts w:ascii="Times New Roman" w:hAnsi="Times New Roman" w:cs="Times New Roman"/>
                      <w:color w:val="auto"/>
                      <w:sz w:val="21"/>
                      <w:szCs w:val="21"/>
                    </w:rPr>
                  </w:pPr>
                </w:p>
              </w:tc>
              <w:tc>
                <w:tcPr>
                  <w:tcW w:w="1070" w:type="dxa"/>
                  <w:vAlign w:val="center"/>
                </w:tcPr>
                <w:p w14:paraId="357E253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61.9</w:t>
                  </w:r>
                </w:p>
              </w:tc>
              <w:tc>
                <w:tcPr>
                  <w:tcW w:w="1069" w:type="dxa"/>
                  <w:vAlign w:val="center"/>
                </w:tcPr>
                <w:p w14:paraId="6C76281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65</w:t>
                  </w:r>
                </w:p>
              </w:tc>
              <w:tc>
                <w:tcPr>
                  <w:tcW w:w="1070" w:type="dxa"/>
                  <w:vAlign w:val="center"/>
                </w:tcPr>
                <w:p w14:paraId="621ED0E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45.1</w:t>
                  </w:r>
                </w:p>
              </w:tc>
              <w:tc>
                <w:tcPr>
                  <w:tcW w:w="1077" w:type="dxa"/>
                  <w:vAlign w:val="center"/>
                </w:tcPr>
                <w:p w14:paraId="34CE209A">
                  <w:pPr>
                    <w:spacing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55</w:t>
                  </w:r>
                </w:p>
              </w:tc>
              <w:tc>
                <w:tcPr>
                  <w:tcW w:w="1324" w:type="dxa"/>
                  <w:vAlign w:val="center"/>
                </w:tcPr>
                <w:p w14:paraId="09576E96">
                  <w:pPr>
                    <w:pStyle w:val="264"/>
                    <w:widowControl w:val="0"/>
                    <w:pBdr>
                      <w:bottom w:val="none" w:color="auto" w:sz="0" w:space="0"/>
                    </w:pBdr>
                    <w:spacing w:before="62" w:beforeLines="20" w:beforeAutospacing="0" w:afterAutospacing="0" w:line="240" w:lineRule="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达标</w:t>
                  </w:r>
                </w:p>
              </w:tc>
            </w:tr>
          </w:tbl>
          <w:p w14:paraId="7F578D8D">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22" w:firstLineChars="200"/>
              <w:jc w:val="center"/>
              <w:textAlignment w:val="auto"/>
              <w:rPr>
                <w:rFonts w:hint="default"/>
                <w:b/>
                <w:bCs/>
                <w:color w:val="auto"/>
                <w:sz w:val="21"/>
                <w:szCs w:val="21"/>
                <w:lang w:val="en-US" w:eastAsia="zh-CN"/>
              </w:rPr>
            </w:pPr>
            <w:r>
              <w:rPr>
                <w:rFonts w:hint="eastAsia"/>
                <w:b/>
                <w:bCs/>
                <w:color w:val="auto"/>
                <w:sz w:val="21"/>
                <w:szCs w:val="21"/>
                <w:lang w:val="en-US" w:eastAsia="zh-CN"/>
              </w:rPr>
              <w:t>表2-16 现有项目总量分析情况表</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41"/>
              <w:gridCol w:w="1233"/>
              <w:gridCol w:w="1880"/>
              <w:gridCol w:w="1802"/>
              <w:gridCol w:w="1006"/>
            </w:tblGrid>
            <w:tr w14:paraId="41F977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Align w:val="center"/>
                </w:tcPr>
                <w:p w14:paraId="0DFDC997">
                  <w:pPr>
                    <w:jc w:val="center"/>
                    <w:rPr>
                      <w:b/>
                      <w:bCs/>
                      <w:color w:val="auto"/>
                      <w:kern w:val="44"/>
                      <w:sz w:val="21"/>
                      <w:szCs w:val="21"/>
                    </w:rPr>
                  </w:pPr>
                  <w:r>
                    <w:rPr>
                      <w:b/>
                      <w:bCs/>
                      <w:color w:val="auto"/>
                      <w:kern w:val="44"/>
                      <w:sz w:val="21"/>
                      <w:szCs w:val="21"/>
                    </w:rPr>
                    <w:t>种类</w:t>
                  </w:r>
                </w:p>
              </w:tc>
              <w:tc>
                <w:tcPr>
                  <w:tcW w:w="871" w:type="pct"/>
                  <w:vAlign w:val="center"/>
                </w:tcPr>
                <w:p w14:paraId="292FB85C">
                  <w:pPr>
                    <w:jc w:val="center"/>
                    <w:rPr>
                      <w:b/>
                      <w:bCs/>
                      <w:color w:val="auto"/>
                      <w:kern w:val="44"/>
                      <w:sz w:val="21"/>
                      <w:szCs w:val="21"/>
                    </w:rPr>
                  </w:pPr>
                  <w:r>
                    <w:rPr>
                      <w:b/>
                      <w:bCs/>
                      <w:color w:val="auto"/>
                      <w:kern w:val="44"/>
                      <w:sz w:val="21"/>
                      <w:szCs w:val="21"/>
                    </w:rPr>
                    <w:t>污染物名称</w:t>
                  </w:r>
                </w:p>
              </w:tc>
              <w:tc>
                <w:tcPr>
                  <w:tcW w:w="745" w:type="pct"/>
                  <w:vAlign w:val="center"/>
                </w:tcPr>
                <w:p w14:paraId="10E8D065">
                  <w:pPr>
                    <w:jc w:val="center"/>
                    <w:rPr>
                      <w:b/>
                      <w:bCs/>
                      <w:color w:val="auto"/>
                      <w:kern w:val="44"/>
                      <w:sz w:val="21"/>
                      <w:szCs w:val="21"/>
                    </w:rPr>
                  </w:pPr>
                  <w:r>
                    <w:rPr>
                      <w:b/>
                      <w:bCs/>
                      <w:color w:val="auto"/>
                      <w:kern w:val="44"/>
                      <w:sz w:val="21"/>
                      <w:szCs w:val="21"/>
                    </w:rPr>
                    <w:t>年排放量（t/a）</w:t>
                  </w:r>
                </w:p>
              </w:tc>
              <w:tc>
                <w:tcPr>
                  <w:tcW w:w="1136" w:type="pct"/>
                  <w:vAlign w:val="center"/>
                </w:tcPr>
                <w:p w14:paraId="721E3465">
                  <w:pPr>
                    <w:jc w:val="center"/>
                    <w:rPr>
                      <w:b/>
                      <w:bCs/>
                      <w:color w:val="auto"/>
                      <w:kern w:val="44"/>
                      <w:sz w:val="21"/>
                      <w:szCs w:val="21"/>
                    </w:rPr>
                  </w:pPr>
                  <w:r>
                    <w:rPr>
                      <w:b/>
                      <w:bCs/>
                      <w:color w:val="auto"/>
                      <w:kern w:val="44"/>
                      <w:sz w:val="21"/>
                      <w:szCs w:val="21"/>
                    </w:rPr>
                    <w:t>总量控制指标</w:t>
                  </w:r>
                </w:p>
                <w:p w14:paraId="470D3CF2">
                  <w:pPr>
                    <w:jc w:val="center"/>
                    <w:rPr>
                      <w:b/>
                      <w:bCs/>
                      <w:color w:val="auto"/>
                      <w:kern w:val="44"/>
                      <w:sz w:val="21"/>
                      <w:szCs w:val="21"/>
                    </w:rPr>
                  </w:pPr>
                  <w:r>
                    <w:rPr>
                      <w:b/>
                      <w:bCs/>
                      <w:color w:val="auto"/>
                      <w:kern w:val="44"/>
                      <w:sz w:val="21"/>
                      <w:szCs w:val="21"/>
                    </w:rPr>
                    <w:t>（t/a）</w:t>
                  </w:r>
                </w:p>
              </w:tc>
              <w:tc>
                <w:tcPr>
                  <w:tcW w:w="1089" w:type="pct"/>
                  <w:vAlign w:val="center"/>
                </w:tcPr>
                <w:p w14:paraId="43ED3AA0">
                  <w:pPr>
                    <w:jc w:val="center"/>
                    <w:rPr>
                      <w:b/>
                      <w:bCs/>
                      <w:color w:val="auto"/>
                      <w:kern w:val="44"/>
                      <w:sz w:val="21"/>
                      <w:szCs w:val="21"/>
                    </w:rPr>
                  </w:pPr>
                  <w:r>
                    <w:rPr>
                      <w:rFonts w:hint="eastAsia"/>
                      <w:b/>
                      <w:bCs/>
                      <w:color w:val="auto"/>
                      <w:kern w:val="44"/>
                      <w:sz w:val="21"/>
                      <w:szCs w:val="21"/>
                    </w:rPr>
                    <w:t>环评</w:t>
                  </w:r>
                  <w:r>
                    <w:rPr>
                      <w:b/>
                      <w:bCs/>
                      <w:color w:val="auto"/>
                      <w:kern w:val="44"/>
                      <w:sz w:val="21"/>
                      <w:szCs w:val="21"/>
                    </w:rPr>
                    <w:t>预测值（t/a）</w:t>
                  </w:r>
                </w:p>
              </w:tc>
              <w:tc>
                <w:tcPr>
                  <w:tcW w:w="608" w:type="pct"/>
                  <w:vAlign w:val="center"/>
                </w:tcPr>
                <w:p w14:paraId="369F788E">
                  <w:pPr>
                    <w:jc w:val="center"/>
                    <w:rPr>
                      <w:b/>
                      <w:bCs/>
                      <w:color w:val="auto"/>
                      <w:kern w:val="44"/>
                      <w:sz w:val="21"/>
                      <w:szCs w:val="21"/>
                    </w:rPr>
                  </w:pPr>
                  <w:r>
                    <w:rPr>
                      <w:b/>
                      <w:bCs/>
                      <w:color w:val="auto"/>
                      <w:kern w:val="44"/>
                      <w:sz w:val="21"/>
                      <w:szCs w:val="21"/>
                    </w:rPr>
                    <w:t>是否达标</w:t>
                  </w:r>
                </w:p>
              </w:tc>
            </w:tr>
            <w:tr w14:paraId="0A2A41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restart"/>
                  <w:vAlign w:val="center"/>
                </w:tcPr>
                <w:p w14:paraId="730EF1D1">
                  <w:pPr>
                    <w:jc w:val="center"/>
                    <w:rPr>
                      <w:color w:val="auto"/>
                      <w:kern w:val="44"/>
                      <w:sz w:val="21"/>
                      <w:szCs w:val="21"/>
                    </w:rPr>
                  </w:pPr>
                  <w:r>
                    <w:rPr>
                      <w:color w:val="auto"/>
                      <w:kern w:val="44"/>
                      <w:sz w:val="21"/>
                      <w:szCs w:val="21"/>
                    </w:rPr>
                    <w:t>废气</w:t>
                  </w:r>
                </w:p>
              </w:tc>
              <w:tc>
                <w:tcPr>
                  <w:tcW w:w="871" w:type="pct"/>
                  <w:vAlign w:val="center"/>
                </w:tcPr>
                <w:p w14:paraId="478C5895">
                  <w:pPr>
                    <w:jc w:val="center"/>
                    <w:rPr>
                      <w:color w:val="auto"/>
                      <w:kern w:val="44"/>
                      <w:sz w:val="21"/>
                      <w:szCs w:val="21"/>
                    </w:rPr>
                  </w:pPr>
                  <w:r>
                    <w:rPr>
                      <w:rFonts w:hint="eastAsia"/>
                      <w:color w:val="auto"/>
                      <w:kern w:val="44"/>
                      <w:sz w:val="21"/>
                      <w:szCs w:val="21"/>
                    </w:rPr>
                    <w:t>颗粒物</w:t>
                  </w:r>
                </w:p>
              </w:tc>
              <w:tc>
                <w:tcPr>
                  <w:tcW w:w="745" w:type="pct"/>
                  <w:vAlign w:val="center"/>
                </w:tcPr>
                <w:p w14:paraId="57C88812">
                  <w:pPr>
                    <w:widowControl/>
                    <w:jc w:val="center"/>
                    <w:textAlignment w:val="center"/>
                    <w:rPr>
                      <w:rFonts w:hint="default" w:eastAsia="宋体"/>
                      <w:color w:val="auto"/>
                      <w:kern w:val="0"/>
                      <w:sz w:val="21"/>
                      <w:szCs w:val="21"/>
                      <w:lang w:val="en-US" w:eastAsia="zh-CN"/>
                    </w:rPr>
                  </w:pPr>
                  <w:r>
                    <w:rPr>
                      <w:rFonts w:hint="eastAsia" w:eastAsia="宋体"/>
                      <w:color w:val="auto"/>
                      <w:kern w:val="0"/>
                      <w:sz w:val="21"/>
                      <w:szCs w:val="21"/>
                      <w:lang w:val="en-US" w:eastAsia="zh-CN"/>
                    </w:rPr>
                    <w:t>0.06</w:t>
                  </w:r>
                </w:p>
              </w:tc>
              <w:tc>
                <w:tcPr>
                  <w:tcW w:w="1136" w:type="pct"/>
                  <w:vAlign w:val="center"/>
                </w:tcPr>
                <w:p w14:paraId="5CB8F6B9">
                  <w:pPr>
                    <w:jc w:val="center"/>
                    <w:rPr>
                      <w:bCs/>
                      <w:color w:val="auto"/>
                      <w:kern w:val="0"/>
                      <w:sz w:val="21"/>
                      <w:szCs w:val="21"/>
                    </w:rPr>
                  </w:pPr>
                  <w:r>
                    <w:rPr>
                      <w:color w:val="auto"/>
                      <w:kern w:val="0"/>
                      <w:sz w:val="21"/>
                      <w:szCs w:val="21"/>
                    </w:rPr>
                    <w:t>/</w:t>
                  </w:r>
                </w:p>
              </w:tc>
              <w:tc>
                <w:tcPr>
                  <w:tcW w:w="1089" w:type="pct"/>
                  <w:vAlign w:val="center"/>
                </w:tcPr>
                <w:p w14:paraId="3B57D1DF">
                  <w:pPr>
                    <w:widowControl/>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3</w:t>
                  </w:r>
                </w:p>
              </w:tc>
              <w:tc>
                <w:tcPr>
                  <w:tcW w:w="608" w:type="pct"/>
                  <w:vAlign w:val="center"/>
                </w:tcPr>
                <w:p w14:paraId="4FF1EA0C">
                  <w:pPr>
                    <w:widowControl/>
                    <w:jc w:val="center"/>
                    <w:rPr>
                      <w:bCs/>
                      <w:color w:val="auto"/>
                      <w:kern w:val="0"/>
                      <w:sz w:val="21"/>
                      <w:szCs w:val="21"/>
                    </w:rPr>
                  </w:pPr>
                  <w:r>
                    <w:rPr>
                      <w:color w:val="auto"/>
                      <w:kern w:val="0"/>
                      <w:sz w:val="21"/>
                      <w:szCs w:val="21"/>
                    </w:rPr>
                    <w:t>/</w:t>
                  </w:r>
                </w:p>
              </w:tc>
            </w:tr>
            <w:tr w14:paraId="2735C0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vAlign w:val="center"/>
                </w:tcPr>
                <w:p w14:paraId="2674126F">
                  <w:pPr>
                    <w:jc w:val="center"/>
                    <w:rPr>
                      <w:color w:val="auto"/>
                      <w:kern w:val="44"/>
                      <w:sz w:val="21"/>
                      <w:szCs w:val="21"/>
                    </w:rPr>
                  </w:pPr>
                </w:p>
              </w:tc>
              <w:tc>
                <w:tcPr>
                  <w:tcW w:w="871" w:type="pct"/>
                  <w:vAlign w:val="center"/>
                </w:tcPr>
                <w:p w14:paraId="7790C4E6">
                  <w:pPr>
                    <w:jc w:val="center"/>
                    <w:rPr>
                      <w:rFonts w:hint="eastAsia" w:eastAsia="宋体"/>
                      <w:color w:val="auto"/>
                      <w:kern w:val="44"/>
                      <w:sz w:val="21"/>
                      <w:szCs w:val="21"/>
                      <w:lang w:eastAsia="zh-CN"/>
                    </w:rPr>
                  </w:pPr>
                  <w:r>
                    <w:rPr>
                      <w:rFonts w:hint="eastAsia"/>
                      <w:color w:val="auto"/>
                      <w:kern w:val="44"/>
                      <w:sz w:val="21"/>
                      <w:szCs w:val="21"/>
                      <w:lang w:val="en-US" w:eastAsia="zh-CN"/>
                    </w:rPr>
                    <w:t>二氧化硫</w:t>
                  </w:r>
                </w:p>
              </w:tc>
              <w:tc>
                <w:tcPr>
                  <w:tcW w:w="745" w:type="pct"/>
                  <w:vAlign w:val="center"/>
                </w:tcPr>
                <w:p w14:paraId="584B351B">
                  <w:pPr>
                    <w:widowControl/>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0.492</w:t>
                  </w:r>
                </w:p>
              </w:tc>
              <w:tc>
                <w:tcPr>
                  <w:tcW w:w="1136" w:type="pct"/>
                  <w:vAlign w:val="center"/>
                </w:tcPr>
                <w:p w14:paraId="0F132201">
                  <w:pPr>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1089" w:type="pct"/>
                  <w:vAlign w:val="center"/>
                </w:tcPr>
                <w:p w14:paraId="7586C99D">
                  <w:pPr>
                    <w:widowControl/>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2.9</w:t>
                  </w:r>
                </w:p>
              </w:tc>
              <w:tc>
                <w:tcPr>
                  <w:tcW w:w="608" w:type="pct"/>
                  <w:vAlign w:val="center"/>
                </w:tcPr>
                <w:p w14:paraId="02C48A2B">
                  <w:pPr>
                    <w:widowControl/>
                    <w:jc w:val="center"/>
                    <w:rPr>
                      <w:color w:val="auto"/>
                      <w:kern w:val="0"/>
                      <w:sz w:val="21"/>
                      <w:szCs w:val="21"/>
                    </w:rPr>
                  </w:pPr>
                  <w:r>
                    <w:rPr>
                      <w:color w:val="auto"/>
                      <w:kern w:val="0"/>
                      <w:sz w:val="21"/>
                      <w:szCs w:val="21"/>
                    </w:rPr>
                    <w:t>/</w:t>
                  </w:r>
                </w:p>
              </w:tc>
            </w:tr>
            <w:tr w14:paraId="6BD2E0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vAlign w:val="center"/>
                </w:tcPr>
                <w:p w14:paraId="3C6765C8">
                  <w:pPr>
                    <w:jc w:val="center"/>
                    <w:rPr>
                      <w:color w:val="auto"/>
                      <w:kern w:val="44"/>
                      <w:sz w:val="21"/>
                      <w:szCs w:val="21"/>
                    </w:rPr>
                  </w:pPr>
                </w:p>
              </w:tc>
              <w:tc>
                <w:tcPr>
                  <w:tcW w:w="871" w:type="pct"/>
                  <w:vAlign w:val="center"/>
                </w:tcPr>
                <w:p w14:paraId="348C519C">
                  <w:pPr>
                    <w:jc w:val="center"/>
                    <w:rPr>
                      <w:rFonts w:hint="eastAsia" w:eastAsia="宋体"/>
                      <w:color w:val="auto"/>
                      <w:kern w:val="44"/>
                      <w:sz w:val="21"/>
                      <w:szCs w:val="21"/>
                      <w:lang w:eastAsia="zh-CN"/>
                    </w:rPr>
                  </w:pPr>
                  <w:r>
                    <w:rPr>
                      <w:rFonts w:hint="eastAsia"/>
                      <w:bCs/>
                      <w:color w:val="auto"/>
                      <w:sz w:val="21"/>
                      <w:szCs w:val="21"/>
                      <w:lang w:val="en-US" w:eastAsia="zh-CN"/>
                    </w:rPr>
                    <w:t>氮氧化物</w:t>
                  </w:r>
                </w:p>
              </w:tc>
              <w:tc>
                <w:tcPr>
                  <w:tcW w:w="745" w:type="pct"/>
                  <w:vAlign w:val="center"/>
                </w:tcPr>
                <w:p w14:paraId="3210C1FA">
                  <w:pPr>
                    <w:widowControl/>
                    <w:jc w:val="center"/>
                    <w:textAlignment w:val="center"/>
                    <w:rPr>
                      <w:rFonts w:hint="default" w:eastAsia="宋体"/>
                      <w:color w:val="auto"/>
                      <w:kern w:val="0"/>
                      <w:sz w:val="21"/>
                      <w:szCs w:val="21"/>
                      <w:lang w:val="en-US" w:eastAsia="zh-CN"/>
                    </w:rPr>
                  </w:pPr>
                  <w:r>
                    <w:rPr>
                      <w:rFonts w:hint="eastAsia" w:eastAsia="宋体"/>
                      <w:color w:val="auto"/>
                      <w:kern w:val="0"/>
                      <w:sz w:val="21"/>
                      <w:szCs w:val="21"/>
                      <w:lang w:val="en-US" w:eastAsia="zh-CN"/>
                    </w:rPr>
                    <w:t>2.26</w:t>
                  </w:r>
                </w:p>
              </w:tc>
              <w:tc>
                <w:tcPr>
                  <w:tcW w:w="1136" w:type="pct"/>
                  <w:vAlign w:val="center"/>
                </w:tcPr>
                <w:p w14:paraId="0E5A6D79">
                  <w:pPr>
                    <w:jc w:val="center"/>
                    <w:rPr>
                      <w:color w:val="auto"/>
                      <w:kern w:val="0"/>
                      <w:sz w:val="21"/>
                      <w:szCs w:val="21"/>
                    </w:rPr>
                  </w:pPr>
                  <w:r>
                    <w:rPr>
                      <w:color w:val="auto"/>
                      <w:kern w:val="0"/>
                      <w:sz w:val="21"/>
                      <w:szCs w:val="21"/>
                    </w:rPr>
                    <w:t>/</w:t>
                  </w:r>
                </w:p>
              </w:tc>
              <w:tc>
                <w:tcPr>
                  <w:tcW w:w="1089" w:type="pct"/>
                  <w:vAlign w:val="center"/>
                </w:tcPr>
                <w:p w14:paraId="0603FA1A">
                  <w:pPr>
                    <w:widowControl/>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w:t>
                  </w:r>
                </w:p>
              </w:tc>
              <w:tc>
                <w:tcPr>
                  <w:tcW w:w="608" w:type="pct"/>
                  <w:vAlign w:val="center"/>
                </w:tcPr>
                <w:p w14:paraId="1679079F">
                  <w:pPr>
                    <w:widowControl/>
                    <w:jc w:val="center"/>
                    <w:rPr>
                      <w:color w:val="auto"/>
                      <w:kern w:val="0"/>
                      <w:sz w:val="21"/>
                      <w:szCs w:val="21"/>
                    </w:rPr>
                  </w:pPr>
                  <w:r>
                    <w:rPr>
                      <w:color w:val="auto"/>
                      <w:kern w:val="0"/>
                      <w:sz w:val="21"/>
                      <w:szCs w:val="21"/>
                    </w:rPr>
                    <w:t>/</w:t>
                  </w:r>
                </w:p>
              </w:tc>
            </w:tr>
            <w:tr w14:paraId="2BB3A5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restart"/>
                  <w:vAlign w:val="center"/>
                </w:tcPr>
                <w:p w14:paraId="3C70AC3C">
                  <w:pPr>
                    <w:jc w:val="center"/>
                    <w:rPr>
                      <w:color w:val="auto"/>
                      <w:kern w:val="44"/>
                      <w:sz w:val="21"/>
                      <w:szCs w:val="21"/>
                    </w:rPr>
                  </w:pPr>
                  <w:r>
                    <w:rPr>
                      <w:color w:val="auto"/>
                      <w:kern w:val="44"/>
                      <w:sz w:val="21"/>
                      <w:szCs w:val="21"/>
                    </w:rPr>
                    <w:t>废水</w:t>
                  </w:r>
                </w:p>
              </w:tc>
              <w:tc>
                <w:tcPr>
                  <w:tcW w:w="871" w:type="pct"/>
                  <w:vAlign w:val="center"/>
                </w:tcPr>
                <w:p w14:paraId="1EE6B158">
                  <w:pPr>
                    <w:jc w:val="center"/>
                    <w:rPr>
                      <w:color w:val="auto"/>
                      <w:kern w:val="44"/>
                      <w:sz w:val="21"/>
                      <w:szCs w:val="21"/>
                    </w:rPr>
                  </w:pPr>
                  <w:r>
                    <w:rPr>
                      <w:color w:val="auto"/>
                      <w:kern w:val="44"/>
                      <w:sz w:val="21"/>
                      <w:szCs w:val="21"/>
                    </w:rPr>
                    <w:t>废水量</w:t>
                  </w:r>
                </w:p>
              </w:tc>
              <w:tc>
                <w:tcPr>
                  <w:tcW w:w="745" w:type="pct"/>
                  <w:vAlign w:val="center"/>
                </w:tcPr>
                <w:p w14:paraId="20B56E23">
                  <w:pPr>
                    <w:widowControl/>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1000</w:t>
                  </w:r>
                </w:p>
              </w:tc>
              <w:tc>
                <w:tcPr>
                  <w:tcW w:w="1136" w:type="pct"/>
                  <w:vAlign w:val="center"/>
                </w:tcPr>
                <w:p w14:paraId="0376B2FD">
                  <w:pPr>
                    <w:jc w:val="center"/>
                    <w:rPr>
                      <w:bCs/>
                      <w:color w:val="auto"/>
                      <w:kern w:val="0"/>
                      <w:sz w:val="21"/>
                      <w:szCs w:val="21"/>
                    </w:rPr>
                  </w:pPr>
                  <w:r>
                    <w:rPr>
                      <w:color w:val="auto"/>
                      <w:kern w:val="0"/>
                      <w:sz w:val="21"/>
                      <w:szCs w:val="21"/>
                    </w:rPr>
                    <w:t>/</w:t>
                  </w:r>
                </w:p>
              </w:tc>
              <w:tc>
                <w:tcPr>
                  <w:tcW w:w="1089" w:type="pct"/>
                  <w:vAlign w:val="center"/>
                </w:tcPr>
                <w:p w14:paraId="0CFDF87D">
                  <w:pPr>
                    <w:jc w:val="center"/>
                    <w:rPr>
                      <w:rFonts w:hint="default" w:eastAsia="宋体"/>
                      <w:bCs/>
                      <w:color w:val="auto"/>
                      <w:kern w:val="0"/>
                      <w:sz w:val="21"/>
                      <w:szCs w:val="21"/>
                      <w:lang w:val="en-US" w:eastAsia="zh-CN"/>
                    </w:rPr>
                  </w:pPr>
                  <w:r>
                    <w:rPr>
                      <w:rFonts w:hint="eastAsia"/>
                      <w:bCs/>
                      <w:color w:val="auto"/>
                      <w:kern w:val="0"/>
                      <w:sz w:val="21"/>
                      <w:szCs w:val="21"/>
                      <w:lang w:val="en-US" w:eastAsia="zh-CN"/>
                    </w:rPr>
                    <w:t>1000</w:t>
                  </w:r>
                </w:p>
              </w:tc>
              <w:tc>
                <w:tcPr>
                  <w:tcW w:w="608" w:type="pct"/>
                  <w:vAlign w:val="center"/>
                </w:tcPr>
                <w:p w14:paraId="48C81A44">
                  <w:pPr>
                    <w:widowControl/>
                    <w:jc w:val="center"/>
                    <w:rPr>
                      <w:bCs/>
                      <w:color w:val="auto"/>
                      <w:kern w:val="0"/>
                      <w:sz w:val="21"/>
                      <w:szCs w:val="21"/>
                    </w:rPr>
                  </w:pPr>
                  <w:r>
                    <w:rPr>
                      <w:color w:val="auto"/>
                      <w:kern w:val="0"/>
                      <w:sz w:val="21"/>
                      <w:szCs w:val="21"/>
                    </w:rPr>
                    <w:t>/</w:t>
                  </w:r>
                </w:p>
              </w:tc>
            </w:tr>
            <w:tr w14:paraId="1D4F7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vAlign w:val="center"/>
                </w:tcPr>
                <w:p w14:paraId="618A5618">
                  <w:pPr>
                    <w:jc w:val="center"/>
                    <w:rPr>
                      <w:color w:val="auto"/>
                      <w:kern w:val="44"/>
                      <w:sz w:val="21"/>
                      <w:szCs w:val="21"/>
                    </w:rPr>
                  </w:pPr>
                </w:p>
              </w:tc>
              <w:tc>
                <w:tcPr>
                  <w:tcW w:w="871" w:type="pct"/>
                  <w:vAlign w:val="center"/>
                </w:tcPr>
                <w:p w14:paraId="63BFDD6B">
                  <w:pPr>
                    <w:jc w:val="center"/>
                    <w:rPr>
                      <w:color w:val="auto"/>
                      <w:kern w:val="44"/>
                      <w:sz w:val="21"/>
                      <w:szCs w:val="21"/>
                    </w:rPr>
                  </w:pPr>
                  <w:r>
                    <w:rPr>
                      <w:color w:val="auto"/>
                      <w:kern w:val="44"/>
                      <w:sz w:val="21"/>
                      <w:szCs w:val="21"/>
                    </w:rPr>
                    <w:t>化学需氧量</w:t>
                  </w:r>
                </w:p>
              </w:tc>
              <w:tc>
                <w:tcPr>
                  <w:tcW w:w="745" w:type="pct"/>
                  <w:vAlign w:val="center"/>
                </w:tcPr>
                <w:p w14:paraId="404BDEB8">
                  <w:pPr>
                    <w:jc w:val="center"/>
                    <w:rPr>
                      <w:rFonts w:hint="default" w:eastAsia="楷体"/>
                      <w:color w:val="auto"/>
                      <w:kern w:val="44"/>
                      <w:sz w:val="21"/>
                      <w:szCs w:val="21"/>
                      <w:lang w:val="en-US" w:eastAsia="zh-CN"/>
                    </w:rPr>
                  </w:pPr>
                  <w:r>
                    <w:rPr>
                      <w:rFonts w:hint="eastAsia" w:eastAsia="楷体"/>
                      <w:color w:val="auto"/>
                      <w:kern w:val="44"/>
                      <w:sz w:val="21"/>
                      <w:szCs w:val="21"/>
                      <w:lang w:val="en-US" w:eastAsia="zh-CN"/>
                    </w:rPr>
                    <w:t>0.156</w:t>
                  </w:r>
                </w:p>
              </w:tc>
              <w:tc>
                <w:tcPr>
                  <w:tcW w:w="1136" w:type="pct"/>
                  <w:vAlign w:val="center"/>
                </w:tcPr>
                <w:p w14:paraId="5A8CA2A4">
                  <w:pPr>
                    <w:jc w:val="center"/>
                    <w:rPr>
                      <w:color w:val="auto"/>
                      <w:kern w:val="44"/>
                      <w:sz w:val="21"/>
                      <w:szCs w:val="21"/>
                    </w:rPr>
                  </w:pPr>
                  <w:r>
                    <w:rPr>
                      <w:color w:val="auto"/>
                      <w:kern w:val="0"/>
                      <w:sz w:val="21"/>
                      <w:szCs w:val="21"/>
                    </w:rPr>
                    <w:t>/</w:t>
                  </w:r>
                </w:p>
              </w:tc>
              <w:tc>
                <w:tcPr>
                  <w:tcW w:w="1089" w:type="pct"/>
                  <w:vAlign w:val="center"/>
                </w:tcPr>
                <w:p w14:paraId="5E5AD3EB">
                  <w:pPr>
                    <w:jc w:val="center"/>
                    <w:rPr>
                      <w:rFonts w:hint="default" w:eastAsia="宋体"/>
                      <w:color w:val="auto"/>
                      <w:kern w:val="44"/>
                      <w:sz w:val="21"/>
                      <w:szCs w:val="21"/>
                      <w:lang w:val="en-US" w:eastAsia="zh-CN"/>
                    </w:rPr>
                  </w:pPr>
                  <w:r>
                    <w:rPr>
                      <w:rFonts w:hint="eastAsia"/>
                      <w:color w:val="auto"/>
                      <w:kern w:val="44"/>
                      <w:sz w:val="21"/>
                      <w:szCs w:val="21"/>
                      <w:lang w:val="en-US" w:eastAsia="zh-CN"/>
                    </w:rPr>
                    <w:t>/</w:t>
                  </w:r>
                </w:p>
              </w:tc>
              <w:tc>
                <w:tcPr>
                  <w:tcW w:w="608" w:type="pct"/>
                  <w:vAlign w:val="center"/>
                </w:tcPr>
                <w:p w14:paraId="268FD77E">
                  <w:pPr>
                    <w:widowControl/>
                    <w:jc w:val="center"/>
                    <w:rPr>
                      <w:bCs/>
                      <w:color w:val="auto"/>
                      <w:kern w:val="0"/>
                      <w:sz w:val="21"/>
                      <w:szCs w:val="21"/>
                    </w:rPr>
                  </w:pPr>
                  <w:r>
                    <w:rPr>
                      <w:color w:val="auto"/>
                      <w:kern w:val="0"/>
                      <w:sz w:val="21"/>
                      <w:szCs w:val="21"/>
                    </w:rPr>
                    <w:t>/</w:t>
                  </w:r>
                </w:p>
              </w:tc>
            </w:tr>
            <w:tr w14:paraId="335569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vAlign w:val="center"/>
                </w:tcPr>
                <w:p w14:paraId="7F8D0F74">
                  <w:pPr>
                    <w:jc w:val="center"/>
                    <w:rPr>
                      <w:color w:val="auto"/>
                      <w:kern w:val="44"/>
                      <w:sz w:val="21"/>
                      <w:szCs w:val="21"/>
                    </w:rPr>
                  </w:pPr>
                </w:p>
              </w:tc>
              <w:tc>
                <w:tcPr>
                  <w:tcW w:w="871" w:type="pct"/>
                  <w:vAlign w:val="center"/>
                </w:tcPr>
                <w:p w14:paraId="25E1E2C2">
                  <w:pPr>
                    <w:jc w:val="center"/>
                    <w:rPr>
                      <w:color w:val="auto"/>
                      <w:kern w:val="44"/>
                      <w:sz w:val="21"/>
                      <w:szCs w:val="21"/>
                    </w:rPr>
                  </w:pPr>
                  <w:r>
                    <w:rPr>
                      <w:color w:val="auto"/>
                      <w:kern w:val="44"/>
                      <w:sz w:val="21"/>
                      <w:szCs w:val="21"/>
                    </w:rPr>
                    <w:t>氨氮</w:t>
                  </w:r>
                </w:p>
              </w:tc>
              <w:tc>
                <w:tcPr>
                  <w:tcW w:w="745" w:type="pct"/>
                  <w:vAlign w:val="center"/>
                </w:tcPr>
                <w:p w14:paraId="28E19C1C">
                  <w:pPr>
                    <w:jc w:val="center"/>
                    <w:rPr>
                      <w:rFonts w:hint="default" w:eastAsia="楷体"/>
                      <w:color w:val="auto"/>
                      <w:kern w:val="44"/>
                      <w:sz w:val="21"/>
                      <w:szCs w:val="21"/>
                      <w:lang w:val="en-US" w:eastAsia="zh-CN"/>
                    </w:rPr>
                  </w:pPr>
                  <w:r>
                    <w:rPr>
                      <w:rFonts w:hint="eastAsia" w:eastAsia="楷体"/>
                      <w:color w:val="auto"/>
                      <w:kern w:val="44"/>
                      <w:sz w:val="21"/>
                      <w:szCs w:val="21"/>
                      <w:lang w:val="en-US" w:eastAsia="zh-CN"/>
                    </w:rPr>
                    <w:t>0.0264</w:t>
                  </w:r>
                </w:p>
              </w:tc>
              <w:tc>
                <w:tcPr>
                  <w:tcW w:w="1136" w:type="pct"/>
                  <w:vAlign w:val="center"/>
                </w:tcPr>
                <w:p w14:paraId="08C6EACA">
                  <w:pPr>
                    <w:jc w:val="center"/>
                    <w:rPr>
                      <w:color w:val="auto"/>
                      <w:kern w:val="0"/>
                      <w:sz w:val="21"/>
                      <w:szCs w:val="21"/>
                    </w:rPr>
                  </w:pPr>
                  <w:r>
                    <w:rPr>
                      <w:color w:val="auto"/>
                      <w:kern w:val="0"/>
                      <w:sz w:val="21"/>
                      <w:szCs w:val="21"/>
                    </w:rPr>
                    <w:t>/</w:t>
                  </w:r>
                </w:p>
              </w:tc>
              <w:tc>
                <w:tcPr>
                  <w:tcW w:w="1089" w:type="pct"/>
                  <w:vAlign w:val="center"/>
                </w:tcPr>
                <w:p w14:paraId="79E49B38">
                  <w:pPr>
                    <w:jc w:val="center"/>
                    <w:rPr>
                      <w:rFonts w:hint="eastAsia" w:eastAsia="宋体"/>
                      <w:color w:val="auto"/>
                      <w:kern w:val="44"/>
                      <w:sz w:val="21"/>
                      <w:szCs w:val="21"/>
                      <w:lang w:eastAsia="zh-CN"/>
                    </w:rPr>
                  </w:pPr>
                  <w:r>
                    <w:rPr>
                      <w:rFonts w:hint="eastAsia"/>
                      <w:color w:val="auto"/>
                      <w:kern w:val="44"/>
                      <w:sz w:val="21"/>
                      <w:szCs w:val="21"/>
                      <w:lang w:val="en-US" w:eastAsia="zh-CN"/>
                    </w:rPr>
                    <w:t>/</w:t>
                  </w:r>
                </w:p>
              </w:tc>
              <w:tc>
                <w:tcPr>
                  <w:tcW w:w="608" w:type="pct"/>
                  <w:vAlign w:val="center"/>
                </w:tcPr>
                <w:p w14:paraId="645ABA99">
                  <w:pPr>
                    <w:widowControl/>
                    <w:jc w:val="center"/>
                    <w:rPr>
                      <w:color w:val="auto"/>
                      <w:kern w:val="0"/>
                      <w:sz w:val="21"/>
                      <w:szCs w:val="21"/>
                    </w:rPr>
                  </w:pPr>
                  <w:r>
                    <w:rPr>
                      <w:color w:val="auto"/>
                      <w:kern w:val="0"/>
                      <w:sz w:val="21"/>
                      <w:szCs w:val="21"/>
                    </w:rPr>
                    <w:t>/</w:t>
                  </w:r>
                </w:p>
              </w:tc>
            </w:tr>
            <w:tr w14:paraId="14E91B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vAlign w:val="center"/>
                </w:tcPr>
                <w:p w14:paraId="2FC65592">
                  <w:pPr>
                    <w:jc w:val="center"/>
                    <w:rPr>
                      <w:color w:val="auto"/>
                      <w:kern w:val="44"/>
                      <w:sz w:val="21"/>
                      <w:szCs w:val="21"/>
                    </w:rPr>
                  </w:pPr>
                </w:p>
              </w:tc>
              <w:tc>
                <w:tcPr>
                  <w:tcW w:w="871" w:type="pct"/>
                  <w:vAlign w:val="center"/>
                </w:tcPr>
                <w:p w14:paraId="03DE4F51">
                  <w:pPr>
                    <w:jc w:val="center"/>
                    <w:rPr>
                      <w:color w:val="auto"/>
                      <w:kern w:val="44"/>
                      <w:sz w:val="21"/>
                      <w:szCs w:val="21"/>
                    </w:rPr>
                  </w:pPr>
                  <w:r>
                    <w:rPr>
                      <w:rFonts w:hint="eastAsia"/>
                      <w:color w:val="auto"/>
                      <w:kern w:val="44"/>
                      <w:sz w:val="21"/>
                      <w:szCs w:val="21"/>
                    </w:rPr>
                    <w:t>总磷</w:t>
                  </w:r>
                </w:p>
              </w:tc>
              <w:tc>
                <w:tcPr>
                  <w:tcW w:w="745" w:type="pct"/>
                  <w:vAlign w:val="center"/>
                </w:tcPr>
                <w:p w14:paraId="3963C319">
                  <w:pPr>
                    <w:jc w:val="center"/>
                    <w:rPr>
                      <w:rFonts w:hint="default" w:eastAsia="楷体"/>
                      <w:color w:val="auto"/>
                      <w:kern w:val="44"/>
                      <w:sz w:val="21"/>
                      <w:szCs w:val="21"/>
                      <w:lang w:val="en-US" w:eastAsia="zh-CN"/>
                    </w:rPr>
                  </w:pPr>
                  <w:r>
                    <w:rPr>
                      <w:rFonts w:hint="eastAsia" w:eastAsia="楷体"/>
                      <w:color w:val="auto"/>
                      <w:kern w:val="44"/>
                      <w:sz w:val="21"/>
                      <w:szCs w:val="21"/>
                      <w:lang w:val="en-US" w:eastAsia="zh-CN"/>
                    </w:rPr>
                    <w:t>0.00085</w:t>
                  </w:r>
                </w:p>
              </w:tc>
              <w:tc>
                <w:tcPr>
                  <w:tcW w:w="1136" w:type="pct"/>
                  <w:vAlign w:val="center"/>
                </w:tcPr>
                <w:p w14:paraId="29E85ECE">
                  <w:pPr>
                    <w:jc w:val="center"/>
                    <w:rPr>
                      <w:color w:val="auto"/>
                      <w:kern w:val="0"/>
                      <w:sz w:val="21"/>
                      <w:szCs w:val="21"/>
                    </w:rPr>
                  </w:pPr>
                  <w:r>
                    <w:rPr>
                      <w:color w:val="auto"/>
                      <w:kern w:val="0"/>
                      <w:sz w:val="21"/>
                      <w:szCs w:val="21"/>
                    </w:rPr>
                    <w:t>/</w:t>
                  </w:r>
                </w:p>
              </w:tc>
              <w:tc>
                <w:tcPr>
                  <w:tcW w:w="1089" w:type="pct"/>
                  <w:vAlign w:val="center"/>
                </w:tcPr>
                <w:p w14:paraId="779301CC">
                  <w:pPr>
                    <w:jc w:val="center"/>
                    <w:rPr>
                      <w:rFonts w:hint="eastAsia" w:eastAsia="宋体"/>
                      <w:color w:val="auto"/>
                      <w:kern w:val="44"/>
                      <w:sz w:val="21"/>
                      <w:szCs w:val="21"/>
                      <w:lang w:eastAsia="zh-CN"/>
                    </w:rPr>
                  </w:pPr>
                  <w:r>
                    <w:rPr>
                      <w:rFonts w:hint="eastAsia"/>
                      <w:color w:val="auto"/>
                      <w:kern w:val="44"/>
                      <w:sz w:val="21"/>
                      <w:szCs w:val="21"/>
                      <w:lang w:val="en-US" w:eastAsia="zh-CN"/>
                    </w:rPr>
                    <w:t>/</w:t>
                  </w:r>
                </w:p>
              </w:tc>
              <w:tc>
                <w:tcPr>
                  <w:tcW w:w="608" w:type="pct"/>
                  <w:vAlign w:val="center"/>
                </w:tcPr>
                <w:p w14:paraId="548374EC">
                  <w:pPr>
                    <w:widowControl/>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r>
          </w:tbl>
          <w:p w14:paraId="74C9DF40">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2" w:firstLineChars="200"/>
              <w:textAlignment w:val="auto"/>
              <w:rPr>
                <w:rFonts w:hint="default"/>
                <w:b/>
                <w:bCs/>
                <w:color w:val="auto"/>
                <w:sz w:val="21"/>
                <w:szCs w:val="21"/>
                <w:lang w:val="en-US" w:eastAsia="zh-CN"/>
              </w:rPr>
            </w:pPr>
            <w:r>
              <w:rPr>
                <w:rFonts w:hint="eastAsia"/>
                <w:b/>
                <w:bCs/>
                <w:color w:val="auto"/>
                <w:sz w:val="21"/>
                <w:szCs w:val="21"/>
                <w:lang w:val="en-US" w:eastAsia="zh-CN"/>
              </w:rPr>
              <w:t>5、现有项目</w:t>
            </w:r>
            <w:r>
              <w:rPr>
                <w:b/>
                <w:bCs/>
                <w:color w:val="auto"/>
                <w:sz w:val="21"/>
                <w:szCs w:val="21"/>
                <w:lang w:val="en-US" w:eastAsia="zh-CN"/>
              </w:rPr>
              <w:t>存在的问题</w:t>
            </w:r>
            <w:r>
              <w:rPr>
                <w:rFonts w:hint="eastAsia"/>
                <w:b/>
                <w:bCs/>
                <w:color w:val="auto"/>
                <w:sz w:val="21"/>
                <w:szCs w:val="21"/>
                <w:lang w:val="en-US" w:eastAsia="zh-CN"/>
              </w:rPr>
              <w:t>及以新带老措辞</w:t>
            </w:r>
          </w:p>
          <w:p w14:paraId="7977EF1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olor w:val="auto"/>
                <w:lang w:val="en-US" w:eastAsia="zh-CN"/>
              </w:rPr>
            </w:pPr>
            <w:r>
              <w:rPr>
                <w:rFonts w:hint="eastAsia"/>
                <w:color w:val="auto"/>
                <w:lang w:val="en-US" w:eastAsia="zh-CN"/>
              </w:rPr>
              <w:t>（1）原环评使用燃煤炉窑，现替换成天然气加热炉，污染物重新核算。</w:t>
            </w:r>
          </w:p>
          <w:p w14:paraId="2CB44D3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lang w:val="en-US" w:eastAsia="zh-CN"/>
              </w:rPr>
            </w:pPr>
            <w:r>
              <w:rPr>
                <w:rFonts w:hint="eastAsia"/>
                <w:color w:val="auto"/>
                <w:lang w:val="en-US" w:eastAsia="zh-CN"/>
              </w:rPr>
              <w:t>（2）原有项目未对废水中氨氮、总氮和总磷的排放量进行核算，原有项目废水排放量为1000t/a，则氨氮的排放量为</w:t>
            </w:r>
            <w:r>
              <w:rPr>
                <w:rFonts w:hint="default" w:ascii="Times New Roman" w:hAnsi="Times New Roman" w:cs="Times New Roman"/>
                <w:color w:val="auto"/>
                <w:lang w:val="en-US" w:eastAsia="zh-CN"/>
              </w:rPr>
              <w:t>1000×45×10-6=0.045t/a；</w:t>
            </w:r>
            <w:r>
              <w:rPr>
                <w:rFonts w:hint="eastAsia" w:ascii="Times New Roman" w:hAnsi="Times New Roman" w:cs="Times New Roman"/>
                <w:color w:val="auto"/>
                <w:lang w:val="en-US" w:eastAsia="zh-CN"/>
              </w:rPr>
              <w:t>总氮的</w:t>
            </w:r>
            <w:r>
              <w:rPr>
                <w:rFonts w:hint="eastAsia"/>
                <w:color w:val="auto"/>
                <w:lang w:val="en-US" w:eastAsia="zh-CN"/>
              </w:rPr>
              <w:t>排放量为</w:t>
            </w:r>
            <w:r>
              <w:rPr>
                <w:rFonts w:hint="default" w:ascii="Times New Roman" w:hAnsi="Times New Roman" w:cs="Times New Roman"/>
                <w:color w:val="auto"/>
                <w:lang w:val="en-US" w:eastAsia="zh-CN"/>
              </w:rPr>
              <w:t>1000×</w:t>
            </w:r>
            <w:r>
              <w:rPr>
                <w:rFonts w:hint="eastAsia" w:cs="Times New Roman"/>
                <w:color w:val="auto"/>
                <w:lang w:val="en-US" w:eastAsia="zh-CN"/>
              </w:rPr>
              <w:t>55</w:t>
            </w:r>
            <w:r>
              <w:rPr>
                <w:rFonts w:hint="default" w:ascii="Times New Roman" w:hAnsi="Times New Roman" w:cs="Times New Roman"/>
                <w:color w:val="auto"/>
                <w:lang w:val="en-US" w:eastAsia="zh-CN"/>
              </w:rPr>
              <w:t>×10-6=0.0</w:t>
            </w:r>
            <w:r>
              <w:rPr>
                <w:rFonts w:hint="eastAsia" w:cs="Times New Roman"/>
                <w:color w:val="auto"/>
                <w:lang w:val="en-US" w:eastAsia="zh-CN"/>
              </w:rPr>
              <w:t>5</w:t>
            </w:r>
            <w:r>
              <w:rPr>
                <w:rFonts w:hint="default" w:ascii="Times New Roman" w:hAnsi="Times New Roman" w:cs="Times New Roman"/>
                <w:color w:val="auto"/>
                <w:lang w:val="en-US" w:eastAsia="zh-CN"/>
              </w:rPr>
              <w:t>5t/a</w:t>
            </w:r>
            <w:r>
              <w:rPr>
                <w:rFonts w:hint="eastAsia" w:cs="Times New Roman"/>
                <w:color w:val="auto"/>
                <w:lang w:val="en-US" w:eastAsia="zh-CN"/>
              </w:rPr>
              <w:t>；总磷的</w:t>
            </w:r>
            <w:r>
              <w:rPr>
                <w:rFonts w:hint="eastAsia"/>
                <w:color w:val="auto"/>
                <w:lang w:val="en-US" w:eastAsia="zh-CN"/>
              </w:rPr>
              <w:t>排放量为</w:t>
            </w:r>
            <w:r>
              <w:rPr>
                <w:rFonts w:hint="default" w:ascii="Times New Roman" w:hAnsi="Times New Roman" w:cs="Times New Roman"/>
                <w:color w:val="auto"/>
                <w:lang w:val="en-US" w:eastAsia="zh-CN"/>
              </w:rPr>
              <w:t>1000×</w:t>
            </w:r>
            <w:r>
              <w:rPr>
                <w:rFonts w:hint="eastAsia" w:cs="Times New Roman"/>
                <w:color w:val="auto"/>
                <w:lang w:val="en-US" w:eastAsia="zh-CN"/>
              </w:rPr>
              <w:t>8</w:t>
            </w:r>
            <w:r>
              <w:rPr>
                <w:rFonts w:hint="default" w:ascii="Times New Roman" w:hAnsi="Times New Roman" w:cs="Times New Roman"/>
                <w:color w:val="auto"/>
                <w:lang w:val="en-US" w:eastAsia="zh-CN"/>
              </w:rPr>
              <w:t>×10-6=</w:t>
            </w:r>
            <w:r>
              <w:rPr>
                <w:rFonts w:hint="eastAsia" w:cs="Times New Roman"/>
                <w:color w:val="auto"/>
                <w:lang w:val="en-US" w:eastAsia="zh-CN"/>
              </w:rPr>
              <w:t>0.008</w:t>
            </w:r>
            <w:r>
              <w:rPr>
                <w:rFonts w:hint="default" w:ascii="Times New Roman" w:hAnsi="Times New Roman" w:cs="Times New Roman"/>
                <w:color w:val="auto"/>
                <w:lang w:val="en-US" w:eastAsia="zh-CN"/>
              </w:rPr>
              <w:t>t/a</w:t>
            </w:r>
            <w:r>
              <w:rPr>
                <w:rFonts w:hint="eastAsia" w:cs="Times New Roman"/>
                <w:color w:val="auto"/>
                <w:lang w:val="en-US" w:eastAsia="zh-CN"/>
              </w:rPr>
              <w:t>。</w:t>
            </w:r>
          </w:p>
          <w:p w14:paraId="2598E37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eastAsia="宋体"/>
                <w:bCs/>
                <w:color w:val="auto"/>
                <w:sz w:val="21"/>
                <w:szCs w:val="21"/>
                <w:lang w:val="en-US" w:eastAsia="zh-CN"/>
              </w:rPr>
            </w:pPr>
            <w:r>
              <w:rPr>
                <w:rFonts w:hint="eastAsia" w:cs="Times New Roman"/>
                <w:color w:val="auto"/>
                <w:lang w:val="en-US" w:eastAsia="zh-CN"/>
              </w:rPr>
              <w:t>（3）原有项目未对燃煤废气中氮氧化物进行排放量核算，原有项目燃煤用量为2000t，参考</w:t>
            </w:r>
            <w:r>
              <w:rPr>
                <w:color w:val="auto"/>
              </w:rPr>
              <w:t>《排放源统计调查产排污核算方法和系数手册》</w:t>
            </w:r>
            <w:r>
              <w:rPr>
                <w:rFonts w:hint="eastAsia"/>
                <w:color w:val="auto"/>
                <w:lang w:val="en-US" w:eastAsia="zh-CN"/>
              </w:rPr>
              <w:t xml:space="preserve"> 4430 锅炉产排污量核算系数手册，氮氧化物的产污系数为2.94kg/吨 原料，则原有项目氮氧化物的产生量为5.88t/a，原有项目的废气处理设施为布袋除尘装置，则原有项目氮氧化物的排放量为5.88t/a。</w:t>
            </w:r>
          </w:p>
        </w:tc>
      </w:tr>
    </w:tbl>
    <w:p w14:paraId="2FB18960">
      <w:pPr>
        <w:pStyle w:val="37"/>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C40F77B">
      <w:pPr>
        <w:pStyle w:val="37"/>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14:paraId="2458797D">
      <w:pPr>
        <w:pStyle w:val="3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1CDE5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0" w:type="dxa"/>
            <w:noWrap w:val="0"/>
            <w:vAlign w:val="center"/>
          </w:tcPr>
          <w:p w14:paraId="69731D9C">
            <w:pPr>
              <w:adjustRightInd w:val="0"/>
              <w:snapToGrid w:val="0"/>
              <w:jc w:val="center"/>
              <w:rPr>
                <w:color w:val="auto"/>
                <w:kern w:val="0"/>
                <w:sz w:val="21"/>
                <w:szCs w:val="21"/>
              </w:rPr>
            </w:pPr>
            <w:r>
              <w:rPr>
                <w:color w:val="auto"/>
                <w:kern w:val="0"/>
                <w:sz w:val="21"/>
                <w:szCs w:val="21"/>
              </w:rPr>
              <w:t>区域</w:t>
            </w:r>
          </w:p>
          <w:p w14:paraId="66D31DEF">
            <w:pPr>
              <w:adjustRightInd w:val="0"/>
              <w:snapToGrid w:val="0"/>
              <w:jc w:val="center"/>
              <w:rPr>
                <w:color w:val="auto"/>
                <w:kern w:val="0"/>
                <w:sz w:val="21"/>
                <w:szCs w:val="21"/>
              </w:rPr>
            </w:pPr>
            <w:r>
              <w:rPr>
                <w:color w:val="auto"/>
                <w:kern w:val="0"/>
                <w:sz w:val="21"/>
                <w:szCs w:val="21"/>
              </w:rPr>
              <w:t>环境</w:t>
            </w:r>
          </w:p>
          <w:p w14:paraId="1CCCDED6">
            <w:pPr>
              <w:adjustRightInd w:val="0"/>
              <w:snapToGrid w:val="0"/>
              <w:jc w:val="center"/>
              <w:rPr>
                <w:color w:val="auto"/>
                <w:kern w:val="0"/>
                <w:sz w:val="21"/>
                <w:szCs w:val="21"/>
              </w:rPr>
            </w:pPr>
            <w:r>
              <w:rPr>
                <w:color w:val="auto"/>
                <w:kern w:val="0"/>
                <w:sz w:val="21"/>
                <w:szCs w:val="21"/>
              </w:rPr>
              <w:t>质量</w:t>
            </w:r>
          </w:p>
          <w:p w14:paraId="62F84082">
            <w:pPr>
              <w:adjustRightInd w:val="0"/>
              <w:snapToGrid w:val="0"/>
              <w:jc w:val="center"/>
              <w:rPr>
                <w:color w:val="auto"/>
                <w:kern w:val="0"/>
                <w:sz w:val="21"/>
                <w:szCs w:val="21"/>
              </w:rPr>
            </w:pPr>
            <w:r>
              <w:rPr>
                <w:color w:val="auto"/>
                <w:kern w:val="0"/>
                <w:sz w:val="21"/>
                <w:szCs w:val="21"/>
              </w:rPr>
              <w:t>现状</w:t>
            </w:r>
          </w:p>
        </w:tc>
        <w:tc>
          <w:tcPr>
            <w:tcW w:w="8190" w:type="dxa"/>
            <w:noWrap w:val="0"/>
            <w:vAlign w:val="center"/>
          </w:tcPr>
          <w:p w14:paraId="0B42FA56">
            <w:pPr>
              <w:pStyle w:val="4"/>
              <w:spacing w:before="0" w:after="0" w:line="360" w:lineRule="auto"/>
              <w:ind w:left="420" w:leftChars="200"/>
              <w:rPr>
                <w:rFonts w:ascii="Times New Roman" w:hAnsi="Times New Roman"/>
                <w:color w:val="auto"/>
                <w:sz w:val="21"/>
                <w:szCs w:val="21"/>
                <w:lang w:val="en-US" w:eastAsia="zh-CN"/>
              </w:rPr>
            </w:pPr>
            <w:r>
              <w:rPr>
                <w:rFonts w:ascii="Times New Roman" w:hAnsi="Times New Roman"/>
                <w:color w:val="auto"/>
                <w:sz w:val="21"/>
                <w:szCs w:val="21"/>
                <w:lang w:val="en-US" w:eastAsia="zh-CN"/>
              </w:rPr>
              <w:t>1、大气环境</w:t>
            </w:r>
          </w:p>
          <w:p w14:paraId="306B1A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 w:val="21"/>
                <w:szCs w:val="21"/>
              </w:rPr>
            </w:pPr>
            <w:r>
              <w:rPr>
                <w:color w:val="auto"/>
                <w:sz w:val="21"/>
                <w:szCs w:val="21"/>
              </w:rPr>
              <w:t>根据《环境影响评价技术导则 大气环境》（HJ2.2-2018），项目所在区域达标情况判定优先采用国家或地方生态环境主管部门公开发布的环境质量公告或环境质量报告中的数据和结论。根据《</w:t>
            </w:r>
            <w:r>
              <w:rPr>
                <w:rFonts w:hint="eastAsia"/>
                <w:color w:val="auto"/>
                <w:sz w:val="21"/>
                <w:szCs w:val="21"/>
                <w:lang w:eastAsia="zh-CN"/>
              </w:rPr>
              <w:t>南通市生态环境状况公报</w:t>
            </w:r>
            <w:r>
              <w:rPr>
                <w:color w:val="auto"/>
                <w:sz w:val="21"/>
                <w:szCs w:val="21"/>
              </w:rPr>
              <w:t>》（20</w:t>
            </w:r>
            <w:r>
              <w:rPr>
                <w:rFonts w:hint="eastAsia"/>
                <w:color w:val="auto"/>
                <w:sz w:val="21"/>
                <w:szCs w:val="21"/>
                <w:lang w:val="en-US" w:eastAsia="zh-CN"/>
              </w:rPr>
              <w:t>23年</w:t>
            </w:r>
            <w:r>
              <w:rPr>
                <w:color w:val="auto"/>
                <w:sz w:val="21"/>
                <w:szCs w:val="21"/>
              </w:rPr>
              <w:t>），</w:t>
            </w:r>
            <w:r>
              <w:rPr>
                <w:rFonts w:hint="eastAsia"/>
                <w:color w:val="auto"/>
                <w:sz w:val="21"/>
                <w:szCs w:val="21"/>
                <w:lang w:eastAsia="zh-CN"/>
              </w:rPr>
              <w:t>南通市</w:t>
            </w:r>
            <w:r>
              <w:rPr>
                <w:color w:val="auto"/>
                <w:sz w:val="21"/>
                <w:szCs w:val="21"/>
              </w:rPr>
              <w:t>海门</w:t>
            </w:r>
            <w:r>
              <w:rPr>
                <w:rFonts w:hint="eastAsia"/>
                <w:color w:val="auto"/>
                <w:sz w:val="21"/>
                <w:szCs w:val="21"/>
                <w:lang w:eastAsia="zh-CN"/>
              </w:rPr>
              <w:t>区空气环境质量现状见表</w:t>
            </w:r>
            <w:r>
              <w:rPr>
                <w:color w:val="auto"/>
                <w:sz w:val="21"/>
                <w:szCs w:val="21"/>
              </w:rPr>
              <w:t>3-1。</w:t>
            </w:r>
          </w:p>
          <w:p w14:paraId="54B4D30B">
            <w:pPr>
              <w:autoSpaceDE w:val="0"/>
              <w:autoSpaceDN w:val="0"/>
              <w:adjustRightInd w:val="0"/>
              <w:spacing w:line="360" w:lineRule="auto"/>
              <w:ind w:firstLine="48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表3-1  大气环境质量现状监测     单位：μg/m</w:t>
            </w:r>
            <w:r>
              <w:rPr>
                <w:rFonts w:hint="default" w:ascii="Times New Roman" w:hAnsi="Times New Roman" w:cs="Times New Roman"/>
                <w:b/>
                <w:bCs/>
                <w:color w:val="auto"/>
                <w:sz w:val="21"/>
                <w:szCs w:val="21"/>
                <w:vertAlign w:val="superscript"/>
              </w:rPr>
              <w:t>3</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671"/>
              <w:gridCol w:w="948"/>
              <w:gridCol w:w="1144"/>
              <w:gridCol w:w="1071"/>
              <w:gridCol w:w="1238"/>
            </w:tblGrid>
            <w:tr w14:paraId="7BA25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6C44905C">
                  <w:pPr>
                    <w:spacing w:line="44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674" w:type="pct"/>
                  <w:noWrap w:val="0"/>
                  <w:vAlign w:val="center"/>
                </w:tcPr>
                <w:p w14:paraId="39788433">
                  <w:pPr>
                    <w:spacing w:line="44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年评价指标</w:t>
                  </w:r>
                </w:p>
              </w:tc>
              <w:tc>
                <w:tcPr>
                  <w:tcW w:w="594" w:type="pct"/>
                  <w:noWrap w:val="0"/>
                  <w:vAlign w:val="center"/>
                </w:tcPr>
                <w:p w14:paraId="782204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结果μg/m</w:t>
                  </w:r>
                  <w:r>
                    <w:rPr>
                      <w:rFonts w:hint="default" w:ascii="Times New Roman" w:hAnsi="Times New Roman" w:cs="Times New Roman"/>
                      <w:b/>
                      <w:bCs/>
                      <w:color w:val="auto"/>
                      <w:sz w:val="21"/>
                      <w:szCs w:val="21"/>
                      <w:vertAlign w:val="superscript"/>
                    </w:rPr>
                    <w:t>3</w:t>
                  </w:r>
                </w:p>
              </w:tc>
              <w:tc>
                <w:tcPr>
                  <w:tcW w:w="717" w:type="pct"/>
                  <w:noWrap w:val="0"/>
                  <w:vAlign w:val="center"/>
                </w:tcPr>
                <w:p w14:paraId="19F7F8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标准值μg/m</w:t>
                  </w:r>
                  <w:r>
                    <w:rPr>
                      <w:rFonts w:hint="default" w:ascii="Times New Roman" w:hAnsi="Times New Roman" w:cs="Times New Roman"/>
                      <w:b/>
                      <w:bCs/>
                      <w:color w:val="auto"/>
                      <w:sz w:val="21"/>
                      <w:szCs w:val="21"/>
                      <w:vertAlign w:val="superscript"/>
                    </w:rPr>
                    <w:t>3</w:t>
                  </w:r>
                </w:p>
              </w:tc>
              <w:tc>
                <w:tcPr>
                  <w:tcW w:w="671" w:type="pct"/>
                  <w:noWrap w:val="0"/>
                  <w:vAlign w:val="center"/>
                </w:tcPr>
                <w:p w14:paraId="04A56B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超标倍数</w:t>
                  </w:r>
                  <w:r>
                    <w:rPr>
                      <w:rFonts w:hint="default" w:ascii="Times New Roman" w:hAnsi="Times New Roman" w:cs="Times New Roman"/>
                      <w:b/>
                      <w:bCs/>
                      <w:color w:val="auto"/>
                      <w:sz w:val="21"/>
                      <w:szCs w:val="21"/>
                    </w:rPr>
                    <w:t>%</w:t>
                  </w:r>
                </w:p>
              </w:tc>
              <w:tc>
                <w:tcPr>
                  <w:tcW w:w="776" w:type="pct"/>
                  <w:noWrap w:val="0"/>
                  <w:vAlign w:val="center"/>
                </w:tcPr>
                <w:p w14:paraId="32D99B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达标情况</w:t>
                  </w:r>
                </w:p>
              </w:tc>
            </w:tr>
            <w:tr w14:paraId="29D121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02F0A57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674" w:type="pct"/>
                  <w:noWrap w:val="0"/>
                  <w:vAlign w:val="center"/>
                </w:tcPr>
                <w:p w14:paraId="13644C2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p>
              </w:tc>
              <w:tc>
                <w:tcPr>
                  <w:tcW w:w="948" w:type="dxa"/>
                  <w:noWrap w:val="0"/>
                  <w:vAlign w:val="center"/>
                </w:tcPr>
                <w:p w14:paraId="5C68DD34">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9</w:t>
                  </w:r>
                </w:p>
              </w:tc>
              <w:tc>
                <w:tcPr>
                  <w:tcW w:w="717" w:type="pct"/>
                  <w:noWrap w:val="0"/>
                  <w:vAlign w:val="center"/>
                </w:tcPr>
                <w:p w14:paraId="6D4D515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671" w:type="pct"/>
                  <w:noWrap w:val="0"/>
                  <w:vAlign w:val="center"/>
                </w:tcPr>
                <w:p w14:paraId="6C1FBB50">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776" w:type="pct"/>
                  <w:noWrap w:val="0"/>
                  <w:vAlign w:val="center"/>
                </w:tcPr>
                <w:p w14:paraId="0916310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766CA5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4784836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1674" w:type="pct"/>
                  <w:noWrap w:val="0"/>
                  <w:vAlign w:val="center"/>
                </w:tcPr>
                <w:p w14:paraId="468F5AF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p>
              </w:tc>
              <w:tc>
                <w:tcPr>
                  <w:tcW w:w="948" w:type="dxa"/>
                  <w:noWrap w:val="0"/>
                  <w:vAlign w:val="center"/>
                </w:tcPr>
                <w:p w14:paraId="0EFB4761">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717" w:type="pct"/>
                  <w:noWrap w:val="0"/>
                  <w:vAlign w:val="center"/>
                </w:tcPr>
                <w:p w14:paraId="73E0601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671" w:type="pct"/>
                  <w:noWrap w:val="0"/>
                  <w:vAlign w:val="center"/>
                </w:tcPr>
                <w:p w14:paraId="0648FBCD">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776" w:type="pct"/>
                  <w:noWrap w:val="0"/>
                  <w:vAlign w:val="center"/>
                </w:tcPr>
                <w:p w14:paraId="33ED1DD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7EB63E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2D69759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1674" w:type="pct"/>
                  <w:noWrap w:val="0"/>
                  <w:vAlign w:val="center"/>
                </w:tcPr>
                <w:p w14:paraId="567DDC6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p>
              </w:tc>
              <w:tc>
                <w:tcPr>
                  <w:tcW w:w="948" w:type="dxa"/>
                  <w:noWrap w:val="0"/>
                  <w:vAlign w:val="center"/>
                </w:tcPr>
                <w:p w14:paraId="7105D21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45</w:t>
                  </w:r>
                </w:p>
              </w:tc>
              <w:tc>
                <w:tcPr>
                  <w:tcW w:w="717" w:type="pct"/>
                  <w:noWrap w:val="0"/>
                  <w:vAlign w:val="center"/>
                </w:tcPr>
                <w:p w14:paraId="2B40AC0E">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671" w:type="pct"/>
                  <w:noWrap w:val="0"/>
                  <w:vAlign w:val="center"/>
                </w:tcPr>
                <w:p w14:paraId="2F0D6B64">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776" w:type="pct"/>
                  <w:noWrap w:val="0"/>
                  <w:vAlign w:val="center"/>
                </w:tcPr>
                <w:p w14:paraId="3E74F74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0057D0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722DDF2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1674" w:type="pct"/>
                  <w:noWrap w:val="0"/>
                  <w:vAlign w:val="center"/>
                </w:tcPr>
                <w:p w14:paraId="38FD3BB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p>
              </w:tc>
              <w:tc>
                <w:tcPr>
                  <w:tcW w:w="948" w:type="dxa"/>
                  <w:noWrap w:val="0"/>
                  <w:vAlign w:val="center"/>
                </w:tcPr>
                <w:p w14:paraId="68988831">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27</w:t>
                  </w:r>
                </w:p>
              </w:tc>
              <w:tc>
                <w:tcPr>
                  <w:tcW w:w="717" w:type="pct"/>
                  <w:noWrap w:val="0"/>
                  <w:vAlign w:val="center"/>
                </w:tcPr>
                <w:p w14:paraId="01A830D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671" w:type="pct"/>
                  <w:noWrap w:val="0"/>
                  <w:vAlign w:val="center"/>
                </w:tcPr>
                <w:p w14:paraId="5C65A1C7">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776" w:type="pct"/>
                  <w:noWrap w:val="0"/>
                  <w:vAlign w:val="center"/>
                </w:tcPr>
                <w:p w14:paraId="4C701EC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237EF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27D05A0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w:t>
                  </w:r>
                </w:p>
              </w:tc>
              <w:tc>
                <w:tcPr>
                  <w:tcW w:w="1674" w:type="pct"/>
                  <w:noWrap w:val="0"/>
                  <w:vAlign w:val="center"/>
                </w:tcPr>
                <w:p w14:paraId="72E9DB8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24小时平均第95百分位数</w:t>
                  </w:r>
                </w:p>
              </w:tc>
              <w:tc>
                <w:tcPr>
                  <w:tcW w:w="948" w:type="dxa"/>
                  <w:noWrap w:val="0"/>
                  <w:vAlign w:val="center"/>
                </w:tcPr>
                <w:p w14:paraId="2E9CE63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1000</w:t>
                  </w:r>
                </w:p>
              </w:tc>
              <w:tc>
                <w:tcPr>
                  <w:tcW w:w="717" w:type="pct"/>
                  <w:noWrap w:val="0"/>
                  <w:vAlign w:val="center"/>
                </w:tcPr>
                <w:p w14:paraId="39B4B75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4000</w:t>
                  </w:r>
                </w:p>
              </w:tc>
              <w:tc>
                <w:tcPr>
                  <w:tcW w:w="671" w:type="pct"/>
                  <w:noWrap w:val="0"/>
                  <w:vAlign w:val="center"/>
                </w:tcPr>
                <w:p w14:paraId="4BA6E1A8">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776" w:type="pct"/>
                  <w:noWrap w:val="0"/>
                  <w:vAlign w:val="center"/>
                </w:tcPr>
                <w:p w14:paraId="2776934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6284D0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65" w:type="pct"/>
                  <w:noWrap w:val="0"/>
                  <w:vAlign w:val="center"/>
                </w:tcPr>
                <w:p w14:paraId="6C4B8CBE">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3</w:t>
                  </w:r>
                </w:p>
              </w:tc>
              <w:tc>
                <w:tcPr>
                  <w:tcW w:w="1674" w:type="pct"/>
                  <w:noWrap w:val="0"/>
                  <w:vAlign w:val="center"/>
                </w:tcPr>
                <w:p w14:paraId="41F1A18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日最大</w:t>
                  </w:r>
                  <w:r>
                    <w:rPr>
                      <w:rFonts w:hint="default" w:ascii="Times New Roman" w:hAnsi="Times New Roman" w:cs="Times New Roman"/>
                      <w:color w:val="auto"/>
                      <w:sz w:val="21"/>
                      <w:szCs w:val="21"/>
                    </w:rPr>
                    <w:t>8小时</w:t>
                  </w:r>
                  <w:r>
                    <w:rPr>
                      <w:rFonts w:hint="default" w:ascii="Times New Roman" w:hAnsi="Times New Roman" w:cs="Times New Roman"/>
                      <w:color w:val="auto"/>
                      <w:sz w:val="21"/>
                      <w:szCs w:val="21"/>
                      <w:lang w:eastAsia="zh-CN"/>
                    </w:rPr>
                    <w:t>滑动平均值</w:t>
                  </w:r>
                  <w:r>
                    <w:rPr>
                      <w:rFonts w:hint="default" w:ascii="Times New Roman" w:hAnsi="Times New Roman" w:cs="Times New Roman"/>
                      <w:color w:val="auto"/>
                      <w:sz w:val="21"/>
                      <w:szCs w:val="21"/>
                    </w:rPr>
                    <w:t>第90百分位数</w:t>
                  </w:r>
                </w:p>
              </w:tc>
              <w:tc>
                <w:tcPr>
                  <w:tcW w:w="948" w:type="dxa"/>
                  <w:noWrap w:val="0"/>
                  <w:vAlign w:val="center"/>
                </w:tcPr>
                <w:p w14:paraId="2C76851F">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168</w:t>
                  </w:r>
                </w:p>
              </w:tc>
              <w:tc>
                <w:tcPr>
                  <w:tcW w:w="717" w:type="pct"/>
                  <w:noWrap w:val="0"/>
                  <w:vAlign w:val="center"/>
                </w:tcPr>
                <w:p w14:paraId="020F1EB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671" w:type="pct"/>
                  <w:noWrap w:val="0"/>
                  <w:vAlign w:val="center"/>
                </w:tcPr>
                <w:p w14:paraId="05DDB0A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105</w:t>
                  </w:r>
                </w:p>
              </w:tc>
              <w:tc>
                <w:tcPr>
                  <w:tcW w:w="776" w:type="pct"/>
                  <w:noWrap w:val="0"/>
                  <w:vAlign w:val="center"/>
                </w:tcPr>
                <w:p w14:paraId="6981D152">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超标</w:t>
                  </w:r>
                </w:p>
              </w:tc>
            </w:tr>
          </w:tbl>
          <w:p w14:paraId="7E38CCE3">
            <w:pPr>
              <w:autoSpaceDE w:val="0"/>
              <w:autoSpaceDN w:val="0"/>
              <w:adjustRightInd w:val="0"/>
              <w:spacing w:line="360" w:lineRule="auto"/>
              <w:ind w:firstLine="482"/>
              <w:jc w:val="center"/>
              <w:rPr>
                <w:rFonts w:hint="eastAsia" w:cs="Times New Roman"/>
                <w:color w:val="auto"/>
                <w:sz w:val="21"/>
                <w:szCs w:val="21"/>
                <w:lang w:val="en-US" w:eastAsia="zh-CN"/>
              </w:rPr>
            </w:pPr>
            <w:r>
              <w:rPr>
                <w:rFonts w:hint="eastAsia" w:cs="Times New Roman"/>
                <w:color w:val="auto"/>
                <w:sz w:val="21"/>
                <w:szCs w:val="21"/>
                <w:lang w:val="en-US" w:eastAsia="zh-CN"/>
              </w:rPr>
              <w:t>本项目特征因子为氮氧化物，引用《上海电气集团恒羲光伏科支（南通）有限公司年产1.2GW高效异质结光伏电池以及1.2GW光伏组件新建项目环境影响评价报告书》中</w:t>
            </w:r>
          </w:p>
          <w:p w14:paraId="0D7F908C">
            <w:pPr>
              <w:autoSpaceDE w:val="0"/>
              <w:autoSpaceDN w:val="0"/>
              <w:adjustRightInd w:val="0"/>
              <w:spacing w:line="360" w:lineRule="auto"/>
              <w:jc w:val="both"/>
              <w:rPr>
                <w:rFonts w:hint="eastAsia" w:cs="Times New Roman"/>
                <w:color w:val="auto"/>
                <w:sz w:val="21"/>
                <w:szCs w:val="21"/>
                <w:lang w:val="en-US" w:eastAsia="zh-CN"/>
              </w:rPr>
            </w:pPr>
            <w:r>
              <w:rPr>
                <w:rFonts w:hint="eastAsia" w:cs="Times New Roman"/>
                <w:color w:val="auto"/>
                <w:sz w:val="21"/>
                <w:szCs w:val="21"/>
                <w:lang w:val="en-US" w:eastAsia="zh-CN"/>
              </w:rPr>
              <w:t>项目所在地（位于苏州路南、扬子江路西，本项目西北侧2.3km处，监测时间2023.7.19- 2023.7.25）的监测数据。</w:t>
            </w:r>
          </w:p>
          <w:p w14:paraId="0715E851">
            <w:pPr>
              <w:autoSpaceDE w:val="0"/>
              <w:autoSpaceDN w:val="0"/>
              <w:adjustRightInd w:val="0"/>
              <w:spacing w:line="360" w:lineRule="auto"/>
              <w:ind w:firstLine="482"/>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大气环境质量现状监测     单位：</w:t>
            </w:r>
            <w:r>
              <w:rPr>
                <w:rFonts w:hint="eastAsia" w:ascii="Times New Roman" w:hAnsi="Times New Roman" w:cs="Times New Roman"/>
                <w:b/>
                <w:bCs/>
                <w:color w:val="auto"/>
                <w:sz w:val="21"/>
                <w:szCs w:val="21"/>
                <w:vertAlign w:val="baseline"/>
                <w:lang w:val="en-US" w:eastAsia="zh-CN"/>
              </w:rPr>
              <w:t>mg/m</w:t>
            </w:r>
            <w:r>
              <w:rPr>
                <w:rFonts w:hint="eastAsia" w:ascii="Times New Roman" w:hAnsi="Times New Roman" w:cs="Times New Roman"/>
                <w:b/>
                <w:bCs/>
                <w:color w:val="auto"/>
                <w:sz w:val="21"/>
                <w:szCs w:val="21"/>
                <w:vertAlign w:val="superscript"/>
                <w:lang w:val="en-US" w:eastAsia="zh-CN"/>
              </w:rPr>
              <w:t>3</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86"/>
              <w:gridCol w:w="886"/>
              <w:gridCol w:w="752"/>
              <w:gridCol w:w="750"/>
              <w:gridCol w:w="1170"/>
              <w:gridCol w:w="1110"/>
              <w:gridCol w:w="870"/>
              <w:gridCol w:w="664"/>
            </w:tblGrid>
            <w:tr w14:paraId="283153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vMerge w:val="restart"/>
                  <w:tcBorders>
                    <w:tl2br w:val="nil"/>
                    <w:tr2bl w:val="nil"/>
                  </w:tcBorders>
                  <w:vAlign w:val="center"/>
                </w:tcPr>
                <w:p w14:paraId="75F55820">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监测点编号</w:t>
                  </w:r>
                </w:p>
              </w:tc>
              <w:tc>
                <w:tcPr>
                  <w:tcW w:w="1772" w:type="dxa"/>
                  <w:gridSpan w:val="2"/>
                  <w:tcBorders>
                    <w:tl2br w:val="nil"/>
                    <w:tr2bl w:val="nil"/>
                  </w:tcBorders>
                  <w:vAlign w:val="center"/>
                </w:tcPr>
                <w:p w14:paraId="70B25C98">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监测点位坐标</w:t>
                  </w:r>
                </w:p>
              </w:tc>
              <w:tc>
                <w:tcPr>
                  <w:tcW w:w="752" w:type="dxa"/>
                  <w:vMerge w:val="restart"/>
                  <w:tcBorders>
                    <w:tl2br w:val="nil"/>
                    <w:tr2bl w:val="nil"/>
                  </w:tcBorders>
                  <w:vAlign w:val="center"/>
                </w:tcPr>
                <w:p w14:paraId="2CB74DE2">
                  <w:pPr>
                    <w:autoSpaceDE w:val="0"/>
                    <w:autoSpaceDN w:val="0"/>
                    <w:adjustRightInd w:val="0"/>
                    <w:spacing w:line="240" w:lineRule="auto"/>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污染物</w:t>
                  </w:r>
                </w:p>
              </w:tc>
              <w:tc>
                <w:tcPr>
                  <w:tcW w:w="750" w:type="dxa"/>
                  <w:vMerge w:val="restart"/>
                  <w:tcBorders>
                    <w:tl2br w:val="nil"/>
                    <w:tr2bl w:val="nil"/>
                  </w:tcBorders>
                  <w:vAlign w:val="center"/>
                </w:tcPr>
                <w:p w14:paraId="48A8B684">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平均时间</w:t>
                  </w:r>
                </w:p>
              </w:tc>
              <w:tc>
                <w:tcPr>
                  <w:tcW w:w="1170" w:type="dxa"/>
                  <w:vMerge w:val="restart"/>
                  <w:tcBorders>
                    <w:tl2br w:val="nil"/>
                    <w:tr2bl w:val="nil"/>
                  </w:tcBorders>
                  <w:vAlign w:val="center"/>
                </w:tcPr>
                <w:p w14:paraId="588788C1">
                  <w:pPr>
                    <w:autoSpaceDE w:val="0"/>
                    <w:autoSpaceDN w:val="0"/>
                    <w:adjustRightInd w:val="0"/>
                    <w:spacing w:line="240" w:lineRule="auto"/>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评价标准（mg/m</w:t>
                  </w:r>
                  <w:r>
                    <w:rPr>
                      <w:rFonts w:hint="eastAsia" w:ascii="Times New Roman" w:hAnsi="Times New Roman" w:cs="Times New Roman"/>
                      <w:b/>
                      <w:bCs/>
                      <w:color w:val="auto"/>
                      <w:sz w:val="21"/>
                      <w:szCs w:val="21"/>
                      <w:vertAlign w:val="superscript"/>
                      <w:lang w:val="en-US" w:eastAsia="zh-CN"/>
                    </w:rPr>
                    <w:t>3</w:t>
                  </w:r>
                  <w:r>
                    <w:rPr>
                      <w:rFonts w:hint="eastAsia" w:ascii="Times New Roman" w:hAnsi="Times New Roman" w:cs="Times New Roman"/>
                      <w:b/>
                      <w:bCs/>
                      <w:color w:val="auto"/>
                      <w:sz w:val="21"/>
                      <w:szCs w:val="21"/>
                      <w:vertAlign w:val="baseline"/>
                      <w:lang w:val="en-US" w:eastAsia="zh-CN"/>
                    </w:rPr>
                    <w:t>）</w:t>
                  </w:r>
                </w:p>
              </w:tc>
              <w:tc>
                <w:tcPr>
                  <w:tcW w:w="1110" w:type="dxa"/>
                  <w:vMerge w:val="restart"/>
                  <w:tcBorders>
                    <w:tl2br w:val="nil"/>
                    <w:tr2bl w:val="nil"/>
                  </w:tcBorders>
                  <w:vAlign w:val="center"/>
                </w:tcPr>
                <w:p w14:paraId="0F900C59">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监测浓度范围（mg/m</w:t>
                  </w:r>
                  <w:r>
                    <w:rPr>
                      <w:rFonts w:hint="eastAsia" w:ascii="Times New Roman" w:hAnsi="Times New Roman" w:cs="Times New Roman"/>
                      <w:b/>
                      <w:bCs/>
                      <w:color w:val="auto"/>
                      <w:sz w:val="21"/>
                      <w:szCs w:val="21"/>
                      <w:vertAlign w:val="superscript"/>
                      <w:lang w:val="en-US" w:eastAsia="zh-CN"/>
                    </w:rPr>
                    <w:t>3</w:t>
                  </w:r>
                  <w:r>
                    <w:rPr>
                      <w:rFonts w:hint="eastAsia" w:ascii="Times New Roman" w:hAnsi="Times New Roman" w:cs="Times New Roman"/>
                      <w:b/>
                      <w:bCs/>
                      <w:color w:val="auto"/>
                      <w:sz w:val="21"/>
                      <w:szCs w:val="21"/>
                      <w:vertAlign w:val="baseline"/>
                      <w:lang w:val="en-US" w:eastAsia="zh-CN"/>
                    </w:rPr>
                    <w:t>）</w:t>
                  </w:r>
                </w:p>
              </w:tc>
              <w:tc>
                <w:tcPr>
                  <w:tcW w:w="870" w:type="dxa"/>
                  <w:vMerge w:val="restart"/>
                  <w:tcBorders>
                    <w:tl2br w:val="nil"/>
                    <w:tr2bl w:val="nil"/>
                  </w:tcBorders>
                  <w:vAlign w:val="center"/>
                </w:tcPr>
                <w:p w14:paraId="63ECC028">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最大浓度占标率</w:t>
                  </w:r>
                </w:p>
              </w:tc>
              <w:tc>
                <w:tcPr>
                  <w:tcW w:w="664" w:type="dxa"/>
                  <w:vMerge w:val="restart"/>
                  <w:tcBorders>
                    <w:tl2br w:val="nil"/>
                    <w:tr2bl w:val="nil"/>
                  </w:tcBorders>
                  <w:vAlign w:val="center"/>
                </w:tcPr>
                <w:p w14:paraId="5912F9C5">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达标情况</w:t>
                  </w:r>
                </w:p>
              </w:tc>
            </w:tr>
            <w:tr w14:paraId="4BEC32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vMerge w:val="continue"/>
                  <w:tcBorders>
                    <w:tl2br w:val="nil"/>
                    <w:tr2bl w:val="nil"/>
                  </w:tcBorders>
                  <w:vAlign w:val="center"/>
                </w:tcPr>
                <w:p w14:paraId="7A724A05">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886" w:type="dxa"/>
                  <w:tcBorders>
                    <w:tl2br w:val="nil"/>
                    <w:tr2bl w:val="nil"/>
                  </w:tcBorders>
                  <w:vAlign w:val="center"/>
                </w:tcPr>
                <w:p w14:paraId="139C452E">
                  <w:pPr>
                    <w:autoSpaceDE w:val="0"/>
                    <w:autoSpaceDN w:val="0"/>
                    <w:adjustRightInd w:val="0"/>
                    <w:spacing w:line="240" w:lineRule="auto"/>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E</w:t>
                  </w:r>
                </w:p>
              </w:tc>
              <w:tc>
                <w:tcPr>
                  <w:tcW w:w="886" w:type="dxa"/>
                  <w:tcBorders>
                    <w:tl2br w:val="nil"/>
                    <w:tr2bl w:val="nil"/>
                  </w:tcBorders>
                  <w:vAlign w:val="center"/>
                </w:tcPr>
                <w:p w14:paraId="72DAA0EA">
                  <w:pPr>
                    <w:autoSpaceDE w:val="0"/>
                    <w:autoSpaceDN w:val="0"/>
                    <w:adjustRightInd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N</w:t>
                  </w:r>
                </w:p>
              </w:tc>
              <w:tc>
                <w:tcPr>
                  <w:tcW w:w="752" w:type="dxa"/>
                  <w:vMerge w:val="continue"/>
                  <w:tcBorders>
                    <w:tl2br w:val="nil"/>
                    <w:tr2bl w:val="nil"/>
                  </w:tcBorders>
                  <w:vAlign w:val="center"/>
                </w:tcPr>
                <w:p w14:paraId="793C9A29">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750" w:type="dxa"/>
                  <w:vMerge w:val="continue"/>
                  <w:tcBorders>
                    <w:tl2br w:val="nil"/>
                    <w:tr2bl w:val="nil"/>
                  </w:tcBorders>
                  <w:vAlign w:val="center"/>
                </w:tcPr>
                <w:p w14:paraId="304E9AEF">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1170" w:type="dxa"/>
                  <w:vMerge w:val="continue"/>
                  <w:tcBorders>
                    <w:tl2br w:val="nil"/>
                    <w:tr2bl w:val="nil"/>
                  </w:tcBorders>
                  <w:vAlign w:val="center"/>
                </w:tcPr>
                <w:p w14:paraId="2EB86E15">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1110" w:type="dxa"/>
                  <w:vMerge w:val="continue"/>
                  <w:tcBorders>
                    <w:tl2br w:val="nil"/>
                    <w:tr2bl w:val="nil"/>
                  </w:tcBorders>
                  <w:vAlign w:val="center"/>
                </w:tcPr>
                <w:p w14:paraId="3B7E71C1">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870" w:type="dxa"/>
                  <w:vMerge w:val="continue"/>
                  <w:tcBorders>
                    <w:tl2br w:val="nil"/>
                    <w:tr2bl w:val="nil"/>
                  </w:tcBorders>
                  <w:vAlign w:val="center"/>
                </w:tcPr>
                <w:p w14:paraId="25DC1D9F">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c>
                <w:tcPr>
                  <w:tcW w:w="664" w:type="dxa"/>
                  <w:vMerge w:val="continue"/>
                  <w:tcBorders>
                    <w:tl2br w:val="nil"/>
                    <w:tr2bl w:val="nil"/>
                  </w:tcBorders>
                  <w:vAlign w:val="center"/>
                </w:tcPr>
                <w:p w14:paraId="4F90C610">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p>
              </w:tc>
            </w:tr>
            <w:tr w14:paraId="06948F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tcBorders>
                    <w:tl2br w:val="nil"/>
                    <w:tr2bl w:val="nil"/>
                  </w:tcBorders>
                  <w:vAlign w:val="center"/>
                </w:tcPr>
                <w:p w14:paraId="36B94B7A">
                  <w:pPr>
                    <w:autoSpaceDE w:val="0"/>
                    <w:autoSpaceDN w:val="0"/>
                    <w:adjustRightInd w:val="0"/>
                    <w:spacing w:line="240" w:lineRule="auto"/>
                    <w:jc w:val="center"/>
                    <w:rPr>
                      <w:rFonts w:hint="default" w:ascii="Times New Roman" w:hAnsi="Times New Roman" w:cs="Times New Roman"/>
                      <w:b w:val="0"/>
                      <w:bCs w:val="0"/>
                      <w:color w:val="auto"/>
                      <w:sz w:val="21"/>
                      <w:szCs w:val="21"/>
                      <w:vertAlign w:val="baseline"/>
                    </w:rPr>
                  </w:pPr>
                  <w:r>
                    <w:rPr>
                      <w:rFonts w:hint="eastAsia" w:cs="Times New Roman"/>
                      <w:color w:val="auto"/>
                      <w:sz w:val="21"/>
                      <w:szCs w:val="21"/>
                      <w:lang w:val="en-US" w:eastAsia="zh-CN"/>
                    </w:rPr>
                    <w:t>上海电气集团恒羲光伏科支（南通）有限公司</w:t>
                  </w:r>
                </w:p>
              </w:tc>
              <w:tc>
                <w:tcPr>
                  <w:tcW w:w="886" w:type="dxa"/>
                  <w:tcBorders>
                    <w:tl2br w:val="nil"/>
                    <w:tr2bl w:val="nil"/>
                  </w:tcBorders>
                  <w:vAlign w:val="center"/>
                </w:tcPr>
                <w:p w14:paraId="73634671">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121.109563</w:t>
                  </w:r>
                </w:p>
              </w:tc>
              <w:tc>
                <w:tcPr>
                  <w:tcW w:w="886" w:type="dxa"/>
                  <w:tcBorders>
                    <w:tl2br w:val="nil"/>
                    <w:tr2bl w:val="nil"/>
                  </w:tcBorders>
                  <w:vAlign w:val="center"/>
                </w:tcPr>
                <w:p w14:paraId="09C43E44">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31.824368</w:t>
                  </w:r>
                </w:p>
              </w:tc>
              <w:tc>
                <w:tcPr>
                  <w:tcW w:w="752" w:type="dxa"/>
                  <w:tcBorders>
                    <w:tl2br w:val="nil"/>
                    <w:tr2bl w:val="nil"/>
                  </w:tcBorders>
                  <w:vAlign w:val="center"/>
                </w:tcPr>
                <w:p w14:paraId="1D99F1CA">
                  <w:pPr>
                    <w:autoSpaceDE w:val="0"/>
                    <w:autoSpaceDN w:val="0"/>
                    <w:adjustRightInd w:val="0"/>
                    <w:spacing w:line="240" w:lineRule="auto"/>
                    <w:jc w:val="center"/>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氮氧化物</w:t>
                  </w:r>
                </w:p>
              </w:tc>
              <w:tc>
                <w:tcPr>
                  <w:tcW w:w="750" w:type="dxa"/>
                  <w:tcBorders>
                    <w:tl2br w:val="nil"/>
                    <w:tr2bl w:val="nil"/>
                  </w:tcBorders>
                  <w:vAlign w:val="center"/>
                </w:tcPr>
                <w:p w14:paraId="3C24851C">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1h</w:t>
                  </w:r>
                </w:p>
              </w:tc>
              <w:tc>
                <w:tcPr>
                  <w:tcW w:w="1170" w:type="dxa"/>
                  <w:tcBorders>
                    <w:tl2br w:val="nil"/>
                    <w:tr2bl w:val="nil"/>
                  </w:tcBorders>
                  <w:vAlign w:val="center"/>
                </w:tcPr>
                <w:p w14:paraId="027BB77E">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0.25</w:t>
                  </w:r>
                </w:p>
              </w:tc>
              <w:tc>
                <w:tcPr>
                  <w:tcW w:w="1110" w:type="dxa"/>
                  <w:tcBorders>
                    <w:tl2br w:val="nil"/>
                    <w:tr2bl w:val="nil"/>
                  </w:tcBorders>
                  <w:vAlign w:val="center"/>
                </w:tcPr>
                <w:p w14:paraId="33A3F014">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0.016-0.050</w:t>
                  </w:r>
                </w:p>
              </w:tc>
              <w:tc>
                <w:tcPr>
                  <w:tcW w:w="870" w:type="dxa"/>
                  <w:tcBorders>
                    <w:tl2br w:val="nil"/>
                    <w:tr2bl w:val="nil"/>
                  </w:tcBorders>
                  <w:vAlign w:val="center"/>
                </w:tcPr>
                <w:p w14:paraId="2E8D9973">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664" w:type="dxa"/>
                  <w:tcBorders>
                    <w:tl2br w:val="nil"/>
                    <w:tr2bl w:val="nil"/>
                  </w:tcBorders>
                  <w:vAlign w:val="center"/>
                </w:tcPr>
                <w:p w14:paraId="35FD99A4">
                  <w:pPr>
                    <w:autoSpaceDE w:val="0"/>
                    <w:autoSpaceDN w:val="0"/>
                    <w:adjustRightInd w:val="0"/>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达标</w:t>
                  </w:r>
                </w:p>
              </w:tc>
            </w:tr>
          </w:tbl>
          <w:p w14:paraId="35E1DC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根据大气环境功能区划，项目所在地区为二类区，大气环境质量执行《环境空气质量标准》（</w:t>
            </w:r>
            <w:r>
              <w:rPr>
                <w:rFonts w:hint="default" w:ascii="Times New Roman" w:hAnsi="Times New Roman" w:eastAsia="宋体" w:cs="Times New Roman"/>
                <w:color w:val="auto"/>
                <w:sz w:val="21"/>
                <w:szCs w:val="21"/>
                <w:lang w:val="en-US" w:eastAsia="zh-CN"/>
              </w:rPr>
              <w:t>GB3095-2012</w:t>
            </w:r>
            <w:r>
              <w:rPr>
                <w:rFonts w:hint="eastAsia" w:ascii="Times New Roman" w:hAnsi="Times New Roman" w:eastAsia="宋体" w:cs="Times New Roman"/>
                <w:color w:val="auto"/>
                <w:sz w:val="21"/>
                <w:szCs w:val="21"/>
                <w:lang w:val="en-US" w:eastAsia="zh-CN"/>
              </w:rPr>
              <w:t>）中的二级标准。</w:t>
            </w:r>
          </w:p>
          <w:p w14:paraId="12D0A7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本项目所在区域SO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、CO、PM</w:t>
            </w:r>
            <w:r>
              <w:rPr>
                <w:rFonts w:hint="default" w:ascii="Times New Roman" w:hAnsi="Times New Roman" w:eastAsia="宋体" w:cs="Times New Roman"/>
                <w:color w:val="auto"/>
                <w:sz w:val="21"/>
                <w:szCs w:val="21"/>
                <w:vertAlign w:val="subscript"/>
                <w:lang w:val="en-US" w:eastAsia="zh-CN"/>
              </w:rPr>
              <w:t>2.5</w:t>
            </w:r>
            <w:r>
              <w:rPr>
                <w:rFonts w:hint="default" w:ascii="Times New Roman" w:hAnsi="Times New Roman" w:eastAsia="宋体" w:cs="Times New Roman"/>
                <w:color w:val="auto"/>
                <w:sz w:val="21"/>
                <w:szCs w:val="21"/>
                <w:lang w:val="en-US" w:eastAsia="zh-CN"/>
              </w:rPr>
              <w:t>及PM</w:t>
            </w:r>
            <w:r>
              <w:rPr>
                <w:rFonts w:hint="default" w:ascii="Times New Roman" w:hAnsi="Times New Roman" w:eastAsia="宋体" w:cs="Times New Roman"/>
                <w:color w:val="auto"/>
                <w:sz w:val="21"/>
                <w:szCs w:val="21"/>
                <w:vertAlign w:val="subscript"/>
                <w:lang w:val="en-US" w:eastAsia="zh-CN"/>
              </w:rPr>
              <w:t>10</w:t>
            </w:r>
            <w:r>
              <w:rPr>
                <w:rFonts w:hint="default" w:ascii="Times New Roman" w:hAnsi="Times New Roman" w:eastAsia="宋体" w:cs="Times New Roman"/>
                <w:color w:val="auto"/>
                <w:sz w:val="21"/>
                <w:szCs w:val="21"/>
                <w:lang w:val="en-US" w:eastAsia="zh-CN"/>
              </w:rPr>
              <w:t>相关指标符合《环境空气质量标准》（GB3095-2012）二级标准，O</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的日最大8小时滑动平均值第90百分位数浓度超过《环境空气质量标准》（GB3095-2012）二级标准浓度限值。因此区域属于大气环境质量不达标区，</w:t>
            </w:r>
            <w:r>
              <w:rPr>
                <w:rFonts w:hint="default" w:ascii="Times New Roman" w:hAnsi="Times New Roman" w:cs="Times New Roman"/>
                <w:color w:val="auto"/>
                <w:kern w:val="0"/>
                <w:lang w:val="zh-CN"/>
              </w:rPr>
              <w:t>坚持生态优先、绿色发展，推进大气环境治理体系和治理能力现代化建设。突出源头治理，坚持精准治污、科学治污、依法治污，强化减污降碳协同、臭氧和PM</w:t>
            </w:r>
            <w:r>
              <w:rPr>
                <w:rFonts w:hint="default" w:ascii="Times New Roman" w:hAnsi="Times New Roman" w:cs="Times New Roman"/>
                <w:color w:val="auto"/>
                <w:kern w:val="0"/>
                <w:vertAlign w:val="subscript"/>
                <w:lang w:val="zh-CN"/>
              </w:rPr>
              <w:t>2.5</w:t>
            </w:r>
            <w:r>
              <w:rPr>
                <w:rFonts w:hint="default" w:ascii="Times New Roman" w:hAnsi="Times New Roman" w:cs="Times New Roman"/>
                <w:color w:val="auto"/>
                <w:kern w:val="0"/>
                <w:lang w:val="zh-CN"/>
              </w:rPr>
              <w:t>防治协同、区域联防联控协同“三大协同”，持续改善环境空气质量</w:t>
            </w:r>
            <w:r>
              <w:rPr>
                <w:rFonts w:hint="default" w:ascii="Times New Roman" w:hAnsi="Times New Roman" w:eastAsia="宋体" w:cs="Times New Roman"/>
                <w:color w:val="auto"/>
                <w:sz w:val="21"/>
                <w:szCs w:val="21"/>
                <w:lang w:val="en-US" w:eastAsia="zh-CN"/>
              </w:rPr>
              <w:t>。</w:t>
            </w:r>
          </w:p>
          <w:p w14:paraId="573878B5">
            <w:pPr>
              <w:pStyle w:val="4"/>
              <w:spacing w:before="0" w:after="0" w:line="360" w:lineRule="auto"/>
              <w:ind w:left="420" w:leftChars="200"/>
              <w:rPr>
                <w:rFonts w:ascii="Times New Roman" w:hAnsi="Times New Roman"/>
                <w:color w:val="auto"/>
                <w:sz w:val="21"/>
                <w:szCs w:val="21"/>
                <w:lang w:val="en-US" w:eastAsia="zh-CN"/>
              </w:rPr>
            </w:pPr>
            <w:r>
              <w:rPr>
                <w:rFonts w:ascii="Times New Roman" w:hAnsi="Times New Roman"/>
                <w:color w:val="auto"/>
                <w:sz w:val="21"/>
                <w:szCs w:val="21"/>
                <w:lang w:val="en-US" w:eastAsia="zh-CN"/>
              </w:rPr>
              <w:t>2、地表水环境</w:t>
            </w:r>
          </w:p>
          <w:p w14:paraId="5E0BCF9A">
            <w:pPr>
              <w:spacing w:line="360" w:lineRule="auto"/>
              <w:ind w:firstLine="420" w:firstLineChars="20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根据《</w:t>
            </w:r>
            <w:r>
              <w:rPr>
                <w:rFonts w:hint="default" w:ascii="Times New Roman" w:hAnsi="Times New Roman" w:cs="Times New Roman"/>
                <w:color w:val="auto"/>
                <w:sz w:val="21"/>
                <w:szCs w:val="21"/>
                <w:lang w:eastAsia="zh-CN"/>
              </w:rPr>
              <w:t>南通市生态环境状况公报</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val="en-US" w:eastAsia="zh-CN"/>
              </w:rPr>
              <w:t>23年</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全市均以长江水作为饮用水源，市区狼山水厂、海门水厂水源地符合地表水Ⅲ类及以上标准，水质优良。全市共计年取水量8.15亿吨，饮用水源地水质达标率均为100%。</w:t>
            </w:r>
          </w:p>
          <w:p w14:paraId="42CFAC7A">
            <w:pPr>
              <w:spacing w:line="360" w:lineRule="auto"/>
              <w:ind w:firstLine="420" w:firstLineChars="20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2023年，长江（南通段）水质为</w:t>
            </w:r>
            <w:r>
              <w:rPr>
                <w:rFonts w:hint="default" w:ascii="Times New Roman" w:hAnsi="Times New Roman" w:eastAsia="Microsoft YaHei UI" w:cs="Times New Roman"/>
                <w:i w:val="0"/>
                <w:iCs w:val="0"/>
                <w:caps w:val="0"/>
                <w:color w:val="auto"/>
                <w:spacing w:val="15"/>
                <w:sz w:val="21"/>
                <w:szCs w:val="21"/>
                <w:shd w:val="clear" w:fill="FFFFFF"/>
              </w:rPr>
              <w:t>Ⅱ</w:t>
            </w:r>
            <w:r>
              <w:rPr>
                <w:rFonts w:hint="default" w:ascii="Times New Roman" w:hAnsi="Times New Roman" w:cs="Times New Roman"/>
                <w:color w:val="auto"/>
                <w:sz w:val="21"/>
                <w:szCs w:val="21"/>
                <w:lang w:val="en-US" w:eastAsia="zh-CN"/>
              </w:rPr>
              <w:t>类，水质优良。</w:t>
            </w:r>
          </w:p>
          <w:p w14:paraId="39CB1274">
            <w:pPr>
              <w:adjustRightInd w:val="0"/>
              <w:snapToGrid w:val="0"/>
              <w:spacing w:line="360" w:lineRule="auto"/>
              <w:ind w:firstLine="422" w:firstLineChars="200"/>
              <w:rPr>
                <w:b/>
                <w:color w:val="auto"/>
                <w:sz w:val="21"/>
                <w:szCs w:val="21"/>
              </w:rPr>
            </w:pPr>
            <w:r>
              <w:rPr>
                <w:b/>
                <w:color w:val="auto"/>
                <w:sz w:val="21"/>
                <w:szCs w:val="21"/>
              </w:rPr>
              <w:t>3、声环境</w:t>
            </w:r>
          </w:p>
          <w:p w14:paraId="571ABA67">
            <w:pPr>
              <w:adjustRightInd w:val="0"/>
              <w:snapToGrid w:val="0"/>
              <w:spacing w:line="360" w:lineRule="auto"/>
              <w:ind w:firstLine="420" w:firstLineChars="200"/>
              <w:rPr>
                <w:rFonts w:hint="eastAsia" w:cs="Times New Roman"/>
                <w:color w:val="auto"/>
                <w:sz w:val="21"/>
                <w:szCs w:val="21"/>
                <w:lang w:val="en-US" w:eastAsia="zh-CN"/>
              </w:rPr>
            </w:pPr>
            <w:r>
              <w:rPr>
                <w:rFonts w:hint="eastAsia" w:cs="Times New Roman"/>
                <w:color w:val="auto"/>
                <w:sz w:val="21"/>
                <w:szCs w:val="21"/>
                <w:lang w:val="en-US" w:eastAsia="zh-CN"/>
              </w:rPr>
              <w:t>本项目周边50米范围内无居民敏感点。</w:t>
            </w:r>
          </w:p>
          <w:p w14:paraId="79347A55">
            <w:pPr>
              <w:adjustRightInd w:val="0"/>
              <w:snapToGrid w:val="0"/>
              <w:spacing w:line="360" w:lineRule="auto"/>
              <w:ind w:firstLine="422" w:firstLineChars="200"/>
              <w:rPr>
                <w:b/>
                <w:color w:val="auto"/>
                <w:sz w:val="21"/>
                <w:szCs w:val="21"/>
              </w:rPr>
            </w:pPr>
            <w:r>
              <w:rPr>
                <w:b/>
                <w:color w:val="auto"/>
                <w:sz w:val="21"/>
                <w:szCs w:val="21"/>
              </w:rPr>
              <w:t>4、生态环境</w:t>
            </w:r>
          </w:p>
          <w:p w14:paraId="3A8BF5D8">
            <w:pPr>
              <w:spacing w:line="360" w:lineRule="auto"/>
              <w:ind w:firstLine="420" w:firstLineChars="200"/>
              <w:jc w:val="left"/>
              <w:rPr>
                <w:rFonts w:hint="eastAsia" w:eastAsia="宋体"/>
                <w:color w:val="auto"/>
                <w:sz w:val="21"/>
                <w:szCs w:val="21"/>
                <w:lang w:val="en-US" w:eastAsia="zh-CN"/>
              </w:rPr>
            </w:pPr>
            <w:r>
              <w:rPr>
                <w:rFonts w:hint="eastAsia" w:eastAsia="宋体"/>
                <w:color w:val="auto"/>
                <w:sz w:val="21"/>
                <w:szCs w:val="21"/>
                <w:lang w:eastAsia="zh-CN"/>
              </w:rPr>
              <w:t>本项目用地范围内不含有生态环境保护目标，故不进行生态现状调查。</w:t>
            </w:r>
          </w:p>
          <w:p w14:paraId="38E2B7F7">
            <w:pPr>
              <w:adjustRightInd w:val="0"/>
              <w:snapToGrid w:val="0"/>
              <w:spacing w:line="360" w:lineRule="auto"/>
              <w:ind w:firstLine="422" w:firstLineChars="200"/>
              <w:rPr>
                <w:b/>
                <w:color w:val="auto"/>
                <w:sz w:val="21"/>
                <w:szCs w:val="21"/>
              </w:rPr>
            </w:pPr>
            <w:r>
              <w:rPr>
                <w:b/>
                <w:color w:val="auto"/>
                <w:sz w:val="21"/>
                <w:szCs w:val="21"/>
              </w:rPr>
              <w:t>5、电磁辐射</w:t>
            </w:r>
          </w:p>
          <w:p w14:paraId="6DD53AE0">
            <w:pPr>
              <w:adjustRightInd w:val="0"/>
              <w:snapToGrid w:val="0"/>
              <w:spacing w:line="360" w:lineRule="auto"/>
              <w:ind w:firstLine="420" w:firstLineChars="200"/>
              <w:rPr>
                <w:color w:val="auto"/>
                <w:sz w:val="21"/>
                <w:szCs w:val="21"/>
              </w:rPr>
            </w:pPr>
            <w:r>
              <w:rPr>
                <w:rFonts w:hint="eastAsia"/>
                <w:color w:val="auto"/>
                <w:sz w:val="21"/>
                <w:szCs w:val="21"/>
                <w:lang w:eastAsia="zh-CN"/>
              </w:rPr>
              <w:t>本项目不涉及</w:t>
            </w:r>
            <w:r>
              <w:rPr>
                <w:color w:val="auto"/>
                <w:sz w:val="21"/>
                <w:szCs w:val="21"/>
              </w:rPr>
              <w:t>电磁辐射</w:t>
            </w:r>
            <w:r>
              <w:rPr>
                <w:rFonts w:hint="eastAsia"/>
                <w:color w:val="auto"/>
                <w:sz w:val="21"/>
                <w:szCs w:val="21"/>
                <w:lang w:eastAsia="zh-CN"/>
              </w:rPr>
              <w:t>类项目，故不进行电磁辐射现状调查和评价</w:t>
            </w:r>
            <w:r>
              <w:rPr>
                <w:color w:val="auto"/>
                <w:sz w:val="21"/>
                <w:szCs w:val="21"/>
              </w:rPr>
              <w:t>。</w:t>
            </w:r>
          </w:p>
          <w:p w14:paraId="719CB320">
            <w:pPr>
              <w:adjustRightInd w:val="0"/>
              <w:snapToGrid w:val="0"/>
              <w:spacing w:line="360" w:lineRule="auto"/>
              <w:ind w:firstLine="422" w:firstLineChars="200"/>
              <w:rPr>
                <w:rFonts w:hint="eastAsia" w:eastAsia="宋体"/>
                <w:b/>
                <w:color w:val="auto"/>
                <w:sz w:val="21"/>
                <w:szCs w:val="21"/>
                <w:lang w:val="en-US" w:eastAsia="zh-CN"/>
              </w:rPr>
            </w:pPr>
            <w:r>
              <w:rPr>
                <w:rFonts w:hint="eastAsia"/>
                <w:b/>
                <w:color w:val="auto"/>
                <w:sz w:val="21"/>
                <w:szCs w:val="21"/>
                <w:lang w:val="en-US" w:eastAsia="zh-CN"/>
              </w:rPr>
              <w:t>6、地下水、土壤环境</w:t>
            </w:r>
          </w:p>
          <w:p w14:paraId="1C47424A">
            <w:pPr>
              <w:adjustRightInd w:val="0"/>
              <w:snapToGrid w:val="0"/>
              <w:spacing w:line="360" w:lineRule="auto"/>
              <w:ind w:firstLine="420" w:firstLineChars="200"/>
              <w:jc w:val="left"/>
              <w:rPr>
                <w:rFonts w:hint="eastAsia" w:eastAsia="宋体"/>
                <w:color w:val="auto"/>
                <w:sz w:val="21"/>
                <w:szCs w:val="21"/>
                <w:lang w:eastAsia="zh-CN"/>
              </w:rPr>
            </w:pPr>
            <w:r>
              <w:rPr>
                <w:rFonts w:hint="eastAsia" w:ascii="Calibri" w:hAnsi="Calibri" w:eastAsia="宋体" w:cs="Times New Roman"/>
                <w:color w:val="auto"/>
                <w:szCs w:val="21"/>
              </w:rPr>
              <w:t>本项目</w:t>
            </w:r>
            <w:r>
              <w:rPr>
                <w:color w:val="auto"/>
                <w:sz w:val="21"/>
                <w:szCs w:val="21"/>
                <w:lang w:val="en-US" w:eastAsia="zh-CN"/>
              </w:rPr>
              <w:t>日常生产过程中，废水采用明管输送至污水处理站，罐区、车间、仓库、污水处理站、固废堆场等区域均进行了防渗、防雨、防腐的处理，加装了视频监控，在企业现有防渗措施条件下，通过加强日常管理，对区域土壤、地下水环境污染较小，因此，暂不开展地下水、土壤环境现状调查</w:t>
            </w:r>
            <w:r>
              <w:rPr>
                <w:rFonts w:hint="eastAsia" w:ascii="Calibri" w:hAnsi="Calibri" w:cs="Times New Roman"/>
                <w:color w:val="auto"/>
                <w:szCs w:val="21"/>
                <w:lang w:eastAsia="zh-CN"/>
              </w:rPr>
              <w:t>。</w:t>
            </w:r>
          </w:p>
        </w:tc>
      </w:tr>
      <w:tr w14:paraId="3D940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14:paraId="36410161">
            <w:pPr>
              <w:adjustRightInd w:val="0"/>
              <w:snapToGrid w:val="0"/>
              <w:jc w:val="center"/>
              <w:rPr>
                <w:color w:val="auto"/>
                <w:kern w:val="0"/>
                <w:sz w:val="21"/>
                <w:szCs w:val="21"/>
              </w:rPr>
            </w:pPr>
            <w:r>
              <w:rPr>
                <w:color w:val="auto"/>
                <w:kern w:val="0"/>
                <w:sz w:val="21"/>
                <w:szCs w:val="21"/>
              </w:rPr>
              <w:t>环境</w:t>
            </w:r>
          </w:p>
          <w:p w14:paraId="5BEB3C84">
            <w:pPr>
              <w:adjustRightInd w:val="0"/>
              <w:snapToGrid w:val="0"/>
              <w:jc w:val="center"/>
              <w:rPr>
                <w:color w:val="auto"/>
                <w:kern w:val="0"/>
                <w:sz w:val="21"/>
                <w:szCs w:val="21"/>
              </w:rPr>
            </w:pPr>
            <w:r>
              <w:rPr>
                <w:color w:val="auto"/>
                <w:kern w:val="0"/>
                <w:sz w:val="21"/>
                <w:szCs w:val="21"/>
              </w:rPr>
              <w:t>保护</w:t>
            </w:r>
          </w:p>
          <w:p w14:paraId="1A4EDD3A">
            <w:pPr>
              <w:adjustRightInd w:val="0"/>
              <w:snapToGrid w:val="0"/>
              <w:jc w:val="center"/>
              <w:rPr>
                <w:color w:val="auto"/>
                <w:kern w:val="0"/>
                <w:sz w:val="21"/>
                <w:szCs w:val="21"/>
              </w:rPr>
            </w:pPr>
            <w:r>
              <w:rPr>
                <w:color w:val="auto"/>
                <w:kern w:val="0"/>
                <w:sz w:val="21"/>
                <w:szCs w:val="21"/>
              </w:rPr>
              <w:t>目标</w:t>
            </w:r>
          </w:p>
        </w:tc>
        <w:tc>
          <w:tcPr>
            <w:tcW w:w="8190" w:type="dxa"/>
            <w:noWrap w:val="0"/>
            <w:vAlign w:val="center"/>
          </w:tcPr>
          <w:p w14:paraId="46E78072">
            <w:pPr>
              <w:spacing w:line="360" w:lineRule="auto"/>
              <w:ind w:firstLine="422" w:firstLineChars="200"/>
              <w:rPr>
                <w:rFonts w:hint="eastAsia"/>
                <w:b/>
                <w:color w:val="auto"/>
                <w:sz w:val="21"/>
                <w:szCs w:val="21"/>
              </w:rPr>
            </w:pPr>
            <w:r>
              <w:rPr>
                <w:rFonts w:hint="eastAsia"/>
                <w:b/>
                <w:color w:val="auto"/>
                <w:sz w:val="21"/>
                <w:szCs w:val="21"/>
              </w:rPr>
              <w:t>1、大气环境</w:t>
            </w:r>
          </w:p>
          <w:p w14:paraId="0C7AD6BC">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本项目周边500米范围内无大气环境敏感目标。</w:t>
            </w:r>
          </w:p>
          <w:p w14:paraId="35EABD5F">
            <w:pPr>
              <w:spacing w:line="360" w:lineRule="auto"/>
              <w:ind w:firstLine="422" w:firstLineChars="200"/>
              <w:rPr>
                <w:rFonts w:hint="eastAsia"/>
                <w:b/>
                <w:color w:val="auto"/>
                <w:sz w:val="21"/>
                <w:szCs w:val="21"/>
              </w:rPr>
            </w:pPr>
            <w:r>
              <w:rPr>
                <w:rFonts w:hint="eastAsia"/>
                <w:b/>
                <w:color w:val="auto"/>
                <w:sz w:val="21"/>
                <w:szCs w:val="21"/>
              </w:rPr>
              <w:t>2、声环境</w:t>
            </w:r>
          </w:p>
          <w:p w14:paraId="2E8C4A86">
            <w:pPr>
              <w:spacing w:line="360" w:lineRule="auto"/>
              <w:ind w:firstLine="420" w:firstLineChars="200"/>
              <w:rPr>
                <w:rFonts w:hint="eastAsia"/>
                <w:color w:val="auto"/>
                <w:sz w:val="21"/>
                <w:szCs w:val="21"/>
              </w:rPr>
            </w:pPr>
            <w:r>
              <w:rPr>
                <w:rFonts w:hint="eastAsia"/>
                <w:color w:val="auto"/>
                <w:sz w:val="21"/>
                <w:szCs w:val="21"/>
                <w:lang w:eastAsia="zh-CN"/>
              </w:rPr>
              <w:t>本项目</w:t>
            </w:r>
            <w:r>
              <w:rPr>
                <w:rFonts w:hint="eastAsia" w:cs="Times New Roman"/>
                <w:bCs/>
                <w:color w:val="auto"/>
                <w:szCs w:val="21"/>
                <w:lang w:val="en-US" w:eastAsia="zh-CN"/>
              </w:rPr>
              <w:t>周边50米范围内无</w:t>
            </w:r>
            <w:r>
              <w:rPr>
                <w:rFonts w:hint="eastAsia"/>
                <w:color w:val="auto"/>
                <w:sz w:val="21"/>
                <w:szCs w:val="21"/>
                <w:lang w:val="en-US" w:eastAsia="zh-CN"/>
              </w:rPr>
              <w:t>声环境敏感目标</w:t>
            </w:r>
            <w:r>
              <w:rPr>
                <w:rFonts w:hint="eastAsia"/>
                <w:color w:val="auto"/>
                <w:sz w:val="21"/>
                <w:szCs w:val="21"/>
              </w:rPr>
              <w:t>。</w:t>
            </w:r>
          </w:p>
          <w:p w14:paraId="3066F326">
            <w:pPr>
              <w:spacing w:line="360" w:lineRule="auto"/>
              <w:ind w:firstLine="422" w:firstLineChars="200"/>
              <w:rPr>
                <w:rFonts w:hint="eastAsia"/>
                <w:b/>
                <w:color w:val="auto"/>
                <w:sz w:val="21"/>
                <w:szCs w:val="21"/>
              </w:rPr>
            </w:pPr>
            <w:r>
              <w:rPr>
                <w:rFonts w:hint="eastAsia"/>
                <w:b/>
                <w:color w:val="auto"/>
                <w:sz w:val="21"/>
                <w:szCs w:val="21"/>
              </w:rPr>
              <w:t>3、地下水环境</w:t>
            </w:r>
          </w:p>
          <w:p w14:paraId="0AD5EB90">
            <w:pPr>
              <w:spacing w:line="360" w:lineRule="auto"/>
              <w:ind w:firstLine="420" w:firstLineChars="200"/>
              <w:rPr>
                <w:rFonts w:hint="eastAsia" w:cs="Times New Roman"/>
                <w:bCs/>
                <w:color w:val="auto"/>
                <w:szCs w:val="21"/>
                <w:lang w:val="en-US" w:eastAsia="zh-CN"/>
              </w:rPr>
            </w:pPr>
            <w:r>
              <w:rPr>
                <w:rFonts w:hint="eastAsia" w:cs="Times New Roman"/>
                <w:bCs/>
                <w:color w:val="auto"/>
                <w:szCs w:val="21"/>
                <w:lang w:val="en-US" w:eastAsia="zh-CN"/>
              </w:rPr>
              <w:t>厂界外500米范围内无地下水集中式饮用水水源和热水、矿泉水、温泉等特殊地下水资源。</w:t>
            </w:r>
          </w:p>
          <w:p w14:paraId="3815F032">
            <w:pPr>
              <w:spacing w:line="360" w:lineRule="auto"/>
              <w:ind w:firstLine="422" w:firstLineChars="200"/>
              <w:rPr>
                <w:rFonts w:hint="eastAsia"/>
                <w:b/>
                <w:color w:val="auto"/>
                <w:sz w:val="21"/>
                <w:szCs w:val="21"/>
              </w:rPr>
            </w:pPr>
            <w:r>
              <w:rPr>
                <w:rFonts w:hint="eastAsia"/>
                <w:b/>
                <w:color w:val="auto"/>
                <w:sz w:val="21"/>
                <w:szCs w:val="21"/>
              </w:rPr>
              <w:t>4、生态环境</w:t>
            </w:r>
          </w:p>
          <w:p w14:paraId="0C0B518B">
            <w:pPr>
              <w:adjustRightInd w:val="0"/>
              <w:snapToGrid w:val="0"/>
              <w:spacing w:line="360" w:lineRule="auto"/>
              <w:ind w:firstLine="420" w:firstLineChars="200"/>
              <w:jc w:val="left"/>
              <w:rPr>
                <w:color w:val="auto"/>
                <w:kern w:val="0"/>
                <w:sz w:val="21"/>
                <w:szCs w:val="21"/>
              </w:rPr>
            </w:pPr>
            <w:r>
              <w:rPr>
                <w:rFonts w:hint="eastAsia"/>
                <w:color w:val="auto"/>
                <w:sz w:val="21"/>
                <w:szCs w:val="21"/>
              </w:rPr>
              <w:t>本项目用地范围内没有生态保护目标，因此不进行生态调查。</w:t>
            </w:r>
          </w:p>
        </w:tc>
      </w:tr>
      <w:tr w14:paraId="1AB2F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800" w:type="dxa"/>
            <w:noWrap w:val="0"/>
            <w:tcMar>
              <w:left w:w="28" w:type="dxa"/>
              <w:right w:w="28" w:type="dxa"/>
            </w:tcMar>
            <w:vAlign w:val="center"/>
          </w:tcPr>
          <w:p w14:paraId="5A8313CE">
            <w:pPr>
              <w:adjustRightInd w:val="0"/>
              <w:snapToGrid w:val="0"/>
              <w:jc w:val="center"/>
              <w:rPr>
                <w:color w:val="auto"/>
                <w:kern w:val="0"/>
                <w:sz w:val="21"/>
                <w:szCs w:val="21"/>
              </w:rPr>
            </w:pPr>
            <w:r>
              <w:rPr>
                <w:color w:val="auto"/>
                <w:kern w:val="0"/>
                <w:sz w:val="21"/>
                <w:szCs w:val="21"/>
              </w:rPr>
              <w:t>污染</w:t>
            </w:r>
          </w:p>
          <w:p w14:paraId="0A9DB916">
            <w:pPr>
              <w:adjustRightInd w:val="0"/>
              <w:snapToGrid w:val="0"/>
              <w:jc w:val="center"/>
              <w:rPr>
                <w:color w:val="auto"/>
                <w:kern w:val="0"/>
                <w:sz w:val="21"/>
                <w:szCs w:val="21"/>
              </w:rPr>
            </w:pPr>
            <w:r>
              <w:rPr>
                <w:color w:val="auto"/>
                <w:kern w:val="0"/>
                <w:sz w:val="21"/>
                <w:szCs w:val="21"/>
              </w:rPr>
              <w:t>物排</w:t>
            </w:r>
          </w:p>
          <w:p w14:paraId="5BDCFC94">
            <w:pPr>
              <w:adjustRightInd w:val="0"/>
              <w:snapToGrid w:val="0"/>
              <w:jc w:val="center"/>
              <w:rPr>
                <w:color w:val="auto"/>
                <w:kern w:val="0"/>
                <w:sz w:val="21"/>
                <w:szCs w:val="21"/>
              </w:rPr>
            </w:pPr>
            <w:r>
              <w:rPr>
                <w:color w:val="auto"/>
                <w:kern w:val="0"/>
                <w:sz w:val="21"/>
                <w:szCs w:val="21"/>
              </w:rPr>
              <w:t>放控</w:t>
            </w:r>
          </w:p>
          <w:p w14:paraId="066F7D51">
            <w:pPr>
              <w:adjustRightInd w:val="0"/>
              <w:snapToGrid w:val="0"/>
              <w:jc w:val="center"/>
              <w:rPr>
                <w:color w:val="auto"/>
                <w:kern w:val="0"/>
                <w:sz w:val="21"/>
                <w:szCs w:val="21"/>
              </w:rPr>
            </w:pPr>
            <w:r>
              <w:rPr>
                <w:color w:val="auto"/>
                <w:kern w:val="0"/>
                <w:sz w:val="21"/>
                <w:szCs w:val="21"/>
              </w:rPr>
              <w:t>制标</w:t>
            </w:r>
          </w:p>
          <w:p w14:paraId="2AADEB74">
            <w:pPr>
              <w:adjustRightInd w:val="0"/>
              <w:snapToGrid w:val="0"/>
              <w:jc w:val="center"/>
              <w:rPr>
                <w:color w:val="auto"/>
                <w:kern w:val="0"/>
                <w:sz w:val="21"/>
                <w:szCs w:val="21"/>
              </w:rPr>
            </w:pPr>
            <w:r>
              <w:rPr>
                <w:color w:val="auto"/>
                <w:kern w:val="0"/>
                <w:sz w:val="21"/>
                <w:szCs w:val="21"/>
              </w:rPr>
              <w:t>准</w:t>
            </w:r>
          </w:p>
        </w:tc>
        <w:tc>
          <w:tcPr>
            <w:tcW w:w="8190" w:type="dxa"/>
            <w:noWrap w:val="0"/>
            <w:vAlign w:val="center"/>
          </w:tcPr>
          <w:p w14:paraId="7200DDAD">
            <w:pPr>
              <w:spacing w:line="460" w:lineRule="exact"/>
              <w:ind w:firstLine="422" w:firstLineChars="200"/>
              <w:rPr>
                <w:rFonts w:hint="eastAsia"/>
                <w:b/>
                <w:color w:val="auto"/>
                <w:sz w:val="21"/>
                <w:szCs w:val="21"/>
                <w:lang w:val="en-US" w:eastAsia="zh-CN"/>
              </w:rPr>
            </w:pPr>
            <w:r>
              <w:rPr>
                <w:rFonts w:hint="eastAsia"/>
                <w:b/>
                <w:color w:val="auto"/>
                <w:sz w:val="21"/>
                <w:szCs w:val="21"/>
                <w:lang w:val="en-US" w:eastAsia="zh-CN"/>
              </w:rPr>
              <w:t xml:space="preserve">1、废气排放标准 </w:t>
            </w:r>
          </w:p>
          <w:p w14:paraId="48D1FABC">
            <w:pPr>
              <w:spacing w:line="460" w:lineRule="exact"/>
              <w:ind w:firstLine="420" w:firstLineChars="200"/>
              <w:rPr>
                <w:rFonts w:hint="eastAsia"/>
                <w:color w:val="auto"/>
              </w:rPr>
            </w:pPr>
            <w:r>
              <w:rPr>
                <w:rFonts w:hint="eastAsia"/>
                <w:color w:val="auto"/>
                <w:lang w:val="en-US" w:eastAsia="zh-CN"/>
              </w:rPr>
              <w:t>技改</w:t>
            </w:r>
            <w:r>
              <w:rPr>
                <w:rFonts w:hint="eastAsia"/>
                <w:color w:val="auto"/>
              </w:rPr>
              <w:t>项目</w:t>
            </w:r>
            <w:r>
              <w:rPr>
                <w:rFonts w:hint="eastAsia"/>
                <w:color w:val="auto"/>
                <w:lang w:val="en-US" w:eastAsia="zh-CN"/>
              </w:rPr>
              <w:t>天然气加热炉燃烧废气颗粒物、二氧化硫、氮氧化物排放</w:t>
            </w:r>
            <w:r>
              <w:rPr>
                <w:rFonts w:hint="eastAsia"/>
                <w:color w:val="auto"/>
              </w:rPr>
              <w:t>执行</w:t>
            </w:r>
            <w:r>
              <w:rPr>
                <w:rFonts w:hAnsi="宋体"/>
                <w:color w:val="auto"/>
                <w:szCs w:val="21"/>
              </w:rPr>
              <w:t>《</w:t>
            </w:r>
            <w:r>
              <w:rPr>
                <w:rFonts w:hint="eastAsia" w:hAnsi="宋体"/>
                <w:color w:val="auto"/>
                <w:szCs w:val="21"/>
                <w:lang w:val="en-US" w:eastAsia="zh-CN"/>
              </w:rPr>
              <w:t>工业炉窑大气污染物排放标准</w:t>
            </w:r>
            <w:r>
              <w:rPr>
                <w:rFonts w:hAnsi="宋体"/>
                <w:color w:val="auto"/>
                <w:szCs w:val="21"/>
              </w:rPr>
              <w:t>》（</w:t>
            </w:r>
            <w:r>
              <w:rPr>
                <w:rFonts w:hint="eastAsia"/>
                <w:color w:val="auto"/>
                <w:szCs w:val="21"/>
              </w:rPr>
              <w:t>D</w:t>
            </w:r>
            <w:r>
              <w:rPr>
                <w:color w:val="auto"/>
                <w:szCs w:val="21"/>
              </w:rPr>
              <w:t>B</w:t>
            </w:r>
            <w:r>
              <w:rPr>
                <w:rFonts w:hint="eastAsia"/>
                <w:color w:val="auto"/>
                <w:szCs w:val="21"/>
              </w:rPr>
              <w:t xml:space="preserve">32/ </w:t>
            </w:r>
            <w:r>
              <w:rPr>
                <w:rFonts w:hint="eastAsia"/>
                <w:color w:val="auto"/>
                <w:szCs w:val="21"/>
                <w:lang w:val="en-US" w:eastAsia="zh-CN"/>
              </w:rPr>
              <w:t>3728</w:t>
            </w:r>
            <w:r>
              <w:rPr>
                <w:rFonts w:hint="eastAsia"/>
                <w:color w:val="auto"/>
                <w:szCs w:val="21"/>
              </w:rPr>
              <w:t>-202</w:t>
            </w:r>
            <w:r>
              <w:rPr>
                <w:rFonts w:hint="eastAsia"/>
                <w:color w:val="auto"/>
                <w:szCs w:val="21"/>
                <w:lang w:val="en-US" w:eastAsia="zh-CN"/>
              </w:rPr>
              <w:t>0</w:t>
            </w:r>
            <w:r>
              <w:rPr>
                <w:rFonts w:hAnsi="宋体"/>
                <w:color w:val="auto"/>
                <w:szCs w:val="21"/>
              </w:rPr>
              <w:t>）</w:t>
            </w:r>
            <w:r>
              <w:rPr>
                <w:rFonts w:hint="eastAsia" w:hAnsi="宋体"/>
                <w:color w:val="auto"/>
                <w:szCs w:val="21"/>
              </w:rPr>
              <w:t>表1中燃气</w:t>
            </w:r>
            <w:r>
              <w:rPr>
                <w:rFonts w:hAnsi="宋体"/>
                <w:color w:val="auto"/>
                <w:szCs w:val="21"/>
              </w:rPr>
              <w:t>锅炉</w:t>
            </w:r>
            <w:r>
              <w:rPr>
                <w:rFonts w:hint="eastAsia"/>
                <w:color w:val="auto"/>
                <w:szCs w:val="21"/>
              </w:rPr>
              <w:t>的排放标准</w:t>
            </w:r>
            <w:r>
              <w:rPr>
                <w:rFonts w:hint="eastAsia"/>
                <w:color w:val="auto"/>
              </w:rPr>
              <w:t>。</w:t>
            </w:r>
            <w:r>
              <w:rPr>
                <w:rFonts w:hint="eastAsia"/>
                <w:color w:val="auto"/>
                <w:lang w:val="en-US" w:eastAsia="zh-CN"/>
              </w:rPr>
              <w:t>自动带锯及机加工非甲烷总烃排放执行</w:t>
            </w:r>
            <w:r>
              <w:rPr>
                <w:rFonts w:hint="eastAsia"/>
                <w:color w:val="auto"/>
              </w:rPr>
              <w:t>《大气污染物综合排放标准》（DB32/4041-2021）</w:t>
            </w:r>
            <w:r>
              <w:rPr>
                <w:rFonts w:hint="eastAsia"/>
                <w:color w:val="auto"/>
                <w:lang w:val="en-US" w:eastAsia="zh-CN"/>
              </w:rPr>
              <w:t>中表1、表3</w:t>
            </w:r>
            <w:r>
              <w:rPr>
                <w:rFonts w:hint="eastAsia"/>
                <w:color w:val="auto"/>
              </w:rPr>
              <w:t>标准</w:t>
            </w:r>
            <w:r>
              <w:rPr>
                <w:rFonts w:hint="eastAsia"/>
                <w:color w:val="auto"/>
                <w:lang w:eastAsia="zh-CN"/>
              </w:rPr>
              <w:t>，</w:t>
            </w:r>
            <w:r>
              <w:rPr>
                <w:rFonts w:hint="eastAsia"/>
                <w:color w:val="auto"/>
                <w:lang w:val="en-US" w:eastAsia="zh-CN"/>
              </w:rPr>
              <w:t>同时厂区内</w:t>
            </w:r>
            <w:r>
              <w:rPr>
                <w:rFonts w:hint="eastAsia"/>
                <w:color w:val="auto"/>
              </w:rPr>
              <w:t>无组织有机废气同时满足《挥发性有机物无组织排放控制标准》GB37822-2019中标准</w:t>
            </w:r>
            <w:r>
              <w:rPr>
                <w:rFonts w:hint="eastAsia"/>
                <w:color w:val="auto"/>
                <w:lang w:eastAsia="zh-CN"/>
              </w:rPr>
              <w:t>，</w:t>
            </w:r>
            <w:r>
              <w:rPr>
                <w:rFonts w:hint="default" w:ascii="Times New Roman" w:hAnsi="Times New Roman" w:eastAsia="宋体" w:cs="Times New Roman"/>
                <w:color w:val="auto"/>
                <w:sz w:val="21"/>
                <w:szCs w:val="21"/>
                <w:lang w:val="en-US" w:eastAsia="zh-CN"/>
              </w:rPr>
              <w:t>无组织排放总悬浮颗粒物排放控制要求</w:t>
            </w:r>
            <w:r>
              <w:rPr>
                <w:rFonts w:hint="eastAsia" w:ascii="Times New Roman" w:hAnsi="Times New Roman" w:eastAsia="宋体" w:cs="Times New Roman"/>
                <w:color w:val="auto"/>
                <w:sz w:val="21"/>
                <w:szCs w:val="21"/>
                <w:lang w:val="en-US" w:eastAsia="zh-CN"/>
              </w:rPr>
              <w:t>执行</w:t>
            </w:r>
            <w:r>
              <w:rPr>
                <w:rFonts w:hAnsi="宋体"/>
                <w:color w:val="auto"/>
                <w:szCs w:val="21"/>
              </w:rPr>
              <w:t>《</w:t>
            </w:r>
            <w:r>
              <w:rPr>
                <w:rFonts w:hint="eastAsia" w:hAnsi="宋体"/>
                <w:color w:val="auto"/>
                <w:szCs w:val="21"/>
                <w:lang w:val="en-US" w:eastAsia="zh-CN"/>
              </w:rPr>
              <w:t>工业炉窑大气污染物排放标准</w:t>
            </w:r>
            <w:r>
              <w:rPr>
                <w:rFonts w:hAnsi="宋体"/>
                <w:color w:val="auto"/>
                <w:szCs w:val="21"/>
              </w:rPr>
              <w:t>》（</w:t>
            </w:r>
            <w:r>
              <w:rPr>
                <w:rFonts w:hint="eastAsia"/>
                <w:color w:val="auto"/>
                <w:szCs w:val="21"/>
              </w:rPr>
              <w:t>D</w:t>
            </w:r>
            <w:r>
              <w:rPr>
                <w:color w:val="auto"/>
                <w:szCs w:val="21"/>
              </w:rPr>
              <w:t>B</w:t>
            </w:r>
            <w:r>
              <w:rPr>
                <w:rFonts w:hint="eastAsia"/>
                <w:color w:val="auto"/>
                <w:szCs w:val="21"/>
              </w:rPr>
              <w:t xml:space="preserve">32/ </w:t>
            </w:r>
            <w:r>
              <w:rPr>
                <w:rFonts w:hint="eastAsia"/>
                <w:color w:val="auto"/>
                <w:szCs w:val="21"/>
                <w:lang w:val="en-US" w:eastAsia="zh-CN"/>
              </w:rPr>
              <w:t>3728</w:t>
            </w:r>
            <w:r>
              <w:rPr>
                <w:rFonts w:hint="eastAsia"/>
                <w:color w:val="auto"/>
                <w:szCs w:val="21"/>
              </w:rPr>
              <w:t>-202</w:t>
            </w:r>
            <w:r>
              <w:rPr>
                <w:rFonts w:hint="eastAsia"/>
                <w:color w:val="auto"/>
                <w:szCs w:val="21"/>
                <w:lang w:val="en-US" w:eastAsia="zh-CN"/>
              </w:rPr>
              <w:t>0</w:t>
            </w:r>
            <w:r>
              <w:rPr>
                <w:rFonts w:hAnsi="宋体"/>
                <w:color w:val="auto"/>
                <w:szCs w:val="21"/>
              </w:rPr>
              <w:t>）</w:t>
            </w:r>
            <w:r>
              <w:rPr>
                <w:rFonts w:hint="eastAsia" w:hAnsi="宋体"/>
                <w:color w:val="auto"/>
                <w:szCs w:val="21"/>
                <w:lang w:val="en-US" w:eastAsia="zh-CN"/>
              </w:rPr>
              <w:t>表3中相关标准。</w:t>
            </w:r>
            <w:r>
              <w:rPr>
                <w:rFonts w:hint="eastAsia"/>
                <w:color w:val="auto"/>
              </w:rPr>
              <w:t>具体标准见表 3-</w:t>
            </w:r>
            <w:r>
              <w:rPr>
                <w:rFonts w:hint="eastAsia"/>
                <w:color w:val="auto"/>
                <w:lang w:val="en-US" w:eastAsia="zh-CN"/>
              </w:rPr>
              <w:t>3、表3-4、表3-5、表3-6</w:t>
            </w:r>
            <w:r>
              <w:rPr>
                <w:rFonts w:hint="eastAsia"/>
                <w:color w:val="auto"/>
              </w:rPr>
              <w:t>。</w:t>
            </w:r>
          </w:p>
          <w:p w14:paraId="328F1D38">
            <w:pPr>
              <w:spacing w:line="460" w:lineRule="exact"/>
              <w:jc w:val="center"/>
              <w:rPr>
                <w:color w:val="auto"/>
              </w:rPr>
            </w:pPr>
            <w:r>
              <w:rPr>
                <w:b/>
                <w:bCs/>
                <w:color w:val="auto"/>
              </w:rPr>
              <w:t>表</w:t>
            </w:r>
            <w:r>
              <w:rPr>
                <w:rFonts w:hint="eastAsia"/>
                <w:b/>
                <w:bCs/>
                <w:color w:val="auto"/>
              </w:rPr>
              <w:t>3-</w:t>
            </w:r>
            <w:r>
              <w:rPr>
                <w:rFonts w:hint="eastAsia"/>
                <w:b/>
                <w:bCs/>
                <w:color w:val="auto"/>
                <w:lang w:val="en-US" w:eastAsia="zh-CN"/>
              </w:rPr>
              <w:t>3</w:t>
            </w:r>
            <w:r>
              <w:rPr>
                <w:b/>
                <w:bCs/>
                <w:color w:val="auto"/>
              </w:rPr>
              <w:t xml:space="preserve">  </w:t>
            </w:r>
            <w:r>
              <w:rPr>
                <w:rFonts w:hint="eastAsia"/>
                <w:b/>
                <w:bCs/>
                <w:color w:val="auto"/>
                <w:lang w:val="en-US" w:eastAsia="zh-CN"/>
              </w:rPr>
              <w:t>工业炉窑大气</w:t>
            </w:r>
            <w:r>
              <w:rPr>
                <w:b/>
                <w:bCs/>
                <w:color w:val="auto"/>
              </w:rPr>
              <w:t>污染物排放标准</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301"/>
              <w:gridCol w:w="2872"/>
            </w:tblGrid>
            <w:tr w14:paraId="20B55B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129" w:type="pct"/>
                  <w:vMerge w:val="restart"/>
                  <w:vAlign w:val="center"/>
                </w:tcPr>
                <w:p w14:paraId="3FD19877">
                  <w:pPr>
                    <w:pStyle w:val="205"/>
                    <w:spacing w:line="360" w:lineRule="auto"/>
                    <w:ind w:firstLine="0" w:firstLineChars="0"/>
                    <w:jc w:val="center"/>
                    <w:rPr>
                      <w:rFonts w:ascii="Times New Roman" w:hAnsi="Times New Roman"/>
                      <w:bCs w:val="0"/>
                      <w:color w:val="auto"/>
                      <w:kern w:val="0"/>
                      <w:sz w:val="21"/>
                      <w:szCs w:val="21"/>
                    </w:rPr>
                  </w:pPr>
                  <w:r>
                    <w:rPr>
                      <w:rFonts w:ascii="Times New Roman" w:hAnsi="Times New Roman"/>
                      <w:bCs w:val="0"/>
                      <w:color w:val="auto"/>
                      <w:kern w:val="0"/>
                      <w:sz w:val="21"/>
                      <w:szCs w:val="21"/>
                    </w:rPr>
                    <w:t>污染物</w:t>
                  </w:r>
                </w:p>
              </w:tc>
              <w:tc>
                <w:tcPr>
                  <w:tcW w:w="2069" w:type="pct"/>
                  <w:vMerge w:val="restart"/>
                  <w:vAlign w:val="center"/>
                </w:tcPr>
                <w:p w14:paraId="0760B335">
                  <w:pPr>
                    <w:pStyle w:val="205"/>
                    <w:spacing w:line="360" w:lineRule="auto"/>
                    <w:ind w:firstLine="0" w:firstLineChars="0"/>
                    <w:jc w:val="center"/>
                    <w:rPr>
                      <w:rFonts w:ascii="Times New Roman" w:hAnsi="Times New Roman"/>
                      <w:bCs w:val="0"/>
                      <w:color w:val="auto"/>
                      <w:kern w:val="0"/>
                      <w:sz w:val="21"/>
                      <w:szCs w:val="21"/>
                    </w:rPr>
                  </w:pPr>
                  <w:r>
                    <w:rPr>
                      <w:rFonts w:ascii="Times New Roman" w:hAnsi="Times New Roman"/>
                      <w:bCs w:val="0"/>
                      <w:color w:val="auto"/>
                      <w:kern w:val="0"/>
                      <w:sz w:val="21"/>
                      <w:szCs w:val="21"/>
                    </w:rPr>
                    <w:t>排放浓度限值</w:t>
                  </w:r>
                </w:p>
              </w:tc>
              <w:tc>
                <w:tcPr>
                  <w:tcW w:w="1800" w:type="pct"/>
                  <w:vMerge w:val="restart"/>
                  <w:vAlign w:val="center"/>
                </w:tcPr>
                <w:p w14:paraId="1782C500">
                  <w:pPr>
                    <w:pStyle w:val="205"/>
                    <w:spacing w:line="360" w:lineRule="auto"/>
                    <w:ind w:firstLine="0" w:firstLineChars="0"/>
                    <w:jc w:val="center"/>
                    <w:rPr>
                      <w:rFonts w:ascii="Times New Roman" w:hAnsi="Times New Roman"/>
                      <w:bCs w:val="0"/>
                      <w:color w:val="auto"/>
                      <w:kern w:val="0"/>
                      <w:sz w:val="21"/>
                      <w:szCs w:val="21"/>
                    </w:rPr>
                  </w:pPr>
                  <w:r>
                    <w:rPr>
                      <w:rFonts w:ascii="Times New Roman" w:hAnsi="Times New Roman"/>
                      <w:bCs w:val="0"/>
                      <w:color w:val="auto"/>
                      <w:kern w:val="0"/>
                      <w:sz w:val="21"/>
                      <w:szCs w:val="21"/>
                    </w:rPr>
                    <w:t>污染物监控位置</w:t>
                  </w:r>
                </w:p>
              </w:tc>
            </w:tr>
            <w:tr w14:paraId="5C8025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129" w:type="pct"/>
                  <w:vMerge w:val="continue"/>
                  <w:vAlign w:val="center"/>
                </w:tcPr>
                <w:p w14:paraId="5FBFCEE6">
                  <w:pPr>
                    <w:pStyle w:val="205"/>
                    <w:spacing w:line="360" w:lineRule="auto"/>
                    <w:ind w:firstLine="1785"/>
                    <w:jc w:val="center"/>
                    <w:rPr>
                      <w:rFonts w:ascii="Times New Roman" w:hAnsi="Times New Roman"/>
                      <w:b w:val="0"/>
                      <w:color w:val="auto"/>
                      <w:kern w:val="0"/>
                      <w:sz w:val="21"/>
                      <w:szCs w:val="21"/>
                    </w:rPr>
                  </w:pPr>
                </w:p>
              </w:tc>
              <w:tc>
                <w:tcPr>
                  <w:tcW w:w="2069" w:type="pct"/>
                  <w:vMerge w:val="continue"/>
                  <w:vAlign w:val="center"/>
                </w:tcPr>
                <w:p w14:paraId="1ACF7D89">
                  <w:pPr>
                    <w:pStyle w:val="205"/>
                    <w:spacing w:line="360" w:lineRule="auto"/>
                    <w:ind w:firstLine="1785"/>
                    <w:jc w:val="center"/>
                    <w:rPr>
                      <w:rFonts w:ascii="Times New Roman" w:hAnsi="Times New Roman"/>
                      <w:b w:val="0"/>
                      <w:color w:val="auto"/>
                      <w:kern w:val="0"/>
                      <w:sz w:val="21"/>
                      <w:szCs w:val="21"/>
                    </w:rPr>
                  </w:pPr>
                </w:p>
              </w:tc>
              <w:tc>
                <w:tcPr>
                  <w:tcW w:w="1800" w:type="pct"/>
                  <w:vMerge w:val="continue"/>
                  <w:vAlign w:val="center"/>
                </w:tcPr>
                <w:p w14:paraId="06AF7B41">
                  <w:pPr>
                    <w:pStyle w:val="205"/>
                    <w:spacing w:line="360" w:lineRule="auto"/>
                    <w:ind w:firstLine="0" w:firstLineChars="0"/>
                    <w:jc w:val="center"/>
                    <w:rPr>
                      <w:rFonts w:ascii="Times New Roman" w:hAnsi="Times New Roman"/>
                      <w:b w:val="0"/>
                      <w:color w:val="auto"/>
                      <w:kern w:val="0"/>
                      <w:sz w:val="21"/>
                      <w:szCs w:val="21"/>
                    </w:rPr>
                  </w:pPr>
                </w:p>
              </w:tc>
            </w:tr>
            <w:tr w14:paraId="305BA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9" w:type="pct"/>
                  <w:vAlign w:val="center"/>
                </w:tcPr>
                <w:p w14:paraId="43F0802D">
                  <w:pPr>
                    <w:spacing w:line="360" w:lineRule="auto"/>
                    <w:jc w:val="center"/>
                    <w:rPr>
                      <w:color w:val="auto"/>
                      <w:szCs w:val="21"/>
                    </w:rPr>
                  </w:pPr>
                  <w:r>
                    <w:rPr>
                      <w:color w:val="auto"/>
                      <w:szCs w:val="21"/>
                    </w:rPr>
                    <w:t>颗粒物</w:t>
                  </w:r>
                </w:p>
              </w:tc>
              <w:tc>
                <w:tcPr>
                  <w:tcW w:w="2069" w:type="pct"/>
                  <w:vAlign w:val="center"/>
                </w:tcPr>
                <w:p w14:paraId="1FBDC089">
                  <w:pPr>
                    <w:spacing w:line="360" w:lineRule="auto"/>
                    <w:jc w:val="center"/>
                    <w:rPr>
                      <w:color w:val="auto"/>
                      <w:szCs w:val="21"/>
                    </w:rPr>
                  </w:pPr>
                  <w:r>
                    <w:rPr>
                      <w:rFonts w:hint="eastAsia"/>
                      <w:color w:val="auto"/>
                      <w:szCs w:val="21"/>
                      <w:lang w:val="en-US" w:eastAsia="zh-CN"/>
                    </w:rPr>
                    <w:t>20</w:t>
                  </w:r>
                  <w:r>
                    <w:rPr>
                      <w:color w:val="auto"/>
                      <w:kern w:val="0"/>
                      <w:szCs w:val="21"/>
                    </w:rPr>
                    <w:t>mg/m</w:t>
                  </w:r>
                  <w:r>
                    <w:rPr>
                      <w:color w:val="auto"/>
                      <w:kern w:val="0"/>
                      <w:szCs w:val="21"/>
                      <w:vertAlign w:val="superscript"/>
                    </w:rPr>
                    <w:t>3</w:t>
                  </w:r>
                </w:p>
              </w:tc>
              <w:tc>
                <w:tcPr>
                  <w:tcW w:w="1800" w:type="pct"/>
                  <w:vMerge w:val="restart"/>
                  <w:vAlign w:val="center"/>
                </w:tcPr>
                <w:p w14:paraId="374C6C84">
                  <w:pPr>
                    <w:adjustRightInd w:val="0"/>
                    <w:snapToGrid w:val="0"/>
                    <w:jc w:val="center"/>
                    <w:rPr>
                      <w:rFonts w:hint="default" w:eastAsia="宋体"/>
                      <w:color w:val="auto"/>
                      <w:szCs w:val="21"/>
                      <w:lang w:val="en-US" w:eastAsia="zh-CN"/>
                    </w:rPr>
                  </w:pPr>
                  <w:r>
                    <w:rPr>
                      <w:rFonts w:hint="eastAsia"/>
                      <w:color w:val="auto"/>
                      <w:szCs w:val="21"/>
                      <w:lang w:val="en-US" w:eastAsia="zh-CN"/>
                    </w:rPr>
                    <w:t>车间或生产设施排气筒</w:t>
                  </w:r>
                </w:p>
              </w:tc>
            </w:tr>
            <w:tr w14:paraId="51A501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9" w:type="pct"/>
                  <w:vAlign w:val="center"/>
                </w:tcPr>
                <w:p w14:paraId="5DEDD950">
                  <w:pPr>
                    <w:spacing w:line="360" w:lineRule="auto"/>
                    <w:jc w:val="center"/>
                    <w:rPr>
                      <w:bCs/>
                      <w:color w:val="auto"/>
                      <w:szCs w:val="21"/>
                    </w:rPr>
                  </w:pPr>
                  <w:r>
                    <w:rPr>
                      <w:bCs/>
                      <w:color w:val="auto"/>
                      <w:szCs w:val="21"/>
                    </w:rPr>
                    <w:t>二氧化硫</w:t>
                  </w:r>
                </w:p>
              </w:tc>
              <w:tc>
                <w:tcPr>
                  <w:tcW w:w="2069" w:type="pct"/>
                  <w:vAlign w:val="center"/>
                </w:tcPr>
                <w:p w14:paraId="333765C7">
                  <w:pPr>
                    <w:spacing w:line="360" w:lineRule="auto"/>
                    <w:jc w:val="center"/>
                    <w:rPr>
                      <w:color w:val="auto"/>
                      <w:szCs w:val="21"/>
                    </w:rPr>
                  </w:pPr>
                  <w:r>
                    <w:rPr>
                      <w:rFonts w:hint="eastAsia"/>
                      <w:color w:val="auto"/>
                      <w:szCs w:val="21"/>
                      <w:lang w:val="en-US" w:eastAsia="zh-CN"/>
                    </w:rPr>
                    <w:t>80</w:t>
                  </w:r>
                  <w:r>
                    <w:rPr>
                      <w:color w:val="auto"/>
                      <w:kern w:val="0"/>
                      <w:szCs w:val="21"/>
                    </w:rPr>
                    <w:t>mg/m</w:t>
                  </w:r>
                  <w:r>
                    <w:rPr>
                      <w:color w:val="auto"/>
                      <w:kern w:val="0"/>
                      <w:szCs w:val="21"/>
                      <w:vertAlign w:val="superscript"/>
                    </w:rPr>
                    <w:t>3</w:t>
                  </w:r>
                </w:p>
              </w:tc>
              <w:tc>
                <w:tcPr>
                  <w:tcW w:w="1800" w:type="pct"/>
                  <w:vMerge w:val="continue"/>
                  <w:vAlign w:val="center"/>
                </w:tcPr>
                <w:p w14:paraId="3F6FDFEB">
                  <w:pPr>
                    <w:spacing w:line="360" w:lineRule="auto"/>
                    <w:jc w:val="center"/>
                    <w:rPr>
                      <w:color w:val="auto"/>
                      <w:szCs w:val="21"/>
                    </w:rPr>
                  </w:pPr>
                </w:p>
              </w:tc>
            </w:tr>
            <w:tr w14:paraId="6A3DA6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9" w:type="pct"/>
                  <w:vAlign w:val="center"/>
                </w:tcPr>
                <w:p w14:paraId="23CFAD52">
                  <w:pPr>
                    <w:spacing w:line="360" w:lineRule="auto"/>
                    <w:jc w:val="center"/>
                    <w:rPr>
                      <w:bCs/>
                      <w:color w:val="auto"/>
                      <w:szCs w:val="21"/>
                    </w:rPr>
                  </w:pPr>
                  <w:r>
                    <w:rPr>
                      <w:bCs/>
                      <w:color w:val="auto"/>
                      <w:szCs w:val="21"/>
                    </w:rPr>
                    <w:t>氮氧化物</w:t>
                  </w:r>
                </w:p>
              </w:tc>
              <w:tc>
                <w:tcPr>
                  <w:tcW w:w="2069" w:type="pct"/>
                  <w:vAlign w:val="center"/>
                </w:tcPr>
                <w:p w14:paraId="4A088CC0">
                  <w:pPr>
                    <w:spacing w:line="360" w:lineRule="auto"/>
                    <w:jc w:val="center"/>
                    <w:rPr>
                      <w:color w:val="auto"/>
                      <w:szCs w:val="21"/>
                    </w:rPr>
                  </w:pPr>
                  <w:r>
                    <w:rPr>
                      <w:rFonts w:hint="eastAsia"/>
                      <w:color w:val="auto"/>
                      <w:szCs w:val="21"/>
                      <w:lang w:val="en-US" w:eastAsia="zh-CN"/>
                    </w:rPr>
                    <w:t>180</w:t>
                  </w:r>
                  <w:r>
                    <w:rPr>
                      <w:color w:val="auto"/>
                      <w:kern w:val="0"/>
                      <w:szCs w:val="21"/>
                    </w:rPr>
                    <w:t>mg/m</w:t>
                  </w:r>
                  <w:r>
                    <w:rPr>
                      <w:color w:val="auto"/>
                      <w:kern w:val="0"/>
                      <w:szCs w:val="21"/>
                      <w:vertAlign w:val="superscript"/>
                    </w:rPr>
                    <w:t>3</w:t>
                  </w:r>
                </w:p>
              </w:tc>
              <w:tc>
                <w:tcPr>
                  <w:tcW w:w="1800" w:type="pct"/>
                  <w:vMerge w:val="continue"/>
                  <w:vAlign w:val="center"/>
                </w:tcPr>
                <w:p w14:paraId="3B082D4F">
                  <w:pPr>
                    <w:spacing w:line="360" w:lineRule="auto"/>
                    <w:jc w:val="center"/>
                    <w:rPr>
                      <w:color w:val="auto"/>
                      <w:szCs w:val="21"/>
                    </w:rPr>
                  </w:pPr>
                </w:p>
              </w:tc>
            </w:tr>
            <w:tr w14:paraId="1139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9" w:type="pct"/>
                  <w:vAlign w:val="center"/>
                </w:tcPr>
                <w:p w14:paraId="11A1263E">
                  <w:pPr>
                    <w:spacing w:line="360" w:lineRule="auto"/>
                    <w:jc w:val="center"/>
                    <w:rPr>
                      <w:bCs/>
                      <w:color w:val="auto"/>
                      <w:szCs w:val="21"/>
                    </w:rPr>
                  </w:pPr>
                  <w:r>
                    <w:rPr>
                      <w:bCs/>
                      <w:color w:val="auto"/>
                      <w:szCs w:val="21"/>
                    </w:rPr>
                    <w:t>林格曼黑度</w:t>
                  </w:r>
                </w:p>
              </w:tc>
              <w:tc>
                <w:tcPr>
                  <w:tcW w:w="2069" w:type="pct"/>
                  <w:vAlign w:val="center"/>
                </w:tcPr>
                <w:p w14:paraId="7D1F507F">
                  <w:pPr>
                    <w:spacing w:line="360" w:lineRule="auto"/>
                    <w:jc w:val="center"/>
                    <w:rPr>
                      <w:color w:val="auto"/>
                      <w:szCs w:val="21"/>
                    </w:rPr>
                  </w:pPr>
                  <w:r>
                    <w:rPr>
                      <w:color w:val="auto"/>
                      <w:szCs w:val="21"/>
                    </w:rPr>
                    <w:t>1级</w:t>
                  </w:r>
                </w:p>
              </w:tc>
              <w:tc>
                <w:tcPr>
                  <w:tcW w:w="1800" w:type="pct"/>
                  <w:vMerge w:val="continue"/>
                  <w:vAlign w:val="center"/>
                </w:tcPr>
                <w:p w14:paraId="1521CF73">
                  <w:pPr>
                    <w:adjustRightInd w:val="0"/>
                    <w:snapToGrid w:val="0"/>
                    <w:jc w:val="center"/>
                    <w:rPr>
                      <w:rFonts w:hint="eastAsia" w:eastAsia="宋体"/>
                      <w:color w:val="auto"/>
                      <w:szCs w:val="21"/>
                      <w:lang w:eastAsia="zh-CN"/>
                    </w:rPr>
                  </w:pPr>
                </w:p>
              </w:tc>
            </w:tr>
          </w:tbl>
          <w:p w14:paraId="15751651">
            <w:pPr>
              <w:numPr>
                <w:ilvl w:val="0"/>
                <w:numId w:val="0"/>
              </w:numPr>
              <w:adjustRightInd w:val="0"/>
              <w:snapToGrid w:val="0"/>
              <w:spacing w:line="360" w:lineRule="auto"/>
              <w:ind w:firstLine="422" w:firstLineChars="200"/>
              <w:jc w:val="center"/>
              <w:rPr>
                <w:rFonts w:hint="eastAsia"/>
                <w:b/>
                <w:color w:val="auto"/>
                <w:sz w:val="21"/>
                <w:szCs w:val="21"/>
                <w:vertAlign w:val="baseline"/>
                <w:lang w:val="en-US" w:eastAsia="zh-CN"/>
              </w:rPr>
            </w:pPr>
            <w:r>
              <w:rPr>
                <w:rFonts w:hint="eastAsia"/>
                <w:b/>
                <w:color w:val="auto"/>
                <w:sz w:val="21"/>
                <w:szCs w:val="21"/>
                <w:lang w:val="en-US" w:eastAsia="zh-CN"/>
              </w:rPr>
              <w:t>表3-4 大气污染物综合排放标准</w:t>
            </w:r>
          </w:p>
          <w:tbl>
            <w:tblPr>
              <w:tblStyle w:val="43"/>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5"/>
              <w:gridCol w:w="1595"/>
              <w:gridCol w:w="1595"/>
            </w:tblGrid>
            <w:tr w14:paraId="60CBCE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4" w:type="dxa"/>
                  <w:vMerge w:val="restart"/>
                  <w:tcBorders>
                    <w:tl2br w:val="nil"/>
                    <w:tr2bl w:val="nil"/>
                  </w:tcBorders>
                  <w:vAlign w:val="center"/>
                </w:tcPr>
                <w:p w14:paraId="176BFD9F">
                  <w:pPr>
                    <w:pStyle w:val="205"/>
                    <w:spacing w:line="240" w:lineRule="auto"/>
                    <w:ind w:left="0" w:leftChars="0" w:firstLine="0" w:firstLineChars="0"/>
                    <w:jc w:val="center"/>
                    <w:rPr>
                      <w:rFonts w:hint="default"/>
                      <w:b/>
                      <w:bCs w:val="0"/>
                      <w:color w:val="auto"/>
                      <w:sz w:val="21"/>
                      <w:szCs w:val="21"/>
                      <w:vertAlign w:val="baseline"/>
                      <w:lang w:val="en-US" w:eastAsia="zh-CN"/>
                    </w:rPr>
                  </w:pPr>
                  <w:r>
                    <w:rPr>
                      <w:rFonts w:hint="eastAsia" w:ascii="Times New Roman" w:hAnsi="Times New Roman"/>
                      <w:b/>
                      <w:bCs w:val="0"/>
                      <w:color w:val="auto"/>
                      <w:kern w:val="0"/>
                      <w:sz w:val="21"/>
                      <w:szCs w:val="21"/>
                      <w:lang w:val="en-US" w:eastAsia="zh-CN"/>
                    </w:rPr>
                    <w:t>污</w:t>
                  </w:r>
                  <w:r>
                    <w:rPr>
                      <w:rFonts w:ascii="Times New Roman" w:hAnsi="Times New Roman" w:eastAsia="宋体"/>
                      <w:b/>
                      <w:bCs w:val="0"/>
                      <w:color w:val="auto"/>
                      <w:kern w:val="0"/>
                      <w:sz w:val="21"/>
                      <w:szCs w:val="21"/>
                    </w:rPr>
                    <w:t>染物</w:t>
                  </w:r>
                </w:p>
              </w:tc>
              <w:tc>
                <w:tcPr>
                  <w:tcW w:w="1595" w:type="dxa"/>
                  <w:vMerge w:val="restart"/>
                  <w:tcBorders>
                    <w:tl2br w:val="nil"/>
                    <w:tr2bl w:val="nil"/>
                  </w:tcBorders>
                  <w:vAlign w:val="center"/>
                </w:tcPr>
                <w:p w14:paraId="3C51B0A7">
                  <w:pPr>
                    <w:pStyle w:val="205"/>
                    <w:spacing w:line="240" w:lineRule="auto"/>
                    <w:ind w:left="0" w:leftChars="0" w:firstLine="0" w:firstLineChars="0"/>
                    <w:jc w:val="center"/>
                    <w:rPr>
                      <w:rFonts w:hint="eastAsia"/>
                      <w:b/>
                      <w:bCs w:val="0"/>
                      <w:color w:val="auto"/>
                      <w:sz w:val="21"/>
                      <w:szCs w:val="21"/>
                      <w:vertAlign w:val="baseline"/>
                      <w:lang w:val="en-US" w:eastAsia="zh-CN"/>
                    </w:rPr>
                  </w:pPr>
                  <w:r>
                    <w:rPr>
                      <w:rFonts w:hint="eastAsia" w:ascii="Times New Roman" w:hAnsi="Times New Roman"/>
                      <w:b/>
                      <w:bCs w:val="0"/>
                      <w:color w:val="auto"/>
                      <w:kern w:val="0"/>
                      <w:sz w:val="21"/>
                      <w:szCs w:val="21"/>
                      <w:lang w:val="en-US" w:eastAsia="zh-CN"/>
                    </w:rPr>
                    <w:t>最高允许排放浓度（mg/m</w:t>
                  </w:r>
                  <w:r>
                    <w:rPr>
                      <w:rFonts w:hint="eastAsia" w:ascii="Times New Roman" w:hAnsi="Times New Roman"/>
                      <w:b/>
                      <w:bCs w:val="0"/>
                      <w:color w:val="auto"/>
                      <w:kern w:val="0"/>
                      <w:sz w:val="21"/>
                      <w:szCs w:val="21"/>
                      <w:vertAlign w:val="superscript"/>
                      <w:lang w:val="en-US" w:eastAsia="zh-CN"/>
                    </w:rPr>
                    <w:t>3</w:t>
                  </w:r>
                  <w:r>
                    <w:rPr>
                      <w:rFonts w:hint="eastAsia" w:ascii="Times New Roman" w:hAnsi="Times New Roman"/>
                      <w:b/>
                      <w:bCs w:val="0"/>
                      <w:color w:val="auto"/>
                      <w:kern w:val="0"/>
                      <w:sz w:val="21"/>
                      <w:szCs w:val="21"/>
                      <w:lang w:val="en-US" w:eastAsia="zh-CN"/>
                    </w:rPr>
                    <w:t>）</w:t>
                  </w:r>
                </w:p>
              </w:tc>
              <w:tc>
                <w:tcPr>
                  <w:tcW w:w="1595" w:type="dxa"/>
                  <w:vMerge w:val="restart"/>
                  <w:tcBorders>
                    <w:tl2br w:val="nil"/>
                    <w:tr2bl w:val="nil"/>
                  </w:tcBorders>
                  <w:vAlign w:val="center"/>
                </w:tcPr>
                <w:p w14:paraId="513BE623">
                  <w:pPr>
                    <w:pStyle w:val="205"/>
                    <w:spacing w:line="240" w:lineRule="auto"/>
                    <w:ind w:left="0" w:leftChars="0" w:firstLine="0" w:firstLineChars="0"/>
                    <w:jc w:val="center"/>
                    <w:rPr>
                      <w:rFonts w:hint="eastAsia"/>
                      <w:b/>
                      <w:bCs w:val="0"/>
                      <w:color w:val="auto"/>
                      <w:sz w:val="21"/>
                      <w:szCs w:val="21"/>
                      <w:vertAlign w:val="baseline"/>
                      <w:lang w:val="en-US" w:eastAsia="zh-CN"/>
                    </w:rPr>
                  </w:pPr>
                  <w:r>
                    <w:rPr>
                      <w:rFonts w:ascii="Times New Roman" w:hAnsi="Times New Roman" w:eastAsia="宋体"/>
                      <w:b/>
                      <w:bCs w:val="0"/>
                      <w:color w:val="auto"/>
                      <w:kern w:val="0"/>
                      <w:sz w:val="21"/>
                      <w:szCs w:val="21"/>
                    </w:rPr>
                    <w:t>最高允许排放速率（kg/h）</w:t>
                  </w:r>
                </w:p>
              </w:tc>
              <w:tc>
                <w:tcPr>
                  <w:tcW w:w="3190" w:type="dxa"/>
                  <w:gridSpan w:val="2"/>
                  <w:tcBorders>
                    <w:tl2br w:val="nil"/>
                    <w:tr2bl w:val="nil"/>
                  </w:tcBorders>
                  <w:vAlign w:val="center"/>
                </w:tcPr>
                <w:p w14:paraId="0A62FD07">
                  <w:pPr>
                    <w:pStyle w:val="205"/>
                    <w:spacing w:line="240" w:lineRule="auto"/>
                    <w:ind w:left="0" w:leftChars="0" w:firstLine="0" w:firstLineChars="0"/>
                    <w:jc w:val="center"/>
                    <w:rPr>
                      <w:rFonts w:hint="eastAsia" w:ascii="Times New Roman" w:hAnsi="Times New Roman" w:eastAsia="宋体" w:cs="Times New Roman"/>
                      <w:b/>
                      <w:bCs w:val="0"/>
                      <w:color w:val="auto"/>
                      <w:kern w:val="0"/>
                      <w:sz w:val="21"/>
                      <w:szCs w:val="21"/>
                      <w:lang w:val="en-US" w:eastAsia="zh-CN" w:bidi="ar-SA"/>
                    </w:rPr>
                  </w:pPr>
                  <w:r>
                    <w:rPr>
                      <w:rFonts w:ascii="Times New Roman" w:hAnsi="Times New Roman" w:eastAsia="宋体"/>
                      <w:b/>
                      <w:bCs w:val="0"/>
                      <w:color w:val="auto"/>
                      <w:kern w:val="0"/>
                      <w:sz w:val="21"/>
                      <w:szCs w:val="21"/>
                    </w:rPr>
                    <w:t>无组织排放监控浓度限值</w:t>
                  </w:r>
                </w:p>
              </w:tc>
            </w:tr>
            <w:tr w14:paraId="0DDFC6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4" w:type="dxa"/>
                  <w:vMerge w:val="continue"/>
                  <w:tcBorders>
                    <w:tl2br w:val="nil"/>
                    <w:tr2bl w:val="nil"/>
                  </w:tcBorders>
                  <w:vAlign w:val="center"/>
                </w:tcPr>
                <w:p w14:paraId="762D8FE3">
                  <w:pPr>
                    <w:numPr>
                      <w:ilvl w:val="0"/>
                      <w:numId w:val="0"/>
                    </w:numPr>
                    <w:adjustRightInd w:val="0"/>
                    <w:snapToGrid w:val="0"/>
                    <w:spacing w:line="240" w:lineRule="auto"/>
                    <w:jc w:val="center"/>
                    <w:rPr>
                      <w:rFonts w:hint="eastAsia"/>
                      <w:b/>
                      <w:bCs w:val="0"/>
                      <w:color w:val="auto"/>
                      <w:sz w:val="21"/>
                      <w:szCs w:val="21"/>
                      <w:vertAlign w:val="baseline"/>
                      <w:lang w:val="en-US" w:eastAsia="zh-CN"/>
                    </w:rPr>
                  </w:pPr>
                </w:p>
              </w:tc>
              <w:tc>
                <w:tcPr>
                  <w:tcW w:w="1595" w:type="dxa"/>
                  <w:vMerge w:val="continue"/>
                  <w:tcBorders>
                    <w:tl2br w:val="nil"/>
                    <w:tr2bl w:val="nil"/>
                  </w:tcBorders>
                  <w:vAlign w:val="center"/>
                </w:tcPr>
                <w:p w14:paraId="1FC87BDA">
                  <w:pPr>
                    <w:numPr>
                      <w:ilvl w:val="0"/>
                      <w:numId w:val="0"/>
                    </w:numPr>
                    <w:adjustRightInd w:val="0"/>
                    <w:snapToGrid w:val="0"/>
                    <w:spacing w:line="240" w:lineRule="auto"/>
                    <w:jc w:val="center"/>
                    <w:rPr>
                      <w:rFonts w:hint="eastAsia"/>
                      <w:b/>
                      <w:bCs w:val="0"/>
                      <w:color w:val="auto"/>
                      <w:sz w:val="21"/>
                      <w:szCs w:val="21"/>
                      <w:vertAlign w:val="baseline"/>
                      <w:lang w:val="en-US" w:eastAsia="zh-CN"/>
                    </w:rPr>
                  </w:pPr>
                </w:p>
              </w:tc>
              <w:tc>
                <w:tcPr>
                  <w:tcW w:w="1595" w:type="dxa"/>
                  <w:vMerge w:val="continue"/>
                  <w:tcBorders>
                    <w:tl2br w:val="nil"/>
                    <w:tr2bl w:val="nil"/>
                  </w:tcBorders>
                  <w:vAlign w:val="center"/>
                </w:tcPr>
                <w:p w14:paraId="1622F153">
                  <w:pPr>
                    <w:numPr>
                      <w:ilvl w:val="0"/>
                      <w:numId w:val="0"/>
                    </w:numPr>
                    <w:adjustRightInd w:val="0"/>
                    <w:snapToGrid w:val="0"/>
                    <w:spacing w:line="240" w:lineRule="auto"/>
                    <w:jc w:val="center"/>
                    <w:rPr>
                      <w:rFonts w:hint="eastAsia"/>
                      <w:b/>
                      <w:bCs w:val="0"/>
                      <w:color w:val="auto"/>
                      <w:sz w:val="21"/>
                      <w:szCs w:val="21"/>
                      <w:vertAlign w:val="baseline"/>
                      <w:lang w:val="en-US" w:eastAsia="zh-CN"/>
                    </w:rPr>
                  </w:pPr>
                </w:p>
              </w:tc>
              <w:tc>
                <w:tcPr>
                  <w:tcW w:w="1595" w:type="dxa"/>
                  <w:tcBorders>
                    <w:tl2br w:val="nil"/>
                    <w:tr2bl w:val="nil"/>
                  </w:tcBorders>
                  <w:vAlign w:val="center"/>
                </w:tcPr>
                <w:p w14:paraId="1187CE49">
                  <w:pPr>
                    <w:pStyle w:val="205"/>
                    <w:spacing w:line="240" w:lineRule="auto"/>
                    <w:ind w:left="0" w:leftChars="0" w:firstLine="0" w:firstLineChars="0"/>
                    <w:jc w:val="center"/>
                    <w:rPr>
                      <w:rFonts w:hint="eastAsia" w:ascii="Times New Roman" w:hAnsi="Times New Roman" w:eastAsia="宋体" w:cs="Times New Roman"/>
                      <w:b/>
                      <w:bCs w:val="0"/>
                      <w:color w:val="auto"/>
                      <w:kern w:val="0"/>
                      <w:sz w:val="21"/>
                      <w:szCs w:val="21"/>
                      <w:lang w:val="en-US" w:eastAsia="zh-CN" w:bidi="ar-SA"/>
                    </w:rPr>
                  </w:pPr>
                  <w:r>
                    <w:rPr>
                      <w:rFonts w:hint="eastAsia" w:ascii="Times New Roman" w:hAnsi="Times New Roman"/>
                      <w:b/>
                      <w:bCs w:val="0"/>
                      <w:color w:val="auto"/>
                      <w:kern w:val="0"/>
                      <w:sz w:val="21"/>
                      <w:szCs w:val="21"/>
                      <w:lang w:val="en-US" w:eastAsia="zh-CN"/>
                    </w:rPr>
                    <w:t>监控点</w:t>
                  </w:r>
                </w:p>
              </w:tc>
              <w:tc>
                <w:tcPr>
                  <w:tcW w:w="1595" w:type="dxa"/>
                  <w:tcBorders>
                    <w:tl2br w:val="nil"/>
                    <w:tr2bl w:val="nil"/>
                  </w:tcBorders>
                  <w:vAlign w:val="center"/>
                </w:tcPr>
                <w:p w14:paraId="3BF4EA02">
                  <w:pPr>
                    <w:pStyle w:val="205"/>
                    <w:spacing w:line="240" w:lineRule="auto"/>
                    <w:ind w:left="0" w:leftChars="0" w:firstLine="211" w:firstLineChars="100"/>
                    <w:jc w:val="center"/>
                    <w:rPr>
                      <w:rFonts w:ascii="Times New Roman" w:hAnsi="Times New Roman" w:eastAsia="宋体"/>
                      <w:b/>
                      <w:bCs w:val="0"/>
                      <w:color w:val="auto"/>
                      <w:kern w:val="0"/>
                      <w:sz w:val="21"/>
                      <w:szCs w:val="21"/>
                    </w:rPr>
                  </w:pPr>
                  <w:r>
                    <w:rPr>
                      <w:rFonts w:hint="eastAsia" w:ascii="Times New Roman" w:hAnsi="Times New Roman"/>
                      <w:b/>
                      <w:bCs w:val="0"/>
                      <w:color w:val="auto"/>
                      <w:kern w:val="0"/>
                      <w:sz w:val="21"/>
                      <w:szCs w:val="21"/>
                      <w:lang w:val="en-US" w:eastAsia="zh-CN"/>
                    </w:rPr>
                    <w:t>浓</w:t>
                  </w:r>
                  <w:r>
                    <w:rPr>
                      <w:rFonts w:ascii="Times New Roman" w:hAnsi="Times New Roman" w:eastAsia="宋体"/>
                      <w:b/>
                      <w:bCs w:val="0"/>
                      <w:color w:val="auto"/>
                      <w:kern w:val="0"/>
                      <w:sz w:val="21"/>
                      <w:szCs w:val="21"/>
                    </w:rPr>
                    <w:t>度</w:t>
                  </w:r>
                </w:p>
                <w:p w14:paraId="6EAF6282">
                  <w:pPr>
                    <w:pStyle w:val="205"/>
                    <w:spacing w:line="240" w:lineRule="auto"/>
                    <w:ind w:left="0" w:leftChars="0" w:firstLine="0" w:firstLineChars="0"/>
                    <w:jc w:val="center"/>
                    <w:rPr>
                      <w:rFonts w:hint="eastAsia" w:ascii="Times New Roman" w:hAnsi="Times New Roman" w:eastAsia="宋体" w:cs="Times New Roman"/>
                      <w:b/>
                      <w:bCs w:val="0"/>
                      <w:color w:val="auto"/>
                      <w:kern w:val="0"/>
                      <w:sz w:val="21"/>
                      <w:szCs w:val="21"/>
                      <w:lang w:val="en-US" w:eastAsia="zh-CN" w:bidi="ar-SA"/>
                    </w:rPr>
                  </w:pPr>
                  <w:r>
                    <w:rPr>
                      <w:rFonts w:hint="eastAsia" w:ascii="Times New Roman" w:hAnsi="Times New Roman"/>
                      <w:b/>
                      <w:bCs w:val="0"/>
                      <w:color w:val="auto"/>
                      <w:kern w:val="0"/>
                      <w:sz w:val="21"/>
                      <w:szCs w:val="21"/>
                      <w:lang w:eastAsia="zh-CN"/>
                    </w:rPr>
                    <w:t>（</w:t>
                  </w:r>
                  <w:r>
                    <w:rPr>
                      <w:rFonts w:ascii="Times New Roman" w:hAnsi="Times New Roman" w:eastAsia="宋体"/>
                      <w:b/>
                      <w:bCs w:val="0"/>
                      <w:color w:val="auto"/>
                      <w:kern w:val="0"/>
                      <w:sz w:val="21"/>
                      <w:szCs w:val="21"/>
                    </w:rPr>
                    <w:t>mg/m</w:t>
                  </w:r>
                  <w:r>
                    <w:rPr>
                      <w:rFonts w:ascii="Times New Roman" w:hAnsi="Times New Roman" w:eastAsia="宋体"/>
                      <w:b/>
                      <w:bCs w:val="0"/>
                      <w:color w:val="auto"/>
                      <w:kern w:val="0"/>
                      <w:sz w:val="21"/>
                      <w:szCs w:val="21"/>
                      <w:vertAlign w:val="superscript"/>
                    </w:rPr>
                    <w:t>3</w:t>
                  </w:r>
                  <w:r>
                    <w:rPr>
                      <w:rFonts w:hint="eastAsia" w:ascii="Times New Roman" w:hAnsi="Times New Roman"/>
                      <w:b/>
                      <w:bCs w:val="0"/>
                      <w:color w:val="auto"/>
                      <w:kern w:val="0"/>
                      <w:sz w:val="21"/>
                      <w:szCs w:val="21"/>
                      <w:vertAlign w:val="baseline"/>
                      <w:lang w:eastAsia="zh-CN"/>
                    </w:rPr>
                    <w:t>）</w:t>
                  </w:r>
                </w:p>
              </w:tc>
            </w:tr>
            <w:tr w14:paraId="5821E9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4" w:type="dxa"/>
                  <w:tcBorders>
                    <w:tl2br w:val="nil"/>
                    <w:tr2bl w:val="nil"/>
                  </w:tcBorders>
                  <w:vAlign w:val="center"/>
                </w:tcPr>
                <w:p w14:paraId="193F7CEB">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color w:val="auto"/>
                      <w:kern w:val="2"/>
                      <w:sz w:val="21"/>
                      <w:szCs w:val="21"/>
                      <w:vertAlign w:val="baseline"/>
                      <w:lang w:val="en-US" w:eastAsia="zh-CN" w:bidi="ar-SA"/>
                    </w:rPr>
                  </w:pPr>
                  <w:r>
                    <w:rPr>
                      <w:rFonts w:hint="eastAsia"/>
                      <w:b w:val="0"/>
                      <w:bCs/>
                      <w:color w:val="auto"/>
                      <w:sz w:val="21"/>
                      <w:szCs w:val="21"/>
                      <w:vertAlign w:val="baseline"/>
                      <w:lang w:val="en-US" w:eastAsia="zh-CN"/>
                    </w:rPr>
                    <w:t>非甲烷总烃</w:t>
                  </w:r>
                </w:p>
              </w:tc>
              <w:tc>
                <w:tcPr>
                  <w:tcW w:w="1595" w:type="dxa"/>
                  <w:tcBorders>
                    <w:tl2br w:val="nil"/>
                    <w:tr2bl w:val="nil"/>
                  </w:tcBorders>
                  <w:vAlign w:val="center"/>
                </w:tcPr>
                <w:p w14:paraId="04A7CE9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60</w:t>
                  </w:r>
                </w:p>
              </w:tc>
              <w:tc>
                <w:tcPr>
                  <w:tcW w:w="1595" w:type="dxa"/>
                  <w:tcBorders>
                    <w:tl2br w:val="nil"/>
                    <w:tr2bl w:val="nil"/>
                  </w:tcBorders>
                  <w:vAlign w:val="center"/>
                </w:tcPr>
                <w:p w14:paraId="1C48BD8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w:t>
                  </w:r>
                </w:p>
              </w:tc>
              <w:tc>
                <w:tcPr>
                  <w:tcW w:w="1595" w:type="dxa"/>
                  <w:tcBorders>
                    <w:tl2br w:val="nil"/>
                    <w:tr2bl w:val="nil"/>
                  </w:tcBorders>
                  <w:vAlign w:val="center"/>
                </w:tcPr>
                <w:p w14:paraId="00F29774">
                  <w:pPr>
                    <w:numPr>
                      <w:ilvl w:val="0"/>
                      <w:numId w:val="0"/>
                    </w:numPr>
                    <w:adjustRightInd w:val="0"/>
                    <w:snapToGrid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vertAlign w:val="baseline"/>
                      <w:lang w:val="en-US" w:eastAsia="zh-CN" w:bidi="ar-SA"/>
                    </w:rPr>
                  </w:pPr>
                </w:p>
              </w:tc>
              <w:tc>
                <w:tcPr>
                  <w:tcW w:w="1595" w:type="dxa"/>
                  <w:tcBorders>
                    <w:tl2br w:val="nil"/>
                    <w:tr2bl w:val="nil"/>
                  </w:tcBorders>
                  <w:vAlign w:val="center"/>
                </w:tcPr>
                <w:p w14:paraId="71666729">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color w:val="auto"/>
                      <w:kern w:val="2"/>
                      <w:sz w:val="21"/>
                      <w:szCs w:val="21"/>
                      <w:vertAlign w:val="baseline"/>
                      <w:lang w:val="en-US" w:eastAsia="zh-CN" w:bidi="ar-SA"/>
                    </w:rPr>
                  </w:pPr>
                  <w:r>
                    <w:rPr>
                      <w:rFonts w:hint="eastAsia"/>
                      <w:b w:val="0"/>
                      <w:bCs/>
                      <w:color w:val="auto"/>
                      <w:sz w:val="21"/>
                      <w:szCs w:val="21"/>
                      <w:vertAlign w:val="baseline"/>
                      <w:lang w:val="en-US" w:eastAsia="zh-CN"/>
                    </w:rPr>
                    <w:t>4.0</w:t>
                  </w:r>
                </w:p>
              </w:tc>
            </w:tr>
          </w:tbl>
          <w:p w14:paraId="4FF06915">
            <w:pPr>
              <w:pStyle w:val="192"/>
              <w:shd w:val="clear" w:color="auto" w:fill="auto"/>
              <w:spacing w:after="0" w:line="240" w:lineRule="auto"/>
              <w:ind w:firstLine="48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rPr>
              <w:t xml:space="preserve">  厂区内VOC</w:t>
            </w:r>
            <w:r>
              <w:rPr>
                <w:rFonts w:hint="default" w:ascii="Times New Roman" w:hAnsi="Times New Roman" w:eastAsia="宋体" w:cs="Times New Roman"/>
                <w:b/>
                <w:bCs/>
                <w:color w:val="auto"/>
                <w:sz w:val="21"/>
                <w:szCs w:val="21"/>
                <w:vertAlign w:val="subscript"/>
              </w:rPr>
              <w:t>S</w:t>
            </w:r>
            <w:r>
              <w:rPr>
                <w:rFonts w:hint="default" w:ascii="Times New Roman" w:hAnsi="Times New Roman" w:eastAsia="宋体" w:cs="Times New Roman"/>
                <w:b/>
                <w:bCs/>
                <w:color w:val="auto"/>
                <w:sz w:val="21"/>
                <w:szCs w:val="21"/>
              </w:rPr>
              <w:t>无组织排放限值（单位mg/m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bl>
            <w:tblPr>
              <w:tblStyle w:val="42"/>
              <w:tblW w:w="0" w:type="auto"/>
              <w:jc w:val="center"/>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fixed"/>
              <w:tblCellMar>
                <w:top w:w="0" w:type="dxa"/>
                <w:left w:w="0" w:type="dxa"/>
                <w:bottom w:w="0" w:type="dxa"/>
                <w:right w:w="0" w:type="dxa"/>
              </w:tblCellMar>
            </w:tblPr>
            <w:tblGrid>
              <w:gridCol w:w="1339"/>
              <w:gridCol w:w="1635"/>
              <w:gridCol w:w="2835"/>
              <w:gridCol w:w="2465"/>
            </w:tblGrid>
            <w:tr w14:paraId="5A66D454">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54" w:hRule="exact"/>
                <w:jc w:val="center"/>
              </w:trPr>
              <w:tc>
                <w:tcPr>
                  <w:tcW w:w="1339" w:type="dxa"/>
                  <w:noWrap w:val="0"/>
                  <w:vAlign w:val="center"/>
                </w:tcPr>
                <w:p w14:paraId="25782D0F">
                  <w:pPr>
                    <w:pStyle w:val="143"/>
                    <w:ind w:left="16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污染物项目</w:t>
                  </w:r>
                </w:p>
              </w:tc>
              <w:tc>
                <w:tcPr>
                  <w:tcW w:w="1635" w:type="dxa"/>
                  <w:noWrap w:val="0"/>
                  <w:vAlign w:val="center"/>
                </w:tcPr>
                <w:p w14:paraId="7DC4E4DD">
                  <w:pPr>
                    <w:pStyle w:val="143"/>
                    <w:ind w:left="168"/>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特别排放限值</w:t>
                  </w:r>
                </w:p>
              </w:tc>
              <w:tc>
                <w:tcPr>
                  <w:tcW w:w="2835" w:type="dxa"/>
                  <w:noWrap w:val="0"/>
                  <w:vAlign w:val="center"/>
                </w:tcPr>
                <w:p w14:paraId="7240A14A">
                  <w:pPr>
                    <w:pStyle w:val="143"/>
                    <w:ind w:left="168"/>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限值含义</w:t>
                  </w:r>
                </w:p>
              </w:tc>
              <w:tc>
                <w:tcPr>
                  <w:tcW w:w="2465" w:type="dxa"/>
                  <w:noWrap w:val="0"/>
                  <w:vAlign w:val="center"/>
                </w:tcPr>
                <w:p w14:paraId="2D27C59E">
                  <w:pPr>
                    <w:pStyle w:val="143"/>
                    <w:ind w:left="168"/>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污染物排放监控位置</w:t>
                  </w:r>
                </w:p>
              </w:tc>
            </w:tr>
            <w:tr w14:paraId="0CF7D13B">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26" w:hRule="exact"/>
                <w:jc w:val="center"/>
              </w:trPr>
              <w:tc>
                <w:tcPr>
                  <w:tcW w:w="1339" w:type="dxa"/>
                  <w:vMerge w:val="restart"/>
                  <w:noWrap w:val="0"/>
                  <w:vAlign w:val="center"/>
                </w:tcPr>
                <w:p w14:paraId="07018870">
                  <w:pPr>
                    <w:pStyle w:val="143"/>
                    <w:ind w:left="168" w:right="1"/>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bCs/>
                      <w:color w:val="auto"/>
                      <w:sz w:val="21"/>
                      <w:szCs w:val="21"/>
                      <w:lang w:val="en-US"/>
                    </w:rPr>
                    <w:t>NMHC</w:t>
                  </w:r>
                </w:p>
              </w:tc>
              <w:tc>
                <w:tcPr>
                  <w:tcW w:w="1635" w:type="dxa"/>
                  <w:tcBorders>
                    <w:bottom w:val="single" w:color="auto" w:sz="4" w:space="0"/>
                  </w:tcBorders>
                  <w:noWrap w:val="0"/>
                  <w:vAlign w:val="center"/>
                </w:tcPr>
                <w:p w14:paraId="73AB4647">
                  <w:pPr>
                    <w:pStyle w:val="143"/>
                    <w:ind w:left="168" w:right="1"/>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6</w:t>
                  </w:r>
                </w:p>
              </w:tc>
              <w:tc>
                <w:tcPr>
                  <w:tcW w:w="2835" w:type="dxa"/>
                  <w:tcBorders>
                    <w:bottom w:val="single" w:color="auto" w:sz="4" w:space="0"/>
                  </w:tcBorders>
                  <w:noWrap w:val="0"/>
                  <w:vAlign w:val="center"/>
                </w:tcPr>
                <w:p w14:paraId="4EAF0C7C">
                  <w:pPr>
                    <w:pStyle w:val="143"/>
                    <w:ind w:left="168" w:right="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监测点处1h平均浓度值</w:t>
                  </w:r>
                </w:p>
              </w:tc>
              <w:tc>
                <w:tcPr>
                  <w:tcW w:w="2465" w:type="dxa"/>
                  <w:vMerge w:val="restart"/>
                  <w:noWrap w:val="0"/>
                  <w:vAlign w:val="center"/>
                </w:tcPr>
                <w:p w14:paraId="73B2511C">
                  <w:pPr>
                    <w:pStyle w:val="143"/>
                    <w:ind w:left="168" w:right="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在厂房外设置监控点</w:t>
                  </w:r>
                </w:p>
              </w:tc>
            </w:tr>
            <w:tr w14:paraId="5117A1BB">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63" w:hRule="exact"/>
                <w:jc w:val="center"/>
              </w:trPr>
              <w:tc>
                <w:tcPr>
                  <w:tcW w:w="1339" w:type="dxa"/>
                  <w:vMerge w:val="continue"/>
                  <w:noWrap w:val="0"/>
                  <w:vAlign w:val="center"/>
                </w:tcPr>
                <w:p w14:paraId="681EF785">
                  <w:pPr>
                    <w:pStyle w:val="143"/>
                    <w:ind w:left="168"/>
                    <w:jc w:val="center"/>
                    <w:rPr>
                      <w:rFonts w:hint="default" w:ascii="Times New Roman" w:hAnsi="Times New Roman" w:eastAsia="宋体" w:cs="Times New Roman"/>
                      <w:color w:val="auto"/>
                      <w:sz w:val="21"/>
                      <w:szCs w:val="21"/>
                    </w:rPr>
                  </w:pPr>
                </w:p>
              </w:tc>
              <w:tc>
                <w:tcPr>
                  <w:tcW w:w="1635" w:type="dxa"/>
                  <w:tcBorders>
                    <w:top w:val="single" w:color="auto" w:sz="4" w:space="0"/>
                  </w:tcBorders>
                  <w:noWrap w:val="0"/>
                  <w:vAlign w:val="center"/>
                </w:tcPr>
                <w:p w14:paraId="3FB5552E">
                  <w:pPr>
                    <w:pStyle w:val="143"/>
                    <w:ind w:left="16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835" w:type="dxa"/>
                  <w:tcBorders>
                    <w:top w:val="single" w:color="auto" w:sz="4" w:space="0"/>
                  </w:tcBorders>
                  <w:noWrap w:val="0"/>
                  <w:vAlign w:val="center"/>
                </w:tcPr>
                <w:p w14:paraId="16E5650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监测点处任意一次浓度值</w:t>
                  </w:r>
                </w:p>
              </w:tc>
              <w:tc>
                <w:tcPr>
                  <w:tcW w:w="2465" w:type="dxa"/>
                  <w:vMerge w:val="continue"/>
                  <w:noWrap w:val="0"/>
                  <w:vAlign w:val="center"/>
                </w:tcPr>
                <w:p w14:paraId="668D8AC5">
                  <w:pPr>
                    <w:jc w:val="center"/>
                    <w:rPr>
                      <w:rFonts w:hint="default" w:ascii="Times New Roman" w:hAnsi="Times New Roman" w:eastAsia="宋体" w:cs="Times New Roman"/>
                      <w:color w:val="auto"/>
                      <w:szCs w:val="21"/>
                    </w:rPr>
                  </w:pPr>
                </w:p>
              </w:tc>
            </w:tr>
          </w:tbl>
          <w:p w14:paraId="6ACCA810">
            <w:pPr>
              <w:numPr>
                <w:ilvl w:val="0"/>
                <w:numId w:val="0"/>
              </w:numPr>
              <w:adjustRightInd w:val="0"/>
              <w:snapToGrid w:val="0"/>
              <w:spacing w:line="360" w:lineRule="auto"/>
              <w:ind w:firstLine="422" w:firstLineChars="200"/>
              <w:jc w:val="center"/>
              <w:rPr>
                <w:rFonts w:hint="eastAsia"/>
                <w:b/>
                <w:color w:val="auto"/>
                <w:sz w:val="21"/>
                <w:szCs w:val="21"/>
                <w:vertAlign w:val="baseline"/>
                <w:lang w:val="en-US" w:eastAsia="zh-CN"/>
              </w:rPr>
            </w:pPr>
            <w:r>
              <w:rPr>
                <w:rFonts w:hint="eastAsia"/>
                <w:b/>
                <w:color w:val="auto"/>
                <w:sz w:val="21"/>
                <w:szCs w:val="21"/>
                <w:lang w:val="en-US" w:eastAsia="zh-CN"/>
              </w:rPr>
              <w:t>表3-5 工业炉窑无组织排放总悬浮颗粒物浓度限值</w:t>
            </w:r>
            <w:r>
              <w:rPr>
                <w:rFonts w:hint="default" w:ascii="Times New Roman" w:hAnsi="Times New Roman" w:eastAsia="宋体" w:cs="Times New Roman"/>
                <w:b/>
                <w:bCs/>
                <w:color w:val="auto"/>
                <w:sz w:val="21"/>
                <w:szCs w:val="21"/>
              </w:rPr>
              <w:t>（单位mg/m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658"/>
              <w:gridCol w:w="2658"/>
            </w:tblGrid>
            <w:tr w14:paraId="250F67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8" w:type="dxa"/>
                  <w:tcBorders>
                    <w:tl2br w:val="nil"/>
                    <w:tr2bl w:val="nil"/>
                  </w:tcBorders>
                  <w:vAlign w:val="top"/>
                </w:tcPr>
                <w:p w14:paraId="3F9C7C86">
                  <w:pPr>
                    <w:numPr>
                      <w:ilvl w:val="0"/>
                      <w:numId w:val="0"/>
                    </w:numPr>
                    <w:adjustRightInd w:val="0"/>
                    <w:snapToGrid w:val="0"/>
                    <w:spacing w:line="360" w:lineRule="auto"/>
                    <w:jc w:val="center"/>
                    <w:rPr>
                      <w:rFonts w:hint="default"/>
                      <w:b/>
                      <w:color w:val="auto"/>
                      <w:sz w:val="21"/>
                      <w:szCs w:val="21"/>
                      <w:vertAlign w:val="baseline"/>
                      <w:lang w:val="en-US" w:eastAsia="zh-CN"/>
                    </w:rPr>
                  </w:pPr>
                  <w:r>
                    <w:rPr>
                      <w:rFonts w:hint="eastAsia"/>
                      <w:b/>
                      <w:color w:val="auto"/>
                      <w:sz w:val="21"/>
                      <w:szCs w:val="21"/>
                      <w:vertAlign w:val="baseline"/>
                      <w:lang w:val="en-US" w:eastAsia="zh-CN"/>
                    </w:rPr>
                    <w:t>工业炉窑安装位置</w:t>
                  </w:r>
                </w:p>
              </w:tc>
              <w:tc>
                <w:tcPr>
                  <w:tcW w:w="2658" w:type="dxa"/>
                  <w:tcBorders>
                    <w:tl2br w:val="nil"/>
                    <w:tr2bl w:val="nil"/>
                  </w:tcBorders>
                  <w:vAlign w:val="top"/>
                </w:tcPr>
                <w:p w14:paraId="7A62499F">
                  <w:pPr>
                    <w:numPr>
                      <w:ilvl w:val="0"/>
                      <w:numId w:val="0"/>
                    </w:numPr>
                    <w:adjustRightInd w:val="0"/>
                    <w:snapToGrid w:val="0"/>
                    <w:spacing w:line="360" w:lineRule="auto"/>
                    <w:jc w:val="center"/>
                    <w:rPr>
                      <w:rFonts w:hint="default"/>
                      <w:b/>
                      <w:color w:val="auto"/>
                      <w:sz w:val="21"/>
                      <w:szCs w:val="21"/>
                      <w:vertAlign w:val="baseline"/>
                      <w:lang w:val="en-US" w:eastAsia="zh-CN"/>
                    </w:rPr>
                  </w:pPr>
                  <w:r>
                    <w:rPr>
                      <w:rFonts w:hint="eastAsia"/>
                      <w:b/>
                      <w:color w:val="auto"/>
                      <w:sz w:val="21"/>
                      <w:szCs w:val="21"/>
                      <w:vertAlign w:val="baseline"/>
                      <w:lang w:val="en-US" w:eastAsia="zh-CN"/>
                    </w:rPr>
                    <w:t>工业炉窑类别</w:t>
                  </w:r>
                </w:p>
              </w:tc>
              <w:tc>
                <w:tcPr>
                  <w:tcW w:w="2658" w:type="dxa"/>
                  <w:tcBorders>
                    <w:tl2br w:val="nil"/>
                    <w:tr2bl w:val="nil"/>
                  </w:tcBorders>
                  <w:vAlign w:val="top"/>
                </w:tcPr>
                <w:p w14:paraId="722A7760">
                  <w:pPr>
                    <w:numPr>
                      <w:ilvl w:val="0"/>
                      <w:numId w:val="0"/>
                    </w:numPr>
                    <w:adjustRightInd w:val="0"/>
                    <w:snapToGrid w:val="0"/>
                    <w:spacing w:line="360" w:lineRule="auto"/>
                    <w:jc w:val="center"/>
                    <w:rPr>
                      <w:rFonts w:hint="default"/>
                      <w:b/>
                      <w:color w:val="auto"/>
                      <w:sz w:val="21"/>
                      <w:szCs w:val="21"/>
                      <w:vertAlign w:val="baseline"/>
                      <w:lang w:val="en-US" w:eastAsia="zh-CN"/>
                    </w:rPr>
                  </w:pPr>
                  <w:r>
                    <w:rPr>
                      <w:rFonts w:hint="eastAsia"/>
                      <w:b/>
                      <w:color w:val="auto"/>
                      <w:sz w:val="21"/>
                      <w:szCs w:val="21"/>
                      <w:vertAlign w:val="baseline"/>
                      <w:lang w:val="en-US" w:eastAsia="zh-CN"/>
                    </w:rPr>
                    <w:t>总悬浮颗粒物浓度限值</w:t>
                  </w:r>
                </w:p>
              </w:tc>
            </w:tr>
            <w:tr w14:paraId="61CF1A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8" w:type="dxa"/>
                  <w:tcBorders>
                    <w:tl2br w:val="nil"/>
                    <w:tr2bl w:val="nil"/>
                  </w:tcBorders>
                  <w:vAlign w:val="top"/>
                </w:tcPr>
                <w:p w14:paraId="6A29DC76">
                  <w:pPr>
                    <w:numPr>
                      <w:ilvl w:val="0"/>
                      <w:numId w:val="0"/>
                    </w:numPr>
                    <w:adjustRightInd w:val="0"/>
                    <w:snapToGrid w:val="0"/>
                    <w:spacing w:line="360" w:lineRule="auto"/>
                    <w:jc w:val="center"/>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有厂房生产车间</w:t>
                  </w:r>
                </w:p>
              </w:tc>
              <w:tc>
                <w:tcPr>
                  <w:tcW w:w="2658" w:type="dxa"/>
                  <w:tcBorders>
                    <w:tl2br w:val="nil"/>
                    <w:tr2bl w:val="nil"/>
                  </w:tcBorders>
                  <w:vAlign w:val="top"/>
                </w:tcPr>
                <w:p w14:paraId="21A0BAEC">
                  <w:pPr>
                    <w:numPr>
                      <w:ilvl w:val="0"/>
                      <w:numId w:val="0"/>
                    </w:numPr>
                    <w:adjustRightInd w:val="0"/>
                    <w:snapToGrid w:val="0"/>
                    <w:spacing w:line="360" w:lineRule="auto"/>
                    <w:jc w:val="center"/>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其他</w:t>
                  </w:r>
                </w:p>
              </w:tc>
              <w:tc>
                <w:tcPr>
                  <w:tcW w:w="2658" w:type="dxa"/>
                  <w:tcBorders>
                    <w:tl2br w:val="nil"/>
                    <w:tr2bl w:val="nil"/>
                  </w:tcBorders>
                  <w:vAlign w:val="top"/>
                </w:tcPr>
                <w:p w14:paraId="42C92C0F">
                  <w:pPr>
                    <w:numPr>
                      <w:ilvl w:val="0"/>
                      <w:numId w:val="0"/>
                    </w:numPr>
                    <w:adjustRightInd w:val="0"/>
                    <w:snapToGrid w:val="0"/>
                    <w:spacing w:line="360" w:lineRule="auto"/>
                    <w:jc w:val="center"/>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5.0</w:t>
                  </w:r>
                </w:p>
              </w:tc>
            </w:tr>
          </w:tbl>
          <w:p w14:paraId="15845543">
            <w:pPr>
              <w:numPr>
                <w:ilvl w:val="0"/>
                <w:numId w:val="0"/>
              </w:numPr>
              <w:adjustRightInd w:val="0"/>
              <w:snapToGrid w:val="0"/>
              <w:spacing w:line="360" w:lineRule="auto"/>
              <w:ind w:firstLine="422" w:firstLineChars="200"/>
              <w:jc w:val="center"/>
              <w:rPr>
                <w:rFonts w:hint="default"/>
                <w:b/>
                <w:color w:val="auto"/>
                <w:sz w:val="21"/>
                <w:szCs w:val="21"/>
                <w:vertAlign w:val="baseline"/>
                <w:lang w:val="en-US" w:eastAsia="zh-CN"/>
              </w:rPr>
            </w:pPr>
            <w:r>
              <w:rPr>
                <w:rFonts w:hint="eastAsia"/>
                <w:b/>
                <w:color w:val="auto"/>
                <w:sz w:val="21"/>
                <w:szCs w:val="21"/>
                <w:lang w:val="en-US" w:eastAsia="zh-CN"/>
              </w:rPr>
              <w:t>表3-6 工业炉窑基准氧含量要求</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3987"/>
            </w:tblGrid>
            <w:tr w14:paraId="25868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7" w:type="dxa"/>
                  <w:tcBorders>
                    <w:tl2br w:val="nil"/>
                    <w:tr2bl w:val="nil"/>
                  </w:tcBorders>
                  <w:vAlign w:val="top"/>
                </w:tcPr>
                <w:p w14:paraId="0EC149E1">
                  <w:pPr>
                    <w:numPr>
                      <w:ilvl w:val="0"/>
                      <w:numId w:val="0"/>
                    </w:numPr>
                    <w:adjustRightInd w:val="0"/>
                    <w:snapToGrid w:val="0"/>
                    <w:spacing w:line="360" w:lineRule="auto"/>
                    <w:jc w:val="center"/>
                    <w:rPr>
                      <w:rFonts w:hint="default"/>
                      <w:b/>
                      <w:color w:val="auto"/>
                      <w:sz w:val="21"/>
                      <w:szCs w:val="21"/>
                      <w:vertAlign w:val="baseline"/>
                      <w:lang w:val="en-US" w:eastAsia="zh-CN"/>
                    </w:rPr>
                  </w:pPr>
                  <w:r>
                    <w:rPr>
                      <w:rFonts w:hint="eastAsia"/>
                      <w:b/>
                      <w:color w:val="auto"/>
                      <w:sz w:val="21"/>
                      <w:szCs w:val="21"/>
                      <w:vertAlign w:val="baseline"/>
                      <w:lang w:val="en-US" w:eastAsia="zh-CN"/>
                    </w:rPr>
                    <w:t>工业炉窑类别</w:t>
                  </w:r>
                </w:p>
              </w:tc>
              <w:tc>
                <w:tcPr>
                  <w:tcW w:w="3987" w:type="dxa"/>
                  <w:tcBorders>
                    <w:tl2br w:val="nil"/>
                    <w:tr2bl w:val="nil"/>
                  </w:tcBorders>
                  <w:vAlign w:val="top"/>
                </w:tcPr>
                <w:p w14:paraId="7E6A1930">
                  <w:pPr>
                    <w:numPr>
                      <w:ilvl w:val="0"/>
                      <w:numId w:val="0"/>
                    </w:numPr>
                    <w:adjustRightInd w:val="0"/>
                    <w:snapToGrid w:val="0"/>
                    <w:spacing w:line="360" w:lineRule="auto"/>
                    <w:jc w:val="center"/>
                    <w:rPr>
                      <w:rFonts w:hint="default"/>
                      <w:b/>
                      <w:color w:val="auto"/>
                      <w:sz w:val="21"/>
                      <w:szCs w:val="21"/>
                      <w:vertAlign w:val="baseline"/>
                      <w:lang w:val="en-US" w:eastAsia="zh-CN"/>
                    </w:rPr>
                  </w:pPr>
                  <w:r>
                    <w:rPr>
                      <w:rFonts w:hint="eastAsia"/>
                      <w:b/>
                      <w:color w:val="auto"/>
                      <w:sz w:val="21"/>
                      <w:szCs w:val="21"/>
                      <w:vertAlign w:val="baseline"/>
                      <w:lang w:val="en-US" w:eastAsia="zh-CN"/>
                    </w:rPr>
                    <w:t>干烟气基准氧含量（O</w:t>
                  </w:r>
                  <w:r>
                    <w:rPr>
                      <w:rFonts w:hint="eastAsia"/>
                      <w:b/>
                      <w:color w:val="auto"/>
                      <w:sz w:val="21"/>
                      <w:szCs w:val="21"/>
                      <w:vertAlign w:val="subscript"/>
                      <w:lang w:val="en-US" w:eastAsia="zh-CN"/>
                    </w:rPr>
                    <w:t>基</w:t>
                  </w:r>
                  <w:r>
                    <w:rPr>
                      <w:rFonts w:hint="eastAsia"/>
                      <w:b/>
                      <w:color w:val="auto"/>
                      <w:sz w:val="21"/>
                      <w:szCs w:val="21"/>
                      <w:vertAlign w:val="baseline"/>
                      <w:lang w:val="en-US" w:eastAsia="zh-CN"/>
                    </w:rPr>
                    <w:t>）/%</w:t>
                  </w:r>
                </w:p>
              </w:tc>
            </w:tr>
            <w:tr w14:paraId="741CB1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7" w:type="dxa"/>
                  <w:tcBorders>
                    <w:tl2br w:val="nil"/>
                    <w:tr2bl w:val="nil"/>
                  </w:tcBorders>
                  <w:vAlign w:val="top"/>
                </w:tcPr>
                <w:p w14:paraId="51C5FE99">
                  <w:pPr>
                    <w:numPr>
                      <w:ilvl w:val="0"/>
                      <w:numId w:val="0"/>
                    </w:numPr>
                    <w:adjustRightInd w:val="0"/>
                    <w:snapToGrid w:val="0"/>
                    <w:spacing w:line="360" w:lineRule="auto"/>
                    <w:jc w:val="center"/>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其他工业炉窑</w:t>
                  </w:r>
                </w:p>
              </w:tc>
              <w:tc>
                <w:tcPr>
                  <w:tcW w:w="3987" w:type="dxa"/>
                  <w:tcBorders>
                    <w:tl2br w:val="nil"/>
                    <w:tr2bl w:val="nil"/>
                  </w:tcBorders>
                  <w:vAlign w:val="top"/>
                </w:tcPr>
                <w:p w14:paraId="30AEF274">
                  <w:pPr>
                    <w:numPr>
                      <w:ilvl w:val="0"/>
                      <w:numId w:val="0"/>
                    </w:numPr>
                    <w:adjustRightInd w:val="0"/>
                    <w:snapToGrid w:val="0"/>
                    <w:spacing w:line="360" w:lineRule="auto"/>
                    <w:jc w:val="center"/>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9</w:t>
                  </w:r>
                </w:p>
              </w:tc>
            </w:tr>
          </w:tbl>
          <w:p w14:paraId="74D47877">
            <w:pPr>
              <w:numPr>
                <w:ilvl w:val="0"/>
                <w:numId w:val="0"/>
              </w:numPr>
              <w:adjustRightInd w:val="0"/>
              <w:snapToGrid w:val="0"/>
              <w:spacing w:line="360" w:lineRule="auto"/>
              <w:ind w:firstLine="422" w:firstLineChars="200"/>
              <w:jc w:val="left"/>
              <w:rPr>
                <w:b/>
                <w:color w:val="auto"/>
                <w:sz w:val="21"/>
                <w:szCs w:val="21"/>
              </w:rPr>
            </w:pPr>
            <w:r>
              <w:rPr>
                <w:rFonts w:hint="eastAsia"/>
                <w:b/>
                <w:color w:val="auto"/>
                <w:sz w:val="21"/>
                <w:szCs w:val="21"/>
                <w:lang w:val="en-US" w:eastAsia="zh-CN"/>
              </w:rPr>
              <w:t>2、</w:t>
            </w:r>
            <w:r>
              <w:rPr>
                <w:b/>
                <w:color w:val="auto"/>
                <w:sz w:val="21"/>
                <w:szCs w:val="21"/>
              </w:rPr>
              <w:t>废水排放标准</w:t>
            </w:r>
          </w:p>
          <w:p w14:paraId="6B6A5C8E">
            <w:pPr>
              <w:adjustRightInd w:val="0"/>
              <w:snapToGrid w:val="0"/>
              <w:spacing w:line="360" w:lineRule="auto"/>
              <w:ind w:firstLine="420" w:firstLineChars="200"/>
              <w:rPr>
                <w:rFonts w:hint="eastAsia" w:cs="Times New Roman"/>
                <w:color w:val="auto"/>
                <w:sz w:val="21"/>
                <w:szCs w:val="21"/>
                <w:lang w:val="en-US" w:eastAsia="zh-CN"/>
              </w:rPr>
            </w:pPr>
            <w:r>
              <w:rPr>
                <w:rFonts w:hint="default" w:ascii="Times New Roman" w:hAnsi="Times New Roman" w:cs="Times New Roman"/>
                <w:color w:val="auto"/>
                <w:sz w:val="21"/>
                <w:szCs w:val="21"/>
              </w:rPr>
              <w:t>本项目营运期</w:t>
            </w:r>
            <w:r>
              <w:rPr>
                <w:rFonts w:hint="eastAsia" w:cs="Times New Roman"/>
                <w:color w:val="auto"/>
                <w:sz w:val="21"/>
                <w:szCs w:val="21"/>
                <w:lang w:val="en-US" w:eastAsia="zh-CN"/>
              </w:rPr>
              <w:t>无生产</w:t>
            </w:r>
            <w:r>
              <w:rPr>
                <w:rFonts w:hint="default" w:ascii="Times New Roman" w:hAnsi="Times New Roman" w:cs="Times New Roman"/>
                <w:color w:val="auto"/>
                <w:sz w:val="21"/>
                <w:szCs w:val="21"/>
              </w:rPr>
              <w:t>废水</w:t>
            </w:r>
            <w:r>
              <w:rPr>
                <w:rFonts w:hint="eastAsia" w:cs="Times New Roman"/>
                <w:color w:val="auto"/>
                <w:sz w:val="21"/>
                <w:szCs w:val="21"/>
                <w:lang w:val="en-US" w:eastAsia="zh-CN"/>
              </w:rPr>
              <w:t>产生，本项目未新增员工，故无生活污水产生。</w:t>
            </w:r>
          </w:p>
          <w:p w14:paraId="62EFFD47">
            <w:pPr>
              <w:adjustRightInd w:val="0"/>
              <w:snapToGrid w:val="0"/>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项目后期雨水排入市政雨水管网，最终排入项目东侧</w:t>
            </w:r>
            <w:r>
              <w:rPr>
                <w:rFonts w:hint="eastAsia" w:ascii="Times New Roman" w:hAnsi="Times New Roman" w:eastAsia="宋体" w:cs="Times New Roman"/>
                <w:b w:val="0"/>
                <w:bCs w:val="0"/>
                <w:color w:val="auto"/>
                <w:sz w:val="21"/>
                <w:szCs w:val="21"/>
                <w:lang w:val="en-US" w:eastAsia="zh-CN"/>
              </w:rPr>
              <w:t>590</w:t>
            </w:r>
            <w:r>
              <w:rPr>
                <w:rFonts w:hint="default" w:ascii="Times New Roman" w:hAnsi="Times New Roman" w:eastAsia="宋体" w:cs="Times New Roman"/>
                <w:b w:val="0"/>
                <w:bCs w:val="0"/>
                <w:color w:val="auto"/>
                <w:sz w:val="21"/>
                <w:szCs w:val="21"/>
                <w:lang w:val="en-US" w:eastAsia="zh-CN"/>
              </w:rPr>
              <w:t>m处的浒通河，</w:t>
            </w:r>
            <w:r>
              <w:rPr>
                <w:rFonts w:hint="default" w:ascii="Times New Roman" w:hAnsi="Times New Roman" w:eastAsia="宋体" w:cs="Times New Roman"/>
                <w:color w:val="auto"/>
                <w:sz w:val="21"/>
                <w:szCs w:val="21"/>
                <w:lang w:val="en-US" w:eastAsia="zh-CN"/>
              </w:rPr>
              <w:t>后期雨水排放管理要求：根据关于印发《江苏省重点行业工业企业雨水排放环境管理办法（试行）》的通知（苏污防攻坚指办</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2023</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71号），后期雨水应满足以下要求：</w:t>
            </w:r>
          </w:p>
          <w:p w14:paraId="396298A1">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①初期雨水收集到位后，应做好后期雨水的收集、监控和排放。</w:t>
            </w:r>
          </w:p>
          <w:p w14:paraId="243E803D">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后期雨水可直接排放或纳管市政雨水管网。雨水排放口水质应保持稳定、清洁。严禁将后期雨水排入污水收集处理设施，借道污水排口排放的，不得在污水排放监控点之前汇入，避免影响污水处理设施效能或产生稀释排污的嫌疑。</w:t>
            </w:r>
          </w:p>
          <w:p w14:paraId="2C416DBB">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③工业企业原则上一个厂区只允许设置一个雨水排放口。确需设置两个及以上雨水排放口的，应书面告知生态环境部门。</w:t>
            </w:r>
          </w:p>
          <w:p w14:paraId="273B3D9B">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④工业企业雨水排放口前须设置明渠或取样监测观察井。明渠长度一般不小于1.5米，检查井长宽不小于0.5米，检查井底部要低于管渠底部0.3米以上，内侧贴白色瓷砖。</w:t>
            </w:r>
          </w:p>
          <w:p w14:paraId="13B19FA9">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⑤工业企业雨水排放口应设立标志牌，标志牌安放位置醒目，保持清洁，不得污损、破坏。</w:t>
            </w:r>
          </w:p>
          <w:p w14:paraId="6CD29EF0">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⑥工业企业雨水排放口应按相关规定和管理要求安装视频监控设备或水质在线监控设备，并与生态环境部门联网。水质在线监控因子由生态环境部门根据环境影响评价、排污许可管理、接管集中式污水处理厂去除能力，以及下游水功能区、国省考断面、饮用水源地等敏感目标管理要求等确定。</w:t>
            </w:r>
          </w:p>
          <w:p w14:paraId="5CC4554F">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⑦为有效防范后期雨水异常排放，必要时在雨水排放口前应安装自动紧急切断装置，并与水质在线监控设备连锁。发现雨水排放口水质异常，如监控因子浓度出现明显升高，</w:t>
            </w:r>
            <w:r>
              <w:rPr>
                <w:rFonts w:hint="default" w:ascii="Times New Roman" w:hAnsi="Times New Roman" w:eastAsia="宋体" w:cs="Times New Roman"/>
                <w:b w:val="0"/>
                <w:bCs w:val="0"/>
                <w:color w:val="auto"/>
                <w:sz w:val="21"/>
                <w:szCs w:val="21"/>
                <w:lang w:val="en-US" w:eastAsia="zh-CN"/>
              </w:rPr>
              <w:t>或超过受纳水体水功能区目标等管控要求时</w:t>
            </w:r>
            <w:r>
              <w:rPr>
                <w:rFonts w:hint="default" w:ascii="Times New Roman" w:hAnsi="Times New Roman" w:eastAsia="宋体" w:cs="Times New Roman"/>
                <w:color w:val="auto"/>
                <w:sz w:val="21"/>
                <w:szCs w:val="21"/>
                <w:lang w:val="en-US" w:eastAsia="zh-CN"/>
              </w:rPr>
              <w:t>，应立即启动工业企业突发环境事件应急预案，立即停止排水并排查超标原因，达到相关要求后方可恢复排水。</w:t>
            </w:r>
          </w:p>
          <w:p w14:paraId="261BD91E">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⑧无降雨时，工业企业雨水排放口原则上应保持干燥；降雨后应及时排出积水，降雨停止1至3日后一般不应再出现对外排水。</w:t>
            </w:r>
          </w:p>
          <w:p w14:paraId="655FB6E0">
            <w:pPr>
              <w:adjustRightInd w:val="0"/>
              <w:snapToGrid w:val="0"/>
              <w:spacing w:line="360" w:lineRule="auto"/>
              <w:ind w:firstLine="420" w:firstLineChars="200"/>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根据《江苏省地表水（环境）功能区划（2021-2030）》及“十四五”地表水考核断面设置情况</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本项目雨水排放标准执行《地表水环境质量标准》（GB3838-2002）中的</w:t>
            </w:r>
            <w:r>
              <w:rPr>
                <w:rFonts w:hint="default" w:ascii="Times New Roman" w:hAnsi="Times New Roman" w:eastAsia="仿宋" w:cs="Times New Roman"/>
                <w:color w:val="auto"/>
                <w:sz w:val="21"/>
                <w:szCs w:val="21"/>
                <w:lang w:val="en-US" w:eastAsia="zh-CN"/>
              </w:rPr>
              <w:t>Ⅲ</w:t>
            </w:r>
            <w:r>
              <w:rPr>
                <w:rFonts w:hint="default" w:ascii="Times New Roman" w:hAnsi="Times New Roman" w:eastAsia="宋体" w:cs="Times New Roman"/>
                <w:color w:val="auto"/>
                <w:sz w:val="21"/>
                <w:szCs w:val="21"/>
                <w:lang w:val="en-US" w:eastAsia="zh-CN"/>
              </w:rPr>
              <w:t>类水质标准。</w:t>
            </w:r>
          </w:p>
          <w:p w14:paraId="130FCD1A">
            <w:pPr>
              <w:adjustRightInd w:val="0"/>
              <w:snapToGrid w:val="0"/>
              <w:spacing w:line="360" w:lineRule="auto"/>
              <w:ind w:firstLine="422" w:firstLineChars="200"/>
              <w:rPr>
                <w:b/>
                <w:color w:val="auto"/>
                <w:sz w:val="21"/>
                <w:szCs w:val="21"/>
              </w:rPr>
            </w:pPr>
            <w:r>
              <w:rPr>
                <w:rFonts w:hint="eastAsia"/>
                <w:b/>
                <w:color w:val="auto"/>
                <w:sz w:val="21"/>
                <w:szCs w:val="21"/>
                <w:lang w:val="en-US" w:eastAsia="zh-CN"/>
              </w:rPr>
              <w:t>3</w:t>
            </w:r>
            <w:r>
              <w:rPr>
                <w:b/>
                <w:color w:val="auto"/>
                <w:sz w:val="21"/>
                <w:szCs w:val="21"/>
              </w:rPr>
              <w:t>、噪声排放标准</w:t>
            </w:r>
          </w:p>
          <w:p w14:paraId="34C7B8D7">
            <w:pPr>
              <w:adjustRightInd w:val="0"/>
              <w:snapToGrid w:val="0"/>
              <w:spacing w:line="360" w:lineRule="auto"/>
              <w:ind w:firstLine="420" w:firstLineChars="200"/>
              <w:rPr>
                <w:color w:val="auto"/>
                <w:sz w:val="21"/>
                <w:szCs w:val="21"/>
              </w:rPr>
            </w:pPr>
            <w:r>
              <w:rPr>
                <w:color w:val="auto"/>
                <w:sz w:val="21"/>
                <w:szCs w:val="21"/>
              </w:rPr>
              <w:t>本项目营运期</w:t>
            </w:r>
            <w:r>
              <w:rPr>
                <w:rFonts w:hint="eastAsia"/>
                <w:color w:val="auto"/>
                <w:sz w:val="21"/>
                <w:szCs w:val="21"/>
                <w:lang w:val="en-US" w:eastAsia="zh-CN"/>
              </w:rPr>
              <w:t>厂界四周</w:t>
            </w:r>
            <w:r>
              <w:rPr>
                <w:color w:val="auto"/>
                <w:sz w:val="21"/>
                <w:szCs w:val="21"/>
              </w:rPr>
              <w:t>噪声执行</w:t>
            </w:r>
            <w:r>
              <w:rPr>
                <w:rFonts w:hint="eastAsia"/>
                <w:color w:val="auto"/>
                <w:sz w:val="21"/>
                <w:szCs w:val="21"/>
              </w:rPr>
              <w:t>《工业企业厂界环境噪声排放标准》（GB12348－2008）</w:t>
            </w:r>
            <w:r>
              <w:rPr>
                <w:rFonts w:hint="eastAsia"/>
                <w:color w:val="auto"/>
                <w:sz w:val="21"/>
                <w:szCs w:val="21"/>
                <w:lang w:val="en-US" w:eastAsia="zh-CN"/>
              </w:rPr>
              <w:t>3</w:t>
            </w:r>
            <w:r>
              <w:rPr>
                <w:color w:val="auto"/>
                <w:sz w:val="21"/>
                <w:szCs w:val="21"/>
              </w:rPr>
              <w:t>类标准，具体见表3-</w:t>
            </w:r>
            <w:r>
              <w:rPr>
                <w:rFonts w:hint="eastAsia"/>
                <w:color w:val="auto"/>
                <w:sz w:val="21"/>
                <w:szCs w:val="21"/>
                <w:lang w:val="en-US" w:eastAsia="zh-CN"/>
              </w:rPr>
              <w:t>7</w:t>
            </w:r>
            <w:r>
              <w:rPr>
                <w:color w:val="auto"/>
                <w:sz w:val="21"/>
                <w:szCs w:val="21"/>
              </w:rPr>
              <w:t>。</w:t>
            </w:r>
          </w:p>
          <w:p w14:paraId="4CD02AA5">
            <w:pPr>
              <w:adjustRightInd w:val="0"/>
              <w:snapToGrid w:val="0"/>
              <w:spacing w:line="360" w:lineRule="auto"/>
              <w:jc w:val="center"/>
              <w:rPr>
                <w:b/>
                <w:bCs w:val="0"/>
                <w:color w:val="auto"/>
                <w:sz w:val="21"/>
                <w:szCs w:val="21"/>
              </w:rPr>
            </w:pPr>
            <w:r>
              <w:rPr>
                <w:b/>
                <w:bCs w:val="0"/>
                <w:color w:val="auto"/>
                <w:sz w:val="21"/>
                <w:szCs w:val="21"/>
              </w:rPr>
              <w:t>表3-</w:t>
            </w:r>
            <w:r>
              <w:rPr>
                <w:rFonts w:hint="eastAsia"/>
                <w:b/>
                <w:bCs w:val="0"/>
                <w:color w:val="auto"/>
                <w:sz w:val="21"/>
                <w:szCs w:val="21"/>
                <w:lang w:val="en-US" w:eastAsia="zh-CN"/>
              </w:rPr>
              <w:t>7</w:t>
            </w:r>
            <w:r>
              <w:rPr>
                <w:b/>
                <w:bCs w:val="0"/>
                <w:color w:val="auto"/>
                <w:sz w:val="21"/>
                <w:szCs w:val="21"/>
              </w:rPr>
              <w:t xml:space="preserve"> </w:t>
            </w:r>
            <w:r>
              <w:rPr>
                <w:rFonts w:hint="eastAsia"/>
                <w:b/>
                <w:bCs w:val="0"/>
                <w:color w:val="auto"/>
                <w:sz w:val="21"/>
                <w:szCs w:val="21"/>
                <w:lang w:val="en-US" w:eastAsia="zh-CN"/>
              </w:rPr>
              <w:t>工业企业厂界环境噪声排放标准值</w:t>
            </w:r>
            <w:r>
              <w:rPr>
                <w:b/>
                <w:bCs w:val="0"/>
                <w:color w:val="auto"/>
                <w:sz w:val="21"/>
                <w:szCs w:val="21"/>
              </w:rPr>
              <w:t xml:space="preserve">  单位：dB(A)</w:t>
            </w:r>
          </w:p>
          <w:tbl>
            <w:tblPr>
              <w:tblStyle w:val="42"/>
              <w:tblW w:w="82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2758"/>
              <w:gridCol w:w="2759"/>
            </w:tblGrid>
            <w:tr w14:paraId="67CD7D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57" w:type="dxa"/>
                  <w:noWrap w:val="0"/>
                  <w:vAlign w:val="center"/>
                </w:tcPr>
                <w:p w14:paraId="72480BA8">
                  <w:pPr>
                    <w:snapToGrid w:val="0"/>
                    <w:spacing w:line="360" w:lineRule="auto"/>
                    <w:jc w:val="center"/>
                    <w:rPr>
                      <w:b/>
                      <w:color w:val="auto"/>
                      <w:sz w:val="21"/>
                      <w:szCs w:val="21"/>
                    </w:rPr>
                  </w:pPr>
                  <w:r>
                    <w:rPr>
                      <w:b/>
                      <w:color w:val="auto"/>
                      <w:sz w:val="21"/>
                      <w:szCs w:val="21"/>
                    </w:rPr>
                    <w:t>类别</w:t>
                  </w:r>
                </w:p>
              </w:tc>
              <w:tc>
                <w:tcPr>
                  <w:tcW w:w="2758" w:type="dxa"/>
                  <w:noWrap w:val="0"/>
                  <w:vAlign w:val="center"/>
                </w:tcPr>
                <w:p w14:paraId="3032CBAC">
                  <w:pPr>
                    <w:snapToGrid w:val="0"/>
                    <w:spacing w:line="360" w:lineRule="auto"/>
                    <w:jc w:val="center"/>
                    <w:rPr>
                      <w:b/>
                      <w:color w:val="auto"/>
                      <w:sz w:val="21"/>
                      <w:szCs w:val="21"/>
                    </w:rPr>
                  </w:pPr>
                  <w:r>
                    <w:rPr>
                      <w:b/>
                      <w:color w:val="auto"/>
                      <w:sz w:val="21"/>
                      <w:szCs w:val="21"/>
                    </w:rPr>
                    <w:t>昼间</w:t>
                  </w:r>
                </w:p>
              </w:tc>
              <w:tc>
                <w:tcPr>
                  <w:tcW w:w="2759" w:type="dxa"/>
                  <w:noWrap w:val="0"/>
                  <w:vAlign w:val="center"/>
                </w:tcPr>
                <w:p w14:paraId="08570F9B">
                  <w:pPr>
                    <w:snapToGrid w:val="0"/>
                    <w:spacing w:line="360" w:lineRule="auto"/>
                    <w:jc w:val="center"/>
                    <w:rPr>
                      <w:b/>
                      <w:color w:val="auto"/>
                      <w:sz w:val="21"/>
                      <w:szCs w:val="21"/>
                    </w:rPr>
                  </w:pPr>
                  <w:r>
                    <w:rPr>
                      <w:b/>
                      <w:color w:val="auto"/>
                      <w:sz w:val="21"/>
                      <w:szCs w:val="21"/>
                    </w:rPr>
                    <w:t>夜间</w:t>
                  </w:r>
                </w:p>
              </w:tc>
            </w:tr>
            <w:tr w14:paraId="4E8867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57" w:type="dxa"/>
                  <w:noWrap w:val="0"/>
                  <w:vAlign w:val="center"/>
                </w:tcPr>
                <w:p w14:paraId="17F20515">
                  <w:pPr>
                    <w:spacing w:line="360" w:lineRule="auto"/>
                    <w:jc w:val="center"/>
                    <w:rPr>
                      <w:rFonts w:hint="default"/>
                      <w:color w:val="auto"/>
                      <w:sz w:val="21"/>
                      <w:szCs w:val="21"/>
                      <w:lang w:val="en-US" w:eastAsia="zh-CN"/>
                    </w:rPr>
                  </w:pPr>
                  <w:r>
                    <w:rPr>
                      <w:rFonts w:hint="eastAsia"/>
                      <w:color w:val="auto"/>
                      <w:sz w:val="21"/>
                      <w:szCs w:val="21"/>
                      <w:lang w:val="en-US" w:eastAsia="zh-CN"/>
                    </w:rPr>
                    <w:t>3</w:t>
                  </w:r>
                </w:p>
              </w:tc>
              <w:tc>
                <w:tcPr>
                  <w:tcW w:w="2758" w:type="dxa"/>
                  <w:noWrap w:val="0"/>
                  <w:vAlign w:val="center"/>
                </w:tcPr>
                <w:p w14:paraId="79B9B736">
                  <w:pPr>
                    <w:spacing w:line="360" w:lineRule="auto"/>
                    <w:jc w:val="center"/>
                    <w:rPr>
                      <w:rFonts w:hint="default" w:eastAsia="宋体"/>
                      <w:color w:val="auto"/>
                      <w:sz w:val="21"/>
                      <w:szCs w:val="21"/>
                      <w:lang w:val="en-US" w:eastAsia="zh-CN"/>
                    </w:rPr>
                  </w:pPr>
                  <w:r>
                    <w:rPr>
                      <w:rFonts w:hint="eastAsia"/>
                      <w:color w:val="auto"/>
                      <w:sz w:val="21"/>
                      <w:szCs w:val="21"/>
                      <w:lang w:val="en-US" w:eastAsia="zh-CN"/>
                    </w:rPr>
                    <w:t>65</w:t>
                  </w:r>
                </w:p>
              </w:tc>
              <w:tc>
                <w:tcPr>
                  <w:tcW w:w="2759" w:type="dxa"/>
                  <w:noWrap w:val="0"/>
                  <w:vAlign w:val="center"/>
                </w:tcPr>
                <w:p w14:paraId="58B0A531">
                  <w:pPr>
                    <w:spacing w:line="360" w:lineRule="auto"/>
                    <w:jc w:val="center"/>
                    <w:rPr>
                      <w:rFonts w:hint="default"/>
                      <w:color w:val="auto"/>
                      <w:sz w:val="21"/>
                      <w:szCs w:val="21"/>
                      <w:lang w:val="en-US" w:eastAsia="zh-CN"/>
                    </w:rPr>
                  </w:pPr>
                  <w:r>
                    <w:rPr>
                      <w:rFonts w:hint="eastAsia"/>
                      <w:color w:val="auto"/>
                      <w:sz w:val="21"/>
                      <w:szCs w:val="21"/>
                      <w:lang w:val="en-US" w:eastAsia="zh-CN"/>
                    </w:rPr>
                    <w:t>55</w:t>
                  </w:r>
                </w:p>
              </w:tc>
            </w:tr>
          </w:tbl>
          <w:p w14:paraId="782C057C">
            <w:pPr>
              <w:pStyle w:val="11"/>
              <w:topLinePunct/>
              <w:adjustRightInd w:val="0"/>
              <w:snapToGrid w:val="0"/>
              <w:spacing w:line="360" w:lineRule="auto"/>
              <w:ind w:firstLine="482"/>
              <w:rPr>
                <w:b/>
                <w:color w:val="auto"/>
                <w:sz w:val="21"/>
                <w:szCs w:val="21"/>
                <w:lang w:val="en-US" w:eastAsia="zh-CN"/>
              </w:rPr>
            </w:pPr>
            <w:r>
              <w:rPr>
                <w:rFonts w:hint="eastAsia"/>
                <w:b/>
                <w:color w:val="auto"/>
                <w:sz w:val="21"/>
                <w:szCs w:val="21"/>
                <w:lang w:val="en-US" w:eastAsia="zh-CN"/>
              </w:rPr>
              <w:t>3</w:t>
            </w:r>
            <w:r>
              <w:rPr>
                <w:b/>
                <w:color w:val="auto"/>
                <w:sz w:val="21"/>
                <w:szCs w:val="21"/>
                <w:lang w:val="en-US" w:eastAsia="zh-CN"/>
              </w:rPr>
              <w:t>、固废</w:t>
            </w:r>
          </w:p>
          <w:p w14:paraId="02AFFBB6">
            <w:pPr>
              <w:pStyle w:val="11"/>
              <w:topLinePunct/>
              <w:adjustRightInd w:val="0"/>
              <w:snapToGrid w:val="0"/>
              <w:spacing w:line="360" w:lineRule="auto"/>
              <w:ind w:firstLine="420"/>
              <w:rPr>
                <w:rFonts w:ascii="Times New Roman" w:hAnsi="Times New Roman" w:cs="Times New Roman"/>
                <w:color w:val="auto"/>
                <w:sz w:val="21"/>
              </w:rPr>
            </w:pPr>
            <w:r>
              <w:rPr>
                <w:rFonts w:ascii="Times New Roman" w:hAnsi="Times New Roman" w:cs="Times New Roman"/>
                <w:color w:val="auto"/>
                <w:sz w:val="21"/>
              </w:rPr>
              <w:t>项目一般工业固体废物储存执行《一般工业固体废物贮存和填埋污染控制标准》（GB 18599-2020）中的相关规定。</w:t>
            </w:r>
          </w:p>
          <w:p w14:paraId="26063D58">
            <w:pPr>
              <w:pStyle w:val="11"/>
              <w:topLinePunct/>
              <w:adjustRightInd w:val="0"/>
              <w:snapToGrid w:val="0"/>
              <w:spacing w:line="360" w:lineRule="auto"/>
              <w:ind w:firstLine="420"/>
              <w:rPr>
                <w:rFonts w:ascii="Times New Roman" w:hAnsi="Times New Roman" w:cs="Times New Roman"/>
                <w:color w:val="auto"/>
                <w:sz w:val="21"/>
              </w:rPr>
            </w:pPr>
            <w:r>
              <w:rPr>
                <w:rFonts w:ascii="Times New Roman" w:hAnsi="Times New Roman" w:cs="Times New Roman"/>
                <w:color w:val="auto"/>
                <w:sz w:val="21"/>
              </w:rPr>
              <w:t>危险固废</w:t>
            </w:r>
            <w:r>
              <w:rPr>
                <w:rFonts w:hint="eastAsia" w:ascii="Times New Roman" w:hAnsi="Times New Roman" w:cs="Times New Roman"/>
                <w:color w:val="auto"/>
                <w:sz w:val="21"/>
                <w:lang w:val="en-US" w:eastAsia="zh-CN"/>
              </w:rPr>
              <w:t>的暂存场所同时满足《关于印发江苏省危险废物贮存规范化管理专项整治行动方案的通知》（苏环办</w:t>
            </w:r>
            <w:r>
              <w:rPr>
                <w:rFonts w:hint="eastAsia" w:ascii="Times New Roman" w:hAnsi="Times New Roman" w:cs="Times New Roman"/>
                <w:color w:val="auto"/>
                <w:sz w:val="21"/>
              </w:rPr>
              <w:t>〔</w:t>
            </w:r>
            <w:r>
              <w:rPr>
                <w:rFonts w:ascii="Times New Roman" w:hAnsi="Times New Roman" w:cs="Times New Roman"/>
                <w:color w:val="auto"/>
                <w:sz w:val="21"/>
              </w:rPr>
              <w:t>2019</w:t>
            </w:r>
            <w:r>
              <w:rPr>
                <w:rFonts w:hint="eastAsia" w:ascii="Times New Roman" w:hAnsi="Times New Roman" w:cs="Times New Roman"/>
                <w:color w:val="auto"/>
                <w:sz w:val="21"/>
              </w:rPr>
              <w:t>〕</w:t>
            </w:r>
            <w:r>
              <w:rPr>
                <w:rFonts w:hint="eastAsia" w:ascii="Times New Roman" w:hAnsi="Times New Roman" w:cs="Times New Roman"/>
                <w:color w:val="auto"/>
                <w:sz w:val="21"/>
                <w:lang w:val="en-US" w:eastAsia="zh-CN"/>
              </w:rPr>
              <w:t>149号）、</w:t>
            </w:r>
            <w:r>
              <w:rPr>
                <w:rFonts w:hint="eastAsia" w:ascii="Times New Roman" w:hAnsi="Times New Roman" w:cs="Times New Roman"/>
                <w:color w:val="auto"/>
                <w:kern w:val="0"/>
                <w:sz w:val="21"/>
              </w:rPr>
              <w:t>《危险废物贮存污染控制标准》（</w:t>
            </w:r>
            <w:r>
              <w:rPr>
                <w:rFonts w:ascii="Times New Roman" w:hAnsi="Times New Roman" w:cs="Times New Roman"/>
                <w:color w:val="auto"/>
                <w:kern w:val="0"/>
                <w:sz w:val="21"/>
              </w:rPr>
              <w:t>GB 18597-2023</w:t>
            </w:r>
            <w:r>
              <w:rPr>
                <w:rFonts w:hint="eastAsia" w:ascii="Times New Roman" w:hAnsi="Times New Roman" w:cs="Times New Roman"/>
                <w:color w:val="auto"/>
                <w:kern w:val="0"/>
                <w:sz w:val="21"/>
              </w:rPr>
              <w:t>）</w:t>
            </w:r>
            <w:r>
              <w:rPr>
                <w:rFonts w:ascii="Times New Roman" w:hAnsi="Times New Roman" w:cs="Times New Roman"/>
                <w:color w:val="auto"/>
                <w:sz w:val="21"/>
              </w:rPr>
              <w:t>及《省生态环境厅关于</w:t>
            </w:r>
            <w:r>
              <w:rPr>
                <w:rFonts w:hint="eastAsia" w:ascii="Times New Roman" w:hAnsi="Times New Roman" w:cs="Times New Roman"/>
                <w:color w:val="auto"/>
                <w:sz w:val="21"/>
                <w:lang w:val="en-US" w:eastAsia="zh-CN"/>
              </w:rPr>
              <w:t>印发</w:t>
            </w:r>
            <w:r>
              <w:rPr>
                <w:rFonts w:hint="eastAsia" w:cs="Times New Roman"/>
                <w:color w:val="auto"/>
                <w:sz w:val="21"/>
                <w:lang w:val="en-US" w:eastAsia="zh-CN"/>
              </w:rPr>
              <w:t>〈</w:t>
            </w:r>
            <w:r>
              <w:rPr>
                <w:rFonts w:hint="eastAsia" w:ascii="Times New Roman" w:hAnsi="Times New Roman" w:cs="Times New Roman"/>
                <w:color w:val="auto"/>
                <w:sz w:val="21"/>
                <w:lang w:val="en-US" w:eastAsia="zh-CN"/>
              </w:rPr>
              <w:t>江苏省固体废物全过程环境监管工作意见</w:t>
            </w:r>
            <w:r>
              <w:rPr>
                <w:rFonts w:hint="eastAsia" w:cs="Times New Roman"/>
                <w:color w:val="auto"/>
                <w:sz w:val="21"/>
                <w:lang w:val="en-US" w:eastAsia="zh-CN"/>
              </w:rPr>
              <w:t>〉</w:t>
            </w:r>
            <w:r>
              <w:rPr>
                <w:rFonts w:hint="eastAsia" w:ascii="Times New Roman" w:hAnsi="Times New Roman" w:cs="Times New Roman"/>
                <w:color w:val="auto"/>
                <w:sz w:val="21"/>
                <w:lang w:val="en-US" w:eastAsia="zh-CN"/>
              </w:rPr>
              <w:t>的通知</w:t>
            </w:r>
            <w:r>
              <w:rPr>
                <w:rFonts w:ascii="Times New Roman" w:hAnsi="Times New Roman" w:cs="Times New Roman"/>
                <w:color w:val="auto"/>
                <w:sz w:val="21"/>
              </w:rPr>
              <w:t>》（苏环办</w:t>
            </w:r>
            <w:r>
              <w:rPr>
                <w:rFonts w:hint="eastAsia" w:ascii="Times New Roman" w:hAnsi="Times New Roman" w:cs="Times New Roman"/>
                <w:color w:val="auto"/>
                <w:sz w:val="21"/>
              </w:rPr>
              <w:t>〔</w:t>
            </w:r>
            <w:r>
              <w:rPr>
                <w:rFonts w:ascii="Times New Roman" w:hAnsi="Times New Roman" w:cs="Times New Roman"/>
                <w:color w:val="auto"/>
                <w:sz w:val="21"/>
              </w:rPr>
              <w:t>20</w:t>
            </w:r>
            <w:r>
              <w:rPr>
                <w:rFonts w:hint="eastAsia" w:ascii="Times New Roman" w:hAnsi="Times New Roman" w:cs="Times New Roman"/>
                <w:color w:val="auto"/>
                <w:sz w:val="21"/>
                <w:lang w:val="en-US" w:eastAsia="zh-CN"/>
              </w:rPr>
              <w:t>24</w:t>
            </w:r>
            <w:r>
              <w:rPr>
                <w:rFonts w:hint="eastAsia" w:ascii="Times New Roman" w:hAnsi="Times New Roman" w:cs="Times New Roman"/>
                <w:color w:val="auto"/>
                <w:sz w:val="21"/>
              </w:rPr>
              <w:t>〕</w:t>
            </w:r>
            <w:r>
              <w:rPr>
                <w:rFonts w:hint="eastAsia" w:ascii="Times New Roman" w:hAnsi="Times New Roman" w:cs="Times New Roman"/>
                <w:color w:val="auto"/>
                <w:sz w:val="21"/>
                <w:lang w:val="en-US" w:eastAsia="zh-CN"/>
              </w:rPr>
              <w:t>16</w:t>
            </w:r>
            <w:r>
              <w:rPr>
                <w:rFonts w:ascii="Times New Roman" w:hAnsi="Times New Roman" w:cs="Times New Roman"/>
                <w:color w:val="auto"/>
                <w:sz w:val="21"/>
              </w:rPr>
              <w:t>号）。</w:t>
            </w:r>
          </w:p>
          <w:p w14:paraId="5970763B">
            <w:pPr>
              <w:adjustRightInd w:val="0"/>
              <w:snapToGrid w:val="0"/>
              <w:spacing w:line="360" w:lineRule="auto"/>
              <w:ind w:firstLine="420" w:firstLineChars="200"/>
              <w:jc w:val="left"/>
              <w:rPr>
                <w:color w:val="auto"/>
                <w:kern w:val="0"/>
                <w:sz w:val="21"/>
                <w:szCs w:val="21"/>
              </w:rPr>
            </w:pPr>
            <w:r>
              <w:rPr>
                <w:rFonts w:hint="eastAsia"/>
                <w:color w:val="auto"/>
                <w:szCs w:val="21"/>
              </w:rPr>
              <w:t>生活垃圾处理执行《城市生活垃圾处理及污染防治技术政策》（建城</w:t>
            </w:r>
            <w:r>
              <w:rPr>
                <w:rFonts w:hint="eastAsia"/>
                <w:b w:val="0"/>
                <w:bCs w:val="0"/>
                <w:color w:val="auto"/>
                <w:kern w:val="0"/>
                <w:szCs w:val="21"/>
              </w:rPr>
              <w:t>〔</w:t>
            </w:r>
            <w:r>
              <w:rPr>
                <w:rFonts w:hint="eastAsia"/>
                <w:color w:val="auto"/>
                <w:szCs w:val="21"/>
              </w:rPr>
              <w:t>2000</w:t>
            </w:r>
            <w:r>
              <w:rPr>
                <w:rFonts w:hint="eastAsia"/>
                <w:b w:val="0"/>
                <w:bCs/>
                <w:color w:val="auto"/>
                <w:sz w:val="21"/>
                <w:szCs w:val="21"/>
                <w:lang w:val="en-US" w:eastAsia="zh-CN"/>
              </w:rPr>
              <w:t>〕</w:t>
            </w:r>
            <w:r>
              <w:rPr>
                <w:rFonts w:hint="eastAsia"/>
                <w:color w:val="auto"/>
                <w:szCs w:val="21"/>
              </w:rPr>
              <w:t>120号）和《生活垃圾处理技术指南》（建城</w:t>
            </w:r>
            <w:r>
              <w:rPr>
                <w:rFonts w:hint="eastAsia"/>
                <w:b w:val="0"/>
                <w:bCs w:val="0"/>
                <w:color w:val="auto"/>
                <w:kern w:val="0"/>
                <w:szCs w:val="21"/>
              </w:rPr>
              <w:t>〔</w:t>
            </w:r>
            <w:r>
              <w:rPr>
                <w:rFonts w:hint="eastAsia"/>
                <w:color w:val="auto"/>
                <w:szCs w:val="21"/>
              </w:rPr>
              <w:t>1810</w:t>
            </w:r>
            <w:r>
              <w:rPr>
                <w:rFonts w:hint="eastAsia"/>
                <w:b w:val="0"/>
                <w:bCs/>
                <w:color w:val="auto"/>
                <w:sz w:val="21"/>
                <w:szCs w:val="21"/>
                <w:lang w:val="en-US" w:eastAsia="zh-CN"/>
              </w:rPr>
              <w:t>〕</w:t>
            </w:r>
            <w:r>
              <w:rPr>
                <w:rFonts w:hint="eastAsia"/>
                <w:color w:val="auto"/>
                <w:szCs w:val="21"/>
              </w:rPr>
              <w:t>61号）以及国家、省市关于固体废物污染环境防治的法律法规。</w:t>
            </w:r>
          </w:p>
        </w:tc>
      </w:tr>
      <w:tr w14:paraId="2D58C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800" w:type="dxa"/>
            <w:noWrap w:val="0"/>
            <w:vAlign w:val="center"/>
          </w:tcPr>
          <w:p w14:paraId="0F074133">
            <w:pPr>
              <w:adjustRightInd w:val="0"/>
              <w:snapToGrid w:val="0"/>
              <w:jc w:val="center"/>
              <w:rPr>
                <w:color w:val="auto"/>
                <w:kern w:val="0"/>
                <w:sz w:val="21"/>
                <w:szCs w:val="21"/>
              </w:rPr>
            </w:pPr>
            <w:r>
              <w:rPr>
                <w:color w:val="auto"/>
                <w:kern w:val="0"/>
                <w:sz w:val="21"/>
                <w:szCs w:val="21"/>
              </w:rPr>
              <w:t>总量</w:t>
            </w:r>
          </w:p>
          <w:p w14:paraId="5342C8EE">
            <w:pPr>
              <w:adjustRightInd w:val="0"/>
              <w:snapToGrid w:val="0"/>
              <w:jc w:val="center"/>
              <w:rPr>
                <w:color w:val="auto"/>
                <w:kern w:val="0"/>
                <w:sz w:val="21"/>
                <w:szCs w:val="21"/>
              </w:rPr>
            </w:pPr>
            <w:r>
              <w:rPr>
                <w:color w:val="auto"/>
                <w:kern w:val="0"/>
                <w:sz w:val="21"/>
                <w:szCs w:val="21"/>
              </w:rPr>
              <w:t>控制</w:t>
            </w:r>
          </w:p>
          <w:p w14:paraId="06884BD9">
            <w:pPr>
              <w:adjustRightInd w:val="0"/>
              <w:snapToGrid w:val="0"/>
              <w:jc w:val="center"/>
              <w:rPr>
                <w:color w:val="auto"/>
                <w:kern w:val="0"/>
                <w:sz w:val="21"/>
                <w:szCs w:val="21"/>
              </w:rPr>
            </w:pPr>
            <w:r>
              <w:rPr>
                <w:color w:val="auto"/>
                <w:kern w:val="0"/>
                <w:sz w:val="21"/>
                <w:szCs w:val="21"/>
              </w:rPr>
              <w:t>指标</w:t>
            </w:r>
          </w:p>
        </w:tc>
        <w:tc>
          <w:tcPr>
            <w:tcW w:w="8190" w:type="dxa"/>
            <w:noWrap w:val="0"/>
            <w:vAlign w:val="center"/>
          </w:tcPr>
          <w:p w14:paraId="656E749C">
            <w:pPr>
              <w:pStyle w:val="199"/>
              <w:adjustRightInd w:val="0"/>
              <w:snapToGrid w:val="0"/>
              <w:spacing w:line="360" w:lineRule="auto"/>
              <w:ind w:firstLine="420"/>
              <w:rPr>
                <w:rFonts w:ascii="Times New Roman" w:hAnsi="Times New Roman"/>
                <w:bCs/>
                <w:color w:val="auto"/>
                <w:szCs w:val="21"/>
              </w:rPr>
            </w:pPr>
            <w:r>
              <w:rPr>
                <w:rFonts w:ascii="Times New Roman" w:hAnsi="Times New Roman"/>
                <w:color w:val="auto"/>
                <w:szCs w:val="21"/>
              </w:rPr>
              <w:t>根据关于印发《关于进一步优化建设项目排污总量指标管理提升环评审批效能的意见（试行）》</w:t>
            </w:r>
            <w:r>
              <w:rPr>
                <w:rFonts w:hint="eastAsia" w:ascii="Times New Roman" w:hAnsi="Times New Roman"/>
                <w:color w:val="auto"/>
                <w:szCs w:val="21"/>
              </w:rPr>
              <w:t>（通环办〔2023〕132号）</w:t>
            </w:r>
            <w:r>
              <w:rPr>
                <w:rFonts w:ascii="Times New Roman" w:hAnsi="Times New Roman"/>
                <w:color w:val="auto"/>
                <w:szCs w:val="21"/>
              </w:rPr>
              <w:t>的通知，需编制报批环境影响报告书（表）的新（改、扩）建项目（不含生活污水及工业废水集中处理厂、垃圾处理场、危险废物填埋和医疗废物处置厂），且属于《固定污染源排污许可分类管理名录》规定的重点管理或简化管理的排污单位，需通过交易获得新增排污总量指标。本项目不属于生活污水及工业废水集中处理厂、垃圾处理场、危险废物填埋和医疗废物处置厂</w:t>
            </w:r>
            <w:r>
              <w:rPr>
                <w:rFonts w:hint="eastAsia" w:ascii="Times New Roman" w:hAnsi="Times New Roman"/>
                <w:color w:val="auto"/>
                <w:szCs w:val="21"/>
                <w:lang w:eastAsia="zh-CN"/>
              </w:rPr>
              <w:t>；</w:t>
            </w:r>
            <w:r>
              <w:rPr>
                <w:rFonts w:ascii="Times New Roman" w:hAnsi="Times New Roman"/>
                <w:color w:val="auto"/>
                <w:szCs w:val="21"/>
              </w:rPr>
              <w:t>根据《固定污染源排污许可分类管理名录（2019年版）》（生态环境部 部令第11号），本项目属于</w:t>
            </w:r>
            <w:r>
              <w:rPr>
                <w:rFonts w:hint="eastAsia" w:ascii="Times New Roman" w:hAnsi="Times New Roman"/>
                <w:color w:val="auto"/>
                <w:szCs w:val="21"/>
                <w:lang w:val="en-US" w:eastAsia="zh-CN"/>
              </w:rPr>
              <w:t>登记管理</w:t>
            </w:r>
            <w:r>
              <w:rPr>
                <w:rFonts w:ascii="Times New Roman" w:hAnsi="Times New Roman"/>
                <w:color w:val="auto"/>
                <w:szCs w:val="21"/>
              </w:rPr>
              <w:t>，</w:t>
            </w:r>
            <w:r>
              <w:rPr>
                <w:rFonts w:hint="eastAsia" w:ascii="Times New Roman" w:hAnsi="Times New Roman"/>
                <w:color w:val="auto"/>
                <w:szCs w:val="21"/>
                <w:lang w:val="en-US" w:eastAsia="zh-CN"/>
              </w:rPr>
              <w:t>无</w:t>
            </w:r>
            <w:r>
              <w:rPr>
                <w:rFonts w:hint="eastAsia"/>
                <w:bCs/>
                <w:color w:val="auto"/>
                <w:szCs w:val="21"/>
                <w:lang w:val="en-US" w:eastAsia="zh-CN"/>
              </w:rPr>
              <w:t>需进行总量指标审核</w:t>
            </w:r>
            <w:r>
              <w:rPr>
                <w:rFonts w:ascii="Times New Roman" w:hAnsi="Times New Roman"/>
                <w:bCs/>
                <w:color w:val="auto"/>
                <w:szCs w:val="21"/>
              </w:rPr>
              <w:t>。</w:t>
            </w:r>
          </w:p>
          <w:p w14:paraId="69D45261">
            <w:pPr>
              <w:autoSpaceDE w:val="0"/>
              <w:autoSpaceDN w:val="0"/>
              <w:adjustRightInd w:val="0"/>
              <w:snapToGrid w:val="0"/>
              <w:spacing w:line="360" w:lineRule="auto"/>
              <w:ind w:firstLine="420" w:firstLineChars="200"/>
              <w:rPr>
                <w:bCs/>
                <w:color w:val="auto"/>
                <w:sz w:val="21"/>
                <w:szCs w:val="21"/>
              </w:rPr>
            </w:pPr>
            <w:r>
              <w:rPr>
                <w:rFonts w:hint="eastAsia"/>
                <w:bCs/>
                <w:color w:val="auto"/>
                <w:sz w:val="21"/>
                <w:szCs w:val="21"/>
                <w:lang w:val="en-US" w:eastAsia="zh-CN"/>
              </w:rPr>
              <w:t>技改项目实施后污染物排放总量控制指标见</w:t>
            </w:r>
            <w:r>
              <w:rPr>
                <w:bCs/>
                <w:color w:val="auto"/>
                <w:sz w:val="21"/>
                <w:szCs w:val="21"/>
              </w:rPr>
              <w:t>表3-</w:t>
            </w:r>
            <w:r>
              <w:rPr>
                <w:rFonts w:hint="eastAsia"/>
                <w:bCs/>
                <w:color w:val="auto"/>
                <w:sz w:val="21"/>
                <w:szCs w:val="21"/>
                <w:lang w:val="en-US" w:eastAsia="zh-CN"/>
              </w:rPr>
              <w:t>8</w:t>
            </w:r>
            <w:r>
              <w:rPr>
                <w:bCs/>
                <w:color w:val="auto"/>
                <w:sz w:val="21"/>
                <w:szCs w:val="21"/>
              </w:rPr>
              <w:t>。</w:t>
            </w:r>
          </w:p>
          <w:p w14:paraId="04F1B3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bCs/>
                <w:color w:val="auto"/>
                <w:sz w:val="21"/>
                <w:szCs w:val="21"/>
              </w:rPr>
            </w:pPr>
            <w:r>
              <w:rPr>
                <w:b/>
                <w:bCs/>
                <w:color w:val="auto"/>
                <w:sz w:val="21"/>
                <w:szCs w:val="21"/>
              </w:rPr>
              <w:t>表3-</w:t>
            </w:r>
            <w:r>
              <w:rPr>
                <w:rFonts w:hint="eastAsia"/>
                <w:b/>
                <w:bCs/>
                <w:color w:val="auto"/>
                <w:sz w:val="21"/>
                <w:szCs w:val="21"/>
                <w:lang w:val="en-US" w:eastAsia="zh-CN"/>
              </w:rPr>
              <w:t>8</w:t>
            </w:r>
            <w:r>
              <w:rPr>
                <w:b/>
                <w:bCs/>
                <w:color w:val="auto"/>
                <w:sz w:val="21"/>
                <w:szCs w:val="21"/>
              </w:rPr>
              <w:t xml:space="preserve"> </w:t>
            </w:r>
            <w:r>
              <w:rPr>
                <w:rFonts w:hint="eastAsia"/>
                <w:b/>
                <w:bCs/>
                <w:color w:val="auto"/>
                <w:sz w:val="21"/>
                <w:szCs w:val="21"/>
                <w:lang w:val="en-US" w:eastAsia="zh-CN"/>
              </w:rPr>
              <w:t>污染物排放总量</w:t>
            </w:r>
            <w:r>
              <w:rPr>
                <w:b/>
                <w:bCs/>
                <w:color w:val="auto"/>
                <w:sz w:val="21"/>
                <w:szCs w:val="21"/>
              </w:rPr>
              <w:t xml:space="preserve">  （单位：t/a）</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05"/>
              <w:gridCol w:w="795"/>
              <w:gridCol w:w="990"/>
              <w:gridCol w:w="900"/>
              <w:gridCol w:w="855"/>
              <w:gridCol w:w="900"/>
              <w:gridCol w:w="915"/>
              <w:gridCol w:w="930"/>
              <w:gridCol w:w="794"/>
            </w:tblGrid>
            <w:tr w14:paraId="14B409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restart"/>
                  <w:noWrap w:val="0"/>
                  <w:vAlign w:val="center"/>
                </w:tcPr>
                <w:p w14:paraId="1ED5CD65">
                  <w:pPr>
                    <w:spacing w:line="240" w:lineRule="auto"/>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种类</w:t>
                  </w:r>
                </w:p>
              </w:tc>
              <w:tc>
                <w:tcPr>
                  <w:tcW w:w="752" w:type="pct"/>
                  <w:gridSpan w:val="2"/>
                  <w:vMerge w:val="restart"/>
                  <w:noWrap w:val="0"/>
                  <w:vAlign w:val="center"/>
                </w:tcPr>
                <w:p w14:paraId="4A8C14FC">
                  <w:pPr>
                    <w:spacing w:line="240" w:lineRule="auto"/>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污染物名称</w:t>
                  </w:r>
                </w:p>
              </w:tc>
              <w:tc>
                <w:tcPr>
                  <w:tcW w:w="620" w:type="pct"/>
                  <w:vMerge w:val="restart"/>
                  <w:noWrap w:val="0"/>
                  <w:vAlign w:val="center"/>
                </w:tcPr>
                <w:p w14:paraId="15E63A36">
                  <w:pPr>
                    <w:spacing w:line="240" w:lineRule="auto"/>
                    <w:jc w:val="center"/>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现有项目排放量</w:t>
                  </w:r>
                </w:p>
              </w:tc>
              <w:tc>
                <w:tcPr>
                  <w:tcW w:w="1664" w:type="pct"/>
                  <w:gridSpan w:val="3"/>
                  <w:noWrap w:val="0"/>
                  <w:vAlign w:val="center"/>
                </w:tcPr>
                <w:p w14:paraId="2AC6B968">
                  <w:pPr>
                    <w:spacing w:line="240" w:lineRule="auto"/>
                    <w:jc w:val="center"/>
                    <w:rPr>
                      <w:rFonts w:hint="default" w:ascii="Times New Roman" w:hAnsi="Times New Roman" w:cs="Times New Roman"/>
                      <w:b/>
                      <w:bCs w:val="0"/>
                      <w:color w:val="auto"/>
                      <w:sz w:val="21"/>
                      <w:szCs w:val="21"/>
                      <w:highlight w:val="none"/>
                    </w:rPr>
                  </w:pPr>
                  <w:r>
                    <w:rPr>
                      <w:rFonts w:hint="eastAsia" w:cs="Times New Roman"/>
                      <w:b/>
                      <w:bCs w:val="0"/>
                      <w:color w:val="auto"/>
                      <w:sz w:val="21"/>
                      <w:szCs w:val="21"/>
                      <w:highlight w:val="none"/>
                      <w:lang w:val="en-US" w:eastAsia="zh-CN"/>
                    </w:rPr>
                    <w:t>改</w:t>
                  </w:r>
                  <w:r>
                    <w:rPr>
                      <w:rFonts w:hint="default" w:ascii="Times New Roman" w:hAnsi="Times New Roman" w:cs="Times New Roman"/>
                      <w:b/>
                      <w:bCs w:val="0"/>
                      <w:color w:val="auto"/>
                      <w:sz w:val="21"/>
                      <w:szCs w:val="21"/>
                      <w:highlight w:val="none"/>
                    </w:rPr>
                    <w:t>建项目</w:t>
                  </w:r>
                </w:p>
              </w:tc>
              <w:tc>
                <w:tcPr>
                  <w:tcW w:w="573" w:type="pct"/>
                  <w:vMerge w:val="restart"/>
                  <w:noWrap w:val="0"/>
                  <w:vAlign w:val="center"/>
                </w:tcPr>
                <w:p w14:paraId="50B43E22">
                  <w:pPr>
                    <w:spacing w:line="240" w:lineRule="auto"/>
                    <w:jc w:val="center"/>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“以新带老”削减量</w:t>
                  </w:r>
                </w:p>
              </w:tc>
              <w:tc>
                <w:tcPr>
                  <w:tcW w:w="583" w:type="pct"/>
                  <w:vMerge w:val="restart"/>
                  <w:noWrap w:val="0"/>
                  <w:vAlign w:val="center"/>
                </w:tcPr>
                <w:p w14:paraId="34AF8625">
                  <w:pPr>
                    <w:spacing w:line="240" w:lineRule="auto"/>
                    <w:jc w:val="center"/>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排放增减量</w:t>
                  </w:r>
                </w:p>
              </w:tc>
              <w:tc>
                <w:tcPr>
                  <w:tcW w:w="497" w:type="pct"/>
                  <w:vMerge w:val="restart"/>
                  <w:noWrap w:val="0"/>
                  <w:vAlign w:val="center"/>
                </w:tcPr>
                <w:p w14:paraId="661AECEF">
                  <w:pPr>
                    <w:spacing w:line="240" w:lineRule="auto"/>
                    <w:jc w:val="center"/>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全厂排放总量</w:t>
                  </w:r>
                </w:p>
              </w:tc>
            </w:tr>
            <w:tr w14:paraId="46338B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3E17473D">
                  <w:pPr>
                    <w:spacing w:line="240" w:lineRule="auto"/>
                    <w:jc w:val="center"/>
                    <w:rPr>
                      <w:rFonts w:hint="default" w:ascii="Times New Roman" w:hAnsi="Times New Roman" w:cs="Times New Roman"/>
                      <w:color w:val="auto"/>
                      <w:sz w:val="21"/>
                      <w:szCs w:val="21"/>
                      <w:highlight w:val="none"/>
                    </w:rPr>
                  </w:pPr>
                </w:p>
              </w:tc>
              <w:tc>
                <w:tcPr>
                  <w:tcW w:w="752" w:type="pct"/>
                  <w:gridSpan w:val="2"/>
                  <w:vMerge w:val="continue"/>
                  <w:noWrap w:val="0"/>
                  <w:vAlign w:val="center"/>
                </w:tcPr>
                <w:p w14:paraId="77247294">
                  <w:pPr>
                    <w:spacing w:line="240" w:lineRule="auto"/>
                    <w:jc w:val="center"/>
                    <w:rPr>
                      <w:rFonts w:hint="default" w:ascii="Times New Roman" w:hAnsi="Times New Roman" w:cs="Times New Roman"/>
                      <w:color w:val="auto"/>
                      <w:sz w:val="21"/>
                      <w:szCs w:val="21"/>
                      <w:highlight w:val="none"/>
                    </w:rPr>
                  </w:pPr>
                </w:p>
              </w:tc>
              <w:tc>
                <w:tcPr>
                  <w:tcW w:w="620" w:type="pct"/>
                  <w:vMerge w:val="continue"/>
                  <w:noWrap w:val="0"/>
                  <w:vAlign w:val="center"/>
                </w:tcPr>
                <w:p w14:paraId="5D973C01">
                  <w:pPr>
                    <w:spacing w:line="240" w:lineRule="auto"/>
                    <w:jc w:val="center"/>
                    <w:rPr>
                      <w:rFonts w:hint="default" w:ascii="Times New Roman" w:hAnsi="Times New Roman" w:cs="Times New Roman"/>
                      <w:bCs/>
                      <w:color w:val="auto"/>
                      <w:sz w:val="21"/>
                      <w:szCs w:val="21"/>
                      <w:highlight w:val="none"/>
                    </w:rPr>
                  </w:pPr>
                </w:p>
              </w:tc>
              <w:tc>
                <w:tcPr>
                  <w:tcW w:w="564" w:type="pct"/>
                  <w:noWrap w:val="0"/>
                  <w:vAlign w:val="center"/>
                </w:tcPr>
                <w:p w14:paraId="25AF0C04">
                  <w:pPr>
                    <w:spacing w:line="240" w:lineRule="auto"/>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产生量</w:t>
                  </w:r>
                </w:p>
              </w:tc>
              <w:tc>
                <w:tcPr>
                  <w:tcW w:w="536" w:type="pct"/>
                  <w:noWrap w:val="0"/>
                  <w:vAlign w:val="center"/>
                </w:tcPr>
                <w:p w14:paraId="6E2DB43B">
                  <w:pPr>
                    <w:spacing w:line="240" w:lineRule="auto"/>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削减量</w:t>
                  </w:r>
                </w:p>
              </w:tc>
              <w:tc>
                <w:tcPr>
                  <w:tcW w:w="564" w:type="pct"/>
                  <w:noWrap w:val="0"/>
                  <w:vAlign w:val="center"/>
                </w:tcPr>
                <w:p w14:paraId="79F7D2C0">
                  <w:pPr>
                    <w:spacing w:line="240" w:lineRule="auto"/>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排放量</w:t>
                  </w:r>
                </w:p>
              </w:tc>
              <w:tc>
                <w:tcPr>
                  <w:tcW w:w="573" w:type="pct"/>
                  <w:vMerge w:val="continue"/>
                  <w:noWrap w:val="0"/>
                  <w:vAlign w:val="center"/>
                </w:tcPr>
                <w:p w14:paraId="63BAB7A5">
                  <w:pPr>
                    <w:spacing w:line="240" w:lineRule="auto"/>
                    <w:jc w:val="center"/>
                    <w:rPr>
                      <w:rFonts w:hint="default" w:ascii="Times New Roman" w:hAnsi="Times New Roman" w:cs="Times New Roman"/>
                      <w:bCs/>
                      <w:color w:val="auto"/>
                      <w:sz w:val="21"/>
                      <w:szCs w:val="21"/>
                      <w:highlight w:val="none"/>
                    </w:rPr>
                  </w:pPr>
                </w:p>
              </w:tc>
              <w:tc>
                <w:tcPr>
                  <w:tcW w:w="583" w:type="pct"/>
                  <w:vMerge w:val="continue"/>
                  <w:noWrap w:val="0"/>
                  <w:vAlign w:val="center"/>
                </w:tcPr>
                <w:p w14:paraId="54C2318E">
                  <w:pPr>
                    <w:spacing w:line="240" w:lineRule="auto"/>
                    <w:jc w:val="center"/>
                    <w:rPr>
                      <w:rFonts w:hint="default" w:ascii="Times New Roman" w:hAnsi="Times New Roman" w:cs="Times New Roman"/>
                      <w:bCs/>
                      <w:color w:val="auto"/>
                      <w:sz w:val="21"/>
                      <w:szCs w:val="21"/>
                      <w:highlight w:val="none"/>
                    </w:rPr>
                  </w:pPr>
                </w:p>
              </w:tc>
              <w:tc>
                <w:tcPr>
                  <w:tcW w:w="497" w:type="pct"/>
                  <w:vMerge w:val="continue"/>
                  <w:noWrap w:val="0"/>
                  <w:vAlign w:val="center"/>
                </w:tcPr>
                <w:p w14:paraId="77F31F9B">
                  <w:pPr>
                    <w:spacing w:line="240" w:lineRule="auto"/>
                    <w:jc w:val="center"/>
                    <w:rPr>
                      <w:rFonts w:hint="default" w:ascii="Times New Roman" w:hAnsi="Times New Roman" w:cs="Times New Roman"/>
                      <w:bCs/>
                      <w:color w:val="auto"/>
                      <w:sz w:val="21"/>
                      <w:szCs w:val="21"/>
                      <w:highlight w:val="none"/>
                    </w:rPr>
                  </w:pPr>
                </w:p>
              </w:tc>
            </w:tr>
            <w:tr w14:paraId="1C4472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restart"/>
                  <w:noWrap w:val="0"/>
                  <w:vAlign w:val="center"/>
                </w:tcPr>
                <w:p w14:paraId="6C74FE4B">
                  <w:pPr>
                    <w:spacing w:line="240" w:lineRule="auto"/>
                    <w:jc w:val="center"/>
                    <w:rPr>
                      <w:rFonts w:hint="eastAsia" w:ascii="Times New Roman" w:hAnsi="Times New Roman" w:eastAsia="宋体" w:cs="Times New Roman"/>
                      <w:color w:val="auto"/>
                      <w:sz w:val="21"/>
                      <w:szCs w:val="21"/>
                      <w:highlight w:val="none"/>
                      <w:lang w:val="en-US" w:eastAsia="zh-CN"/>
                    </w:rPr>
                  </w:pPr>
                  <w:bookmarkStart w:id="7" w:name="_Hlk66805077"/>
                  <w:bookmarkStart w:id="8" w:name="OLE_LINK27" w:colFirst="2" w:colLast="4"/>
                  <w:bookmarkStart w:id="9" w:name="OLE_LINK26" w:colFirst="2" w:colLast="4"/>
                  <w:r>
                    <w:rPr>
                      <w:rFonts w:hint="eastAsia" w:cs="Times New Roman"/>
                      <w:color w:val="auto"/>
                      <w:sz w:val="21"/>
                      <w:szCs w:val="21"/>
                      <w:highlight w:val="none"/>
                      <w:lang w:val="en-US" w:eastAsia="zh-CN"/>
                    </w:rPr>
                    <w:t>废气</w:t>
                  </w:r>
                </w:p>
              </w:tc>
              <w:tc>
                <w:tcPr>
                  <w:tcW w:w="253" w:type="pct"/>
                  <w:vMerge w:val="restart"/>
                  <w:tcBorders>
                    <w:top w:val="single" w:color="000000" w:sz="4" w:space="0"/>
                  </w:tcBorders>
                  <w:noWrap w:val="0"/>
                  <w:vAlign w:val="center"/>
                </w:tcPr>
                <w:p w14:paraId="7F5F732A">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有组织</w:t>
                  </w:r>
                </w:p>
              </w:tc>
              <w:tc>
                <w:tcPr>
                  <w:tcW w:w="498" w:type="pct"/>
                  <w:tcBorders>
                    <w:top w:val="single" w:color="000000" w:sz="4" w:space="0"/>
                  </w:tcBorders>
                  <w:noWrap w:val="0"/>
                  <w:vAlign w:val="center"/>
                </w:tcPr>
                <w:p w14:paraId="146FB648">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620" w:type="pct"/>
                  <w:tcBorders>
                    <w:top w:val="single" w:color="000000" w:sz="4" w:space="0"/>
                  </w:tcBorders>
                  <w:noWrap w:val="0"/>
                  <w:vAlign w:val="center"/>
                </w:tcPr>
                <w:p w14:paraId="7D42D9AF">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3</w:t>
                  </w:r>
                </w:p>
              </w:tc>
              <w:tc>
                <w:tcPr>
                  <w:tcW w:w="564" w:type="pct"/>
                  <w:tcBorders>
                    <w:top w:val="single" w:color="000000" w:sz="4" w:space="0"/>
                  </w:tcBorders>
                  <w:noWrap w:val="0"/>
                  <w:vAlign w:val="center"/>
                </w:tcPr>
                <w:p w14:paraId="05C78685">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536" w:type="pct"/>
                  <w:tcBorders>
                    <w:top w:val="single" w:color="000000" w:sz="4" w:space="0"/>
                  </w:tcBorders>
                  <w:noWrap w:val="0"/>
                  <w:vAlign w:val="center"/>
                </w:tcPr>
                <w:p w14:paraId="6FFC514F">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tcBorders>
                    <w:top w:val="single" w:color="000000" w:sz="4" w:space="0"/>
                  </w:tcBorders>
                  <w:noWrap w:val="0"/>
                  <w:vAlign w:val="center"/>
                </w:tcPr>
                <w:p w14:paraId="39EA8615">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573" w:type="pct"/>
                  <w:tcBorders>
                    <w:top w:val="single" w:color="000000" w:sz="4" w:space="0"/>
                  </w:tcBorders>
                  <w:noWrap w:val="0"/>
                  <w:vAlign w:val="center"/>
                </w:tcPr>
                <w:p w14:paraId="7AA4FBC6">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3</w:t>
                  </w:r>
                </w:p>
              </w:tc>
              <w:tc>
                <w:tcPr>
                  <w:tcW w:w="583" w:type="pct"/>
                  <w:tcBorders>
                    <w:top w:val="single" w:color="000000" w:sz="4" w:space="0"/>
                  </w:tcBorders>
                  <w:noWrap w:val="0"/>
                  <w:vAlign w:val="center"/>
                </w:tcPr>
                <w:p w14:paraId="78CD5B24">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-2.5996</w:t>
                  </w:r>
                </w:p>
              </w:tc>
              <w:tc>
                <w:tcPr>
                  <w:tcW w:w="497" w:type="pct"/>
                  <w:tcBorders>
                    <w:top w:val="single" w:color="000000" w:sz="4" w:space="0"/>
                  </w:tcBorders>
                  <w:noWrap w:val="0"/>
                  <w:vAlign w:val="center"/>
                </w:tcPr>
                <w:p w14:paraId="6B4C0F89">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r>
            <w:tr w14:paraId="2DC00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0FE46198">
                  <w:pPr>
                    <w:spacing w:line="240" w:lineRule="auto"/>
                    <w:jc w:val="center"/>
                    <w:rPr>
                      <w:rFonts w:hint="eastAsia" w:cs="Times New Roman"/>
                      <w:color w:val="auto"/>
                      <w:sz w:val="21"/>
                      <w:szCs w:val="21"/>
                      <w:highlight w:val="none"/>
                      <w:lang w:val="en-US" w:eastAsia="zh-CN"/>
                    </w:rPr>
                  </w:pPr>
                </w:p>
              </w:tc>
              <w:tc>
                <w:tcPr>
                  <w:tcW w:w="253" w:type="pct"/>
                  <w:vMerge w:val="continue"/>
                  <w:noWrap w:val="0"/>
                  <w:vAlign w:val="center"/>
                </w:tcPr>
                <w:p w14:paraId="5CFF2A6E">
                  <w:pPr>
                    <w:spacing w:line="240" w:lineRule="auto"/>
                    <w:jc w:val="center"/>
                    <w:rPr>
                      <w:rFonts w:hint="eastAsia" w:cs="Times New Roman"/>
                      <w:color w:val="auto"/>
                      <w:sz w:val="21"/>
                      <w:szCs w:val="21"/>
                      <w:highlight w:val="none"/>
                      <w:lang w:val="en-US" w:eastAsia="zh-CN"/>
                    </w:rPr>
                  </w:pPr>
                </w:p>
              </w:tc>
              <w:tc>
                <w:tcPr>
                  <w:tcW w:w="498" w:type="pct"/>
                  <w:tcBorders>
                    <w:top w:val="single" w:color="000000" w:sz="4" w:space="0"/>
                  </w:tcBorders>
                  <w:noWrap w:val="0"/>
                  <w:vAlign w:val="center"/>
                </w:tcPr>
                <w:p w14:paraId="15205EB7">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二氧化硫</w:t>
                  </w:r>
                </w:p>
              </w:tc>
              <w:tc>
                <w:tcPr>
                  <w:tcW w:w="620" w:type="pct"/>
                  <w:tcBorders>
                    <w:top w:val="single" w:color="000000" w:sz="4" w:space="0"/>
                  </w:tcBorders>
                  <w:noWrap w:val="0"/>
                  <w:vAlign w:val="center"/>
                </w:tcPr>
                <w:p w14:paraId="61BC113D">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2.9</w:t>
                  </w:r>
                </w:p>
              </w:tc>
              <w:tc>
                <w:tcPr>
                  <w:tcW w:w="564" w:type="pct"/>
                  <w:tcBorders>
                    <w:top w:val="single" w:color="000000" w:sz="4" w:space="0"/>
                  </w:tcBorders>
                  <w:noWrap w:val="0"/>
                  <w:vAlign w:val="center"/>
                </w:tcPr>
                <w:p w14:paraId="7692BE64">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536" w:type="pct"/>
                  <w:tcBorders>
                    <w:top w:val="single" w:color="000000" w:sz="4" w:space="0"/>
                  </w:tcBorders>
                  <w:noWrap w:val="0"/>
                  <w:vAlign w:val="center"/>
                </w:tcPr>
                <w:p w14:paraId="1CF732D2">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tcBorders>
                    <w:top w:val="single" w:color="000000" w:sz="4" w:space="0"/>
                  </w:tcBorders>
                  <w:noWrap w:val="0"/>
                  <w:vAlign w:val="center"/>
                </w:tcPr>
                <w:p w14:paraId="35D5DD1E">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573" w:type="pct"/>
                  <w:tcBorders>
                    <w:top w:val="single" w:color="000000" w:sz="4" w:space="0"/>
                  </w:tcBorders>
                  <w:noWrap w:val="0"/>
                  <w:vAlign w:val="center"/>
                </w:tcPr>
                <w:p w14:paraId="24238652">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2.9</w:t>
                  </w:r>
                </w:p>
              </w:tc>
              <w:tc>
                <w:tcPr>
                  <w:tcW w:w="583" w:type="pct"/>
                  <w:tcBorders>
                    <w:top w:val="single" w:color="000000" w:sz="4" w:space="0"/>
                  </w:tcBorders>
                  <w:noWrap w:val="0"/>
                  <w:vAlign w:val="center"/>
                </w:tcPr>
                <w:p w14:paraId="134A7B49">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-2.62</w:t>
                  </w:r>
                </w:p>
              </w:tc>
              <w:tc>
                <w:tcPr>
                  <w:tcW w:w="497" w:type="pct"/>
                  <w:tcBorders>
                    <w:top w:val="single" w:color="000000" w:sz="4" w:space="0"/>
                  </w:tcBorders>
                  <w:noWrap w:val="0"/>
                  <w:vAlign w:val="center"/>
                </w:tcPr>
                <w:p w14:paraId="39E284A0">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r>
            <w:tr w14:paraId="148D09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3A125EDF">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253" w:type="pct"/>
                  <w:vMerge w:val="continue"/>
                  <w:noWrap w:val="0"/>
                  <w:vAlign w:val="center"/>
                </w:tcPr>
                <w:p w14:paraId="4CE61718">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98" w:type="pct"/>
                  <w:tcBorders>
                    <w:top w:val="single" w:color="000000" w:sz="4" w:space="0"/>
                  </w:tcBorders>
                  <w:noWrap w:val="0"/>
                  <w:vAlign w:val="center"/>
                </w:tcPr>
                <w:p w14:paraId="1F291F93">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氮氧化物</w:t>
                  </w:r>
                </w:p>
              </w:tc>
              <w:tc>
                <w:tcPr>
                  <w:tcW w:w="620" w:type="pct"/>
                  <w:tcBorders>
                    <w:top w:val="single" w:color="000000" w:sz="4" w:space="0"/>
                  </w:tcBorders>
                  <w:noWrap w:val="0"/>
                  <w:vAlign w:val="center"/>
                </w:tcPr>
                <w:p w14:paraId="69F5A1E8">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tcBorders>
                    <w:top w:val="single" w:color="000000" w:sz="4" w:space="0"/>
                  </w:tcBorders>
                  <w:noWrap w:val="0"/>
                  <w:vAlign w:val="center"/>
                </w:tcPr>
                <w:p w14:paraId="1D5B50D5">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2.618</w:t>
                  </w:r>
                </w:p>
              </w:tc>
              <w:tc>
                <w:tcPr>
                  <w:tcW w:w="536" w:type="pct"/>
                  <w:tcBorders>
                    <w:top w:val="single" w:color="000000" w:sz="4" w:space="0"/>
                  </w:tcBorders>
                  <w:noWrap w:val="0"/>
                  <w:vAlign w:val="center"/>
                </w:tcPr>
                <w:p w14:paraId="4EBAF2AF">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1.309</w:t>
                  </w:r>
                </w:p>
              </w:tc>
              <w:tc>
                <w:tcPr>
                  <w:tcW w:w="564" w:type="pct"/>
                  <w:tcBorders>
                    <w:top w:val="single" w:color="000000" w:sz="4" w:space="0"/>
                  </w:tcBorders>
                  <w:noWrap w:val="0"/>
                  <w:vAlign w:val="center"/>
                </w:tcPr>
                <w:p w14:paraId="76FF221D">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1.309</w:t>
                  </w:r>
                </w:p>
              </w:tc>
              <w:tc>
                <w:tcPr>
                  <w:tcW w:w="573" w:type="pct"/>
                  <w:tcBorders>
                    <w:top w:val="single" w:color="000000" w:sz="4" w:space="0"/>
                  </w:tcBorders>
                  <w:noWrap w:val="0"/>
                  <w:vAlign w:val="center"/>
                </w:tcPr>
                <w:p w14:paraId="561331DD">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83" w:type="pct"/>
                  <w:tcBorders>
                    <w:top w:val="single" w:color="000000" w:sz="4" w:space="0"/>
                  </w:tcBorders>
                  <w:noWrap w:val="0"/>
                  <w:vAlign w:val="center"/>
                </w:tcPr>
                <w:p w14:paraId="7F6F243E">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+1.309</w:t>
                  </w:r>
                </w:p>
              </w:tc>
              <w:tc>
                <w:tcPr>
                  <w:tcW w:w="497" w:type="pct"/>
                  <w:tcBorders>
                    <w:top w:val="single" w:color="000000" w:sz="4" w:space="0"/>
                  </w:tcBorders>
                  <w:noWrap w:val="0"/>
                  <w:vAlign w:val="center"/>
                </w:tcPr>
                <w:p w14:paraId="0FEB8D39">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1.309</w:t>
                  </w:r>
                </w:p>
              </w:tc>
            </w:tr>
            <w:tr w14:paraId="22131B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7338CA75">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253" w:type="pct"/>
                  <w:vMerge w:val="continue"/>
                  <w:noWrap w:val="0"/>
                  <w:vAlign w:val="center"/>
                </w:tcPr>
                <w:p w14:paraId="6BCD4AEF">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98" w:type="pct"/>
                  <w:tcBorders>
                    <w:top w:val="single" w:color="000000" w:sz="4" w:space="0"/>
                  </w:tcBorders>
                  <w:noWrap w:val="0"/>
                  <w:vAlign w:val="center"/>
                </w:tcPr>
                <w:p w14:paraId="791FCE7F">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油烟</w:t>
                  </w:r>
                </w:p>
              </w:tc>
              <w:tc>
                <w:tcPr>
                  <w:tcW w:w="620" w:type="pct"/>
                  <w:tcBorders>
                    <w:top w:val="single" w:color="000000" w:sz="4" w:space="0"/>
                  </w:tcBorders>
                  <w:noWrap w:val="0"/>
                  <w:vAlign w:val="center"/>
                </w:tcPr>
                <w:p w14:paraId="4AE29FFE">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0.005</w:t>
                  </w:r>
                </w:p>
              </w:tc>
              <w:tc>
                <w:tcPr>
                  <w:tcW w:w="564" w:type="pct"/>
                  <w:tcBorders>
                    <w:top w:val="single" w:color="000000" w:sz="4" w:space="0"/>
                  </w:tcBorders>
                  <w:noWrap w:val="0"/>
                  <w:vAlign w:val="center"/>
                </w:tcPr>
                <w:p w14:paraId="2B2EAD6D">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36" w:type="pct"/>
                  <w:tcBorders>
                    <w:top w:val="single" w:color="000000" w:sz="4" w:space="0"/>
                  </w:tcBorders>
                  <w:noWrap w:val="0"/>
                  <w:vAlign w:val="center"/>
                </w:tcPr>
                <w:p w14:paraId="5D1A5109">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tcBorders>
                    <w:top w:val="single" w:color="000000" w:sz="4" w:space="0"/>
                  </w:tcBorders>
                  <w:noWrap w:val="0"/>
                  <w:vAlign w:val="center"/>
                </w:tcPr>
                <w:p w14:paraId="28B51CEF">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73" w:type="pct"/>
                  <w:tcBorders>
                    <w:top w:val="single" w:color="000000" w:sz="4" w:space="0"/>
                  </w:tcBorders>
                  <w:noWrap w:val="0"/>
                  <w:vAlign w:val="center"/>
                </w:tcPr>
                <w:p w14:paraId="6EC06CAB">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83" w:type="pct"/>
                  <w:tcBorders>
                    <w:top w:val="single" w:color="000000" w:sz="4" w:space="0"/>
                  </w:tcBorders>
                  <w:noWrap w:val="0"/>
                  <w:vAlign w:val="center"/>
                </w:tcPr>
                <w:p w14:paraId="796AAFA3">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497" w:type="pct"/>
                  <w:tcBorders>
                    <w:top w:val="single" w:color="000000" w:sz="4" w:space="0"/>
                  </w:tcBorders>
                  <w:noWrap w:val="0"/>
                  <w:vAlign w:val="center"/>
                </w:tcPr>
                <w:p w14:paraId="38D155E4">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0.005</w:t>
                  </w:r>
                </w:p>
              </w:tc>
            </w:tr>
            <w:tr w14:paraId="2CD42D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0FB793CC">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253" w:type="pct"/>
                  <w:noWrap w:val="0"/>
                  <w:vAlign w:val="center"/>
                </w:tcPr>
                <w:p w14:paraId="2FC9DCA7">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c>
                <w:tcPr>
                  <w:tcW w:w="498" w:type="pct"/>
                  <w:tcBorders>
                    <w:top w:val="single" w:color="000000" w:sz="4" w:space="0"/>
                  </w:tcBorders>
                  <w:noWrap w:val="0"/>
                  <w:vAlign w:val="top"/>
                </w:tcPr>
                <w:p w14:paraId="3787912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非甲烷总烃</w:t>
                  </w:r>
                </w:p>
              </w:tc>
              <w:tc>
                <w:tcPr>
                  <w:tcW w:w="620" w:type="pct"/>
                  <w:tcBorders>
                    <w:top w:val="single" w:color="000000" w:sz="4" w:space="0"/>
                  </w:tcBorders>
                  <w:noWrap w:val="0"/>
                  <w:vAlign w:val="center"/>
                </w:tcPr>
                <w:p w14:paraId="65EAD17A">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564" w:type="pct"/>
                  <w:tcBorders>
                    <w:top w:val="single" w:color="000000" w:sz="4" w:space="0"/>
                  </w:tcBorders>
                  <w:noWrap w:val="0"/>
                  <w:vAlign w:val="center"/>
                </w:tcPr>
                <w:p w14:paraId="2EC72548">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536" w:type="pct"/>
                  <w:tcBorders>
                    <w:top w:val="single" w:color="000000" w:sz="4" w:space="0"/>
                  </w:tcBorders>
                  <w:noWrap w:val="0"/>
                  <w:vAlign w:val="center"/>
                </w:tcPr>
                <w:p w14:paraId="144741DE">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564" w:type="pct"/>
                  <w:tcBorders>
                    <w:top w:val="single" w:color="000000" w:sz="4" w:space="0"/>
                  </w:tcBorders>
                  <w:noWrap w:val="0"/>
                  <w:vAlign w:val="center"/>
                </w:tcPr>
                <w:p w14:paraId="16D119D3">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573" w:type="pct"/>
                  <w:tcBorders>
                    <w:top w:val="single" w:color="000000" w:sz="4" w:space="0"/>
                  </w:tcBorders>
                  <w:noWrap w:val="0"/>
                  <w:vAlign w:val="center"/>
                </w:tcPr>
                <w:p w14:paraId="459F98FC">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583" w:type="pct"/>
                  <w:tcBorders>
                    <w:top w:val="single" w:color="000000" w:sz="4" w:space="0"/>
                  </w:tcBorders>
                  <w:noWrap w:val="0"/>
                  <w:vAlign w:val="center"/>
                </w:tcPr>
                <w:p w14:paraId="51E3DB5F">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497" w:type="pct"/>
                  <w:tcBorders>
                    <w:top w:val="single" w:color="000000" w:sz="4" w:space="0"/>
                  </w:tcBorders>
                  <w:noWrap w:val="0"/>
                  <w:vAlign w:val="center"/>
                </w:tcPr>
                <w:p w14:paraId="4651A5AE">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r>
            <w:tr w14:paraId="7A8962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restart"/>
                  <w:noWrap w:val="0"/>
                  <w:vAlign w:val="center"/>
                </w:tcPr>
                <w:p w14:paraId="05895E42">
                  <w:pPr>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253" w:type="pct"/>
                  <w:vMerge w:val="restart"/>
                  <w:tcBorders>
                    <w:top w:val="single" w:color="000000" w:sz="4" w:space="0"/>
                  </w:tcBorders>
                  <w:noWrap w:val="0"/>
                  <w:vAlign w:val="center"/>
                </w:tcPr>
                <w:p w14:paraId="2483D473">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w:t>
                  </w:r>
                </w:p>
              </w:tc>
              <w:tc>
                <w:tcPr>
                  <w:tcW w:w="498" w:type="pct"/>
                  <w:tcBorders>
                    <w:top w:val="single" w:color="000000" w:sz="4" w:space="0"/>
                  </w:tcBorders>
                  <w:noWrap w:val="0"/>
                  <w:vAlign w:val="center"/>
                </w:tcPr>
                <w:p w14:paraId="5C02EEC8">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废水量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eastAsia="zh-CN"/>
                    </w:rPr>
                    <w:t>）</w:t>
                  </w:r>
                </w:p>
              </w:tc>
              <w:tc>
                <w:tcPr>
                  <w:tcW w:w="620" w:type="pct"/>
                  <w:tcBorders>
                    <w:top w:val="single" w:color="000000" w:sz="4" w:space="0"/>
                  </w:tcBorders>
                  <w:noWrap w:val="0"/>
                  <w:vAlign w:val="center"/>
                </w:tcPr>
                <w:p w14:paraId="020781E3">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1000</w:t>
                  </w:r>
                </w:p>
              </w:tc>
              <w:tc>
                <w:tcPr>
                  <w:tcW w:w="564" w:type="pct"/>
                  <w:tcBorders>
                    <w:top w:val="single" w:color="000000" w:sz="4" w:space="0"/>
                  </w:tcBorders>
                  <w:noWrap w:val="0"/>
                  <w:vAlign w:val="center"/>
                </w:tcPr>
                <w:p w14:paraId="745DD524">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36" w:type="pct"/>
                  <w:tcBorders>
                    <w:top w:val="single" w:color="000000" w:sz="4" w:space="0"/>
                  </w:tcBorders>
                  <w:noWrap w:val="0"/>
                  <w:vAlign w:val="center"/>
                </w:tcPr>
                <w:p w14:paraId="64C90C25">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64" w:type="pct"/>
                  <w:tcBorders>
                    <w:top w:val="single" w:color="000000" w:sz="4" w:space="0"/>
                  </w:tcBorders>
                  <w:noWrap w:val="0"/>
                  <w:vAlign w:val="center"/>
                </w:tcPr>
                <w:p w14:paraId="40299F05">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73" w:type="pct"/>
                  <w:tcBorders>
                    <w:top w:val="single" w:color="000000" w:sz="4" w:space="0"/>
                  </w:tcBorders>
                  <w:noWrap w:val="0"/>
                  <w:vAlign w:val="center"/>
                </w:tcPr>
                <w:p w14:paraId="0E60992E">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83" w:type="pct"/>
                  <w:tcBorders>
                    <w:top w:val="single" w:color="000000" w:sz="4" w:space="0"/>
                  </w:tcBorders>
                  <w:noWrap w:val="0"/>
                  <w:vAlign w:val="center"/>
                </w:tcPr>
                <w:p w14:paraId="7364948B">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497" w:type="pct"/>
                  <w:tcBorders>
                    <w:top w:val="single" w:color="000000" w:sz="4" w:space="0"/>
                  </w:tcBorders>
                  <w:noWrap w:val="0"/>
                  <w:vAlign w:val="center"/>
                </w:tcPr>
                <w:p w14:paraId="504F1109">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1000</w:t>
                  </w:r>
                </w:p>
              </w:tc>
            </w:tr>
            <w:tr w14:paraId="301D1A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74BEF9BD">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51D77B2A">
                  <w:pPr>
                    <w:adjustRightInd w:val="0"/>
                    <w:snapToGrid w:val="0"/>
                    <w:spacing w:line="240" w:lineRule="auto"/>
                    <w:jc w:val="center"/>
                    <w:rPr>
                      <w:rFonts w:hint="default" w:ascii="Times New Roman" w:hAnsi="Times New Roman" w:cs="Times New Roman"/>
                      <w:color w:val="auto"/>
                      <w:sz w:val="21"/>
                      <w:szCs w:val="21"/>
                      <w:highlight w:val="none"/>
                    </w:rPr>
                  </w:pPr>
                </w:p>
              </w:tc>
              <w:tc>
                <w:tcPr>
                  <w:tcW w:w="498" w:type="pct"/>
                  <w:noWrap w:val="0"/>
                  <w:vAlign w:val="center"/>
                </w:tcPr>
                <w:p w14:paraId="32132693">
                  <w:pPr>
                    <w:spacing w:line="240" w:lineRule="auto"/>
                    <w:jc w:val="center"/>
                    <w:rPr>
                      <w:rFonts w:hint="default" w:ascii="Times New Roman" w:hAnsi="Times New Roman" w:eastAsia="宋体" w:cs="Times New Roman"/>
                      <w:color w:val="auto"/>
                      <w:kern w:val="2"/>
                      <w:sz w:val="21"/>
                      <w:szCs w:val="21"/>
                      <w:lang w:val="en-US" w:eastAsia="zh-CN" w:bidi="ar-SA"/>
                    </w:rPr>
                  </w:pPr>
                  <w:r>
                    <w:rPr>
                      <w:color w:val="auto"/>
                      <w:sz w:val="21"/>
                      <w:szCs w:val="21"/>
                    </w:rPr>
                    <w:t>COD</w:t>
                  </w:r>
                </w:p>
              </w:tc>
              <w:tc>
                <w:tcPr>
                  <w:tcW w:w="620" w:type="pct"/>
                  <w:noWrap w:val="0"/>
                  <w:vAlign w:val="center"/>
                </w:tcPr>
                <w:p w14:paraId="0307D5D1">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w:t>
                  </w:r>
                </w:p>
              </w:tc>
              <w:tc>
                <w:tcPr>
                  <w:tcW w:w="564" w:type="pct"/>
                  <w:noWrap w:val="0"/>
                  <w:vAlign w:val="center"/>
                </w:tcPr>
                <w:p w14:paraId="1F87367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noWrap w:val="0"/>
                  <w:vAlign w:val="center"/>
                </w:tcPr>
                <w:p w14:paraId="55B3282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64" w:type="pct"/>
                  <w:noWrap w:val="0"/>
                  <w:vAlign w:val="center"/>
                </w:tcPr>
                <w:p w14:paraId="713EABEB">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noWrap w:val="0"/>
                  <w:vAlign w:val="center"/>
                </w:tcPr>
                <w:p w14:paraId="226A464C">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noWrap w:val="0"/>
                  <w:vAlign w:val="center"/>
                </w:tcPr>
                <w:p w14:paraId="5313EADF">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noWrap w:val="0"/>
                  <w:vAlign w:val="center"/>
                </w:tcPr>
                <w:p w14:paraId="65A402F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w:t>
                  </w:r>
                </w:p>
              </w:tc>
            </w:tr>
            <w:tr w14:paraId="17CEB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7747CCE9">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5222F748">
                  <w:pPr>
                    <w:adjustRightInd w:val="0"/>
                    <w:snapToGrid w:val="0"/>
                    <w:spacing w:line="240" w:lineRule="auto"/>
                    <w:jc w:val="center"/>
                    <w:rPr>
                      <w:rFonts w:hint="default" w:ascii="Times New Roman" w:hAnsi="Times New Roman" w:cs="Times New Roman"/>
                      <w:color w:val="auto"/>
                      <w:sz w:val="21"/>
                      <w:szCs w:val="21"/>
                      <w:highlight w:val="none"/>
                    </w:rPr>
                  </w:pPr>
                </w:p>
              </w:tc>
              <w:tc>
                <w:tcPr>
                  <w:tcW w:w="498" w:type="pct"/>
                  <w:noWrap w:val="0"/>
                  <w:vAlign w:val="center"/>
                </w:tcPr>
                <w:p w14:paraId="04895D2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NH3-N</w:t>
                  </w:r>
                </w:p>
              </w:tc>
              <w:tc>
                <w:tcPr>
                  <w:tcW w:w="620" w:type="pct"/>
                  <w:noWrap w:val="0"/>
                  <w:vAlign w:val="center"/>
                </w:tcPr>
                <w:p w14:paraId="527F0ECC">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564" w:type="pct"/>
                  <w:noWrap w:val="0"/>
                  <w:vAlign w:val="center"/>
                </w:tcPr>
                <w:p w14:paraId="4B9648D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noWrap w:val="0"/>
                  <w:vAlign w:val="center"/>
                </w:tcPr>
                <w:p w14:paraId="6846365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64" w:type="pct"/>
                  <w:noWrap w:val="0"/>
                  <w:vAlign w:val="center"/>
                </w:tcPr>
                <w:p w14:paraId="039374D6">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noWrap w:val="0"/>
                  <w:vAlign w:val="center"/>
                </w:tcPr>
                <w:p w14:paraId="74E89CDD">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noWrap w:val="0"/>
                  <w:vAlign w:val="center"/>
                </w:tcPr>
                <w:p w14:paraId="13DB2371">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noWrap w:val="0"/>
                  <w:vAlign w:val="center"/>
                </w:tcPr>
                <w:p w14:paraId="4DEF161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14:paraId="1D2AB2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2700A447">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5006F8B8">
                  <w:pPr>
                    <w:adjustRightInd w:val="0"/>
                    <w:snapToGrid w:val="0"/>
                    <w:spacing w:line="240" w:lineRule="auto"/>
                    <w:jc w:val="center"/>
                    <w:rPr>
                      <w:rFonts w:hint="default" w:ascii="Times New Roman" w:hAnsi="Times New Roman" w:cs="Times New Roman"/>
                      <w:color w:val="auto"/>
                      <w:sz w:val="21"/>
                      <w:szCs w:val="21"/>
                      <w:highlight w:val="none"/>
                    </w:rPr>
                  </w:pPr>
                </w:p>
              </w:tc>
              <w:tc>
                <w:tcPr>
                  <w:tcW w:w="498" w:type="pct"/>
                  <w:noWrap w:val="0"/>
                  <w:vAlign w:val="center"/>
                </w:tcPr>
                <w:p w14:paraId="2B4399D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SS</w:t>
                  </w:r>
                </w:p>
              </w:tc>
              <w:tc>
                <w:tcPr>
                  <w:tcW w:w="620" w:type="pct"/>
                  <w:noWrap w:val="0"/>
                  <w:vAlign w:val="center"/>
                </w:tcPr>
                <w:p w14:paraId="5A54470D">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0.07</w:t>
                  </w:r>
                </w:p>
              </w:tc>
              <w:tc>
                <w:tcPr>
                  <w:tcW w:w="564" w:type="pct"/>
                  <w:noWrap w:val="0"/>
                  <w:vAlign w:val="center"/>
                </w:tcPr>
                <w:p w14:paraId="21A0936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noWrap w:val="0"/>
                  <w:vAlign w:val="center"/>
                </w:tcPr>
                <w:p w14:paraId="2292249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64" w:type="pct"/>
                  <w:noWrap w:val="0"/>
                  <w:vAlign w:val="center"/>
                </w:tcPr>
                <w:p w14:paraId="6A5218E8">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noWrap w:val="0"/>
                  <w:vAlign w:val="center"/>
                </w:tcPr>
                <w:p w14:paraId="3CAB9291">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noWrap w:val="0"/>
                  <w:vAlign w:val="center"/>
                </w:tcPr>
                <w:p w14:paraId="75CF7827">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noWrap w:val="0"/>
                  <w:vAlign w:val="center"/>
                </w:tcPr>
                <w:p w14:paraId="54C8F71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0.07</w:t>
                  </w:r>
                </w:p>
              </w:tc>
            </w:tr>
            <w:tr w14:paraId="583C8B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3F868F2C">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48881816">
                  <w:pPr>
                    <w:adjustRightInd w:val="0"/>
                    <w:snapToGrid w:val="0"/>
                    <w:spacing w:line="240" w:lineRule="auto"/>
                    <w:jc w:val="center"/>
                    <w:rPr>
                      <w:rFonts w:hint="default" w:ascii="Times New Roman" w:hAnsi="Times New Roman" w:cs="Times New Roman"/>
                      <w:color w:val="auto"/>
                      <w:sz w:val="21"/>
                      <w:szCs w:val="21"/>
                      <w:highlight w:val="none"/>
                    </w:rPr>
                  </w:pPr>
                </w:p>
              </w:tc>
              <w:tc>
                <w:tcPr>
                  <w:tcW w:w="498" w:type="pct"/>
                  <w:tcBorders>
                    <w:bottom w:val="single" w:color="000000" w:sz="4" w:space="0"/>
                  </w:tcBorders>
                  <w:noWrap w:val="0"/>
                  <w:vAlign w:val="center"/>
                </w:tcPr>
                <w:p w14:paraId="447C2DE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TP</w:t>
                  </w:r>
                </w:p>
              </w:tc>
              <w:tc>
                <w:tcPr>
                  <w:tcW w:w="620" w:type="pct"/>
                  <w:tcBorders>
                    <w:bottom w:val="single" w:color="000000" w:sz="4" w:space="0"/>
                  </w:tcBorders>
                  <w:noWrap w:val="0"/>
                  <w:vAlign w:val="center"/>
                </w:tcPr>
                <w:p w14:paraId="7E613549">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564" w:type="pct"/>
                  <w:tcBorders>
                    <w:bottom w:val="single" w:color="000000" w:sz="4" w:space="0"/>
                  </w:tcBorders>
                  <w:noWrap w:val="0"/>
                  <w:vAlign w:val="center"/>
                </w:tcPr>
                <w:p w14:paraId="7B52A7A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tcBorders>
                    <w:bottom w:val="single" w:color="000000" w:sz="4" w:space="0"/>
                  </w:tcBorders>
                  <w:noWrap w:val="0"/>
                  <w:vAlign w:val="center"/>
                </w:tcPr>
                <w:p w14:paraId="5466FC9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564" w:type="pct"/>
                  <w:tcBorders>
                    <w:bottom w:val="single" w:color="000000" w:sz="4" w:space="0"/>
                  </w:tcBorders>
                  <w:noWrap w:val="0"/>
                  <w:vAlign w:val="center"/>
                </w:tcPr>
                <w:p w14:paraId="4F78CCA7">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tcBorders>
                    <w:bottom w:val="single" w:color="000000" w:sz="4" w:space="0"/>
                  </w:tcBorders>
                  <w:noWrap w:val="0"/>
                  <w:vAlign w:val="center"/>
                </w:tcPr>
                <w:p w14:paraId="01D68CC5">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tcBorders>
                    <w:bottom w:val="single" w:color="000000" w:sz="4" w:space="0"/>
                  </w:tcBorders>
                  <w:noWrap w:val="0"/>
                  <w:vAlign w:val="center"/>
                </w:tcPr>
                <w:p w14:paraId="2C73DD33">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tcBorders>
                    <w:bottom w:val="single" w:color="000000" w:sz="4" w:space="0"/>
                  </w:tcBorders>
                  <w:noWrap w:val="0"/>
                  <w:vAlign w:val="center"/>
                </w:tcPr>
                <w:p w14:paraId="7CAFEC6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14:paraId="65B5D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22E176B7">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4DD6D60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98" w:type="pct"/>
                  <w:tcBorders>
                    <w:bottom w:val="single" w:color="000000" w:sz="4" w:space="0"/>
                  </w:tcBorders>
                  <w:noWrap w:val="0"/>
                  <w:vAlign w:val="center"/>
                </w:tcPr>
                <w:p w14:paraId="15D301A0">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TN</w:t>
                  </w:r>
                </w:p>
              </w:tc>
              <w:tc>
                <w:tcPr>
                  <w:tcW w:w="620" w:type="pct"/>
                  <w:tcBorders>
                    <w:bottom w:val="single" w:color="000000" w:sz="4" w:space="0"/>
                  </w:tcBorders>
                  <w:noWrap w:val="0"/>
                  <w:vAlign w:val="center"/>
                </w:tcPr>
                <w:p w14:paraId="5C8435A5">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564" w:type="pct"/>
                  <w:tcBorders>
                    <w:bottom w:val="single" w:color="000000" w:sz="4" w:space="0"/>
                  </w:tcBorders>
                  <w:noWrap w:val="0"/>
                  <w:vAlign w:val="center"/>
                </w:tcPr>
                <w:p w14:paraId="115049A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tcBorders>
                    <w:bottom w:val="single" w:color="000000" w:sz="4" w:space="0"/>
                  </w:tcBorders>
                  <w:noWrap w:val="0"/>
                  <w:vAlign w:val="center"/>
                </w:tcPr>
                <w:p w14:paraId="127B293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64" w:type="pct"/>
                  <w:tcBorders>
                    <w:bottom w:val="single" w:color="000000" w:sz="4" w:space="0"/>
                  </w:tcBorders>
                  <w:noWrap w:val="0"/>
                  <w:vAlign w:val="center"/>
                </w:tcPr>
                <w:p w14:paraId="12F34E96">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tcBorders>
                    <w:bottom w:val="single" w:color="000000" w:sz="4" w:space="0"/>
                  </w:tcBorders>
                  <w:noWrap w:val="0"/>
                  <w:vAlign w:val="center"/>
                </w:tcPr>
                <w:p w14:paraId="3ECC3C85">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tcBorders>
                    <w:bottom w:val="single" w:color="000000" w:sz="4" w:space="0"/>
                  </w:tcBorders>
                  <w:noWrap w:val="0"/>
                  <w:vAlign w:val="center"/>
                </w:tcPr>
                <w:p w14:paraId="66FF43FC">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tcBorders>
                    <w:bottom w:val="single" w:color="000000" w:sz="4" w:space="0"/>
                  </w:tcBorders>
                  <w:noWrap w:val="0"/>
                  <w:vAlign w:val="center"/>
                </w:tcPr>
                <w:p w14:paraId="296C1F3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14:paraId="505D5E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780131AA">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7718D196">
                  <w:pPr>
                    <w:adjustRightInd w:val="0"/>
                    <w:snapToGrid w:val="0"/>
                    <w:spacing w:line="240" w:lineRule="auto"/>
                    <w:jc w:val="center"/>
                    <w:rPr>
                      <w:rFonts w:hint="eastAsia" w:ascii="Times New Roman" w:hAnsi="Times New Roman" w:eastAsia="宋体" w:cs="Times New Roman"/>
                      <w:color w:val="auto"/>
                      <w:sz w:val="21"/>
                      <w:szCs w:val="21"/>
                      <w:highlight w:val="none"/>
                      <w:lang w:eastAsia="zh-CN"/>
                    </w:rPr>
                  </w:pPr>
                </w:p>
              </w:tc>
              <w:tc>
                <w:tcPr>
                  <w:tcW w:w="498" w:type="pct"/>
                  <w:noWrap w:val="0"/>
                  <w:vAlign w:val="center"/>
                </w:tcPr>
                <w:p w14:paraId="460B8678">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石油类</w:t>
                  </w:r>
                </w:p>
              </w:tc>
              <w:tc>
                <w:tcPr>
                  <w:tcW w:w="620" w:type="pct"/>
                  <w:noWrap w:val="0"/>
                  <w:vAlign w:val="center"/>
                </w:tcPr>
                <w:p w14:paraId="56641F40">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564" w:type="pct"/>
                  <w:noWrap w:val="0"/>
                  <w:vAlign w:val="center"/>
                </w:tcPr>
                <w:p w14:paraId="7A3ED8E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36" w:type="pct"/>
                  <w:noWrap w:val="0"/>
                  <w:vAlign w:val="center"/>
                </w:tcPr>
                <w:p w14:paraId="3A1B14A3">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564" w:type="pct"/>
                  <w:noWrap w:val="0"/>
                  <w:vAlign w:val="center"/>
                </w:tcPr>
                <w:p w14:paraId="70633C16">
                  <w:pPr>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73" w:type="pct"/>
                  <w:noWrap w:val="0"/>
                  <w:vAlign w:val="center"/>
                </w:tcPr>
                <w:p w14:paraId="44151F53">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noWrap w:val="0"/>
                  <w:vAlign w:val="center"/>
                </w:tcPr>
                <w:p w14:paraId="187EB368">
                  <w:pPr>
                    <w:spacing w:line="240" w:lineRule="auto"/>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97" w:type="pct"/>
                  <w:noWrap w:val="0"/>
                  <w:vAlign w:val="center"/>
                </w:tcPr>
                <w:p w14:paraId="3EF9835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r>
            <w:tr w14:paraId="06675A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4487FF6C">
                  <w:pPr>
                    <w:widowControl/>
                    <w:spacing w:line="240" w:lineRule="auto"/>
                    <w:jc w:val="center"/>
                    <w:rPr>
                      <w:rFonts w:hint="default" w:ascii="Times New Roman" w:hAnsi="Times New Roman" w:cs="Times New Roman"/>
                      <w:color w:val="auto"/>
                      <w:sz w:val="21"/>
                      <w:szCs w:val="21"/>
                      <w:highlight w:val="none"/>
                    </w:rPr>
                  </w:pPr>
                </w:p>
              </w:tc>
              <w:tc>
                <w:tcPr>
                  <w:tcW w:w="253" w:type="pct"/>
                  <w:vMerge w:val="restart"/>
                  <w:noWrap w:val="0"/>
                  <w:vAlign w:val="center"/>
                </w:tcPr>
                <w:p w14:paraId="1EA37EF8">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初期雨水</w:t>
                  </w:r>
                </w:p>
              </w:tc>
              <w:tc>
                <w:tcPr>
                  <w:tcW w:w="498" w:type="pct"/>
                  <w:noWrap w:val="0"/>
                  <w:vAlign w:val="center"/>
                </w:tcPr>
                <w:p w14:paraId="11C05577">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废水量</w:t>
                  </w:r>
                </w:p>
              </w:tc>
              <w:tc>
                <w:tcPr>
                  <w:tcW w:w="620" w:type="pct"/>
                  <w:noWrap w:val="0"/>
                  <w:vAlign w:val="center"/>
                </w:tcPr>
                <w:p w14:paraId="5884F6A1">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64" w:type="pct"/>
                  <w:noWrap w:val="0"/>
                  <w:vAlign w:val="center"/>
                </w:tcPr>
                <w:p w14:paraId="74D1A8A1">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c>
                <w:tcPr>
                  <w:tcW w:w="536" w:type="pct"/>
                  <w:noWrap w:val="0"/>
                  <w:vAlign w:val="center"/>
                </w:tcPr>
                <w:p w14:paraId="63D20659">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shd w:val="clear" w:color="auto" w:fill="auto"/>
                  <w:noWrap w:val="0"/>
                  <w:vAlign w:val="center"/>
                </w:tcPr>
                <w:p w14:paraId="172F997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c>
                <w:tcPr>
                  <w:tcW w:w="573" w:type="pct"/>
                  <w:noWrap w:val="0"/>
                  <w:vAlign w:val="center"/>
                </w:tcPr>
                <w:p w14:paraId="133BADB6">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shd w:val="clear" w:color="auto" w:fill="auto"/>
                  <w:noWrap w:val="0"/>
                  <w:vAlign w:val="center"/>
                </w:tcPr>
                <w:p w14:paraId="3B06E0D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c>
                <w:tcPr>
                  <w:tcW w:w="497" w:type="pct"/>
                  <w:shd w:val="clear" w:color="auto" w:fill="auto"/>
                  <w:noWrap w:val="0"/>
                  <w:vAlign w:val="center"/>
                </w:tcPr>
                <w:p w14:paraId="1A0069B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r>
            <w:tr w14:paraId="2FE7B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57C4AC1D">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6606FCB7">
                  <w:pPr>
                    <w:adjustRightInd w:val="0"/>
                    <w:snapToGrid w:val="0"/>
                    <w:spacing w:line="240" w:lineRule="auto"/>
                    <w:jc w:val="center"/>
                    <w:rPr>
                      <w:rFonts w:hint="eastAsia" w:ascii="Times New Roman" w:hAnsi="Times New Roman" w:eastAsia="宋体" w:cs="Times New Roman"/>
                      <w:color w:val="auto"/>
                      <w:sz w:val="21"/>
                      <w:szCs w:val="21"/>
                      <w:highlight w:val="none"/>
                      <w:lang w:eastAsia="zh-CN"/>
                    </w:rPr>
                  </w:pPr>
                </w:p>
              </w:tc>
              <w:tc>
                <w:tcPr>
                  <w:tcW w:w="498" w:type="pct"/>
                  <w:noWrap w:val="0"/>
                  <w:vAlign w:val="center"/>
                </w:tcPr>
                <w:p w14:paraId="72E73994">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COD</w:t>
                  </w:r>
                </w:p>
              </w:tc>
              <w:tc>
                <w:tcPr>
                  <w:tcW w:w="620" w:type="pct"/>
                  <w:noWrap w:val="0"/>
                  <w:vAlign w:val="center"/>
                </w:tcPr>
                <w:p w14:paraId="65AE345D">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64" w:type="pct"/>
                  <w:shd w:val="clear" w:color="auto" w:fill="auto"/>
                  <w:noWrap w:val="0"/>
                  <w:vAlign w:val="center"/>
                </w:tcPr>
                <w:p w14:paraId="29B95718">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0.0644</w:t>
                  </w:r>
                </w:p>
              </w:tc>
              <w:tc>
                <w:tcPr>
                  <w:tcW w:w="536" w:type="pct"/>
                  <w:noWrap w:val="0"/>
                  <w:vAlign w:val="center"/>
                </w:tcPr>
                <w:p w14:paraId="3C41B92F">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shd w:val="clear" w:color="auto" w:fill="auto"/>
                  <w:noWrap w:val="0"/>
                  <w:vAlign w:val="center"/>
                </w:tcPr>
                <w:p w14:paraId="01490AAC">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0.0644</w:t>
                  </w:r>
                </w:p>
              </w:tc>
              <w:tc>
                <w:tcPr>
                  <w:tcW w:w="573" w:type="pct"/>
                  <w:noWrap w:val="0"/>
                  <w:vAlign w:val="center"/>
                </w:tcPr>
                <w:p w14:paraId="64559DC5">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shd w:val="clear" w:color="auto" w:fill="auto"/>
                  <w:noWrap w:val="0"/>
                  <w:vAlign w:val="center"/>
                </w:tcPr>
                <w:p w14:paraId="29342B5A">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+0.0644</w:t>
                  </w:r>
                </w:p>
              </w:tc>
              <w:tc>
                <w:tcPr>
                  <w:tcW w:w="497" w:type="pct"/>
                  <w:shd w:val="clear" w:color="auto" w:fill="auto"/>
                  <w:noWrap w:val="0"/>
                  <w:vAlign w:val="center"/>
                </w:tcPr>
                <w:p w14:paraId="018028DC">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0.0644</w:t>
                  </w:r>
                </w:p>
              </w:tc>
            </w:tr>
            <w:tr w14:paraId="23DEB3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vMerge w:val="continue"/>
                  <w:noWrap w:val="0"/>
                  <w:vAlign w:val="center"/>
                </w:tcPr>
                <w:p w14:paraId="4B2FE085">
                  <w:pPr>
                    <w:widowControl/>
                    <w:spacing w:line="240" w:lineRule="auto"/>
                    <w:jc w:val="center"/>
                    <w:rPr>
                      <w:rFonts w:hint="default" w:ascii="Times New Roman" w:hAnsi="Times New Roman" w:cs="Times New Roman"/>
                      <w:color w:val="auto"/>
                      <w:sz w:val="21"/>
                      <w:szCs w:val="21"/>
                      <w:highlight w:val="none"/>
                    </w:rPr>
                  </w:pPr>
                </w:p>
              </w:tc>
              <w:tc>
                <w:tcPr>
                  <w:tcW w:w="253" w:type="pct"/>
                  <w:vMerge w:val="continue"/>
                  <w:noWrap w:val="0"/>
                  <w:vAlign w:val="center"/>
                </w:tcPr>
                <w:p w14:paraId="367A576C">
                  <w:pPr>
                    <w:adjustRightInd w:val="0"/>
                    <w:snapToGrid w:val="0"/>
                    <w:spacing w:line="240" w:lineRule="auto"/>
                    <w:jc w:val="center"/>
                    <w:rPr>
                      <w:rFonts w:hint="eastAsia" w:ascii="Times New Roman" w:hAnsi="Times New Roman" w:eastAsia="宋体" w:cs="Times New Roman"/>
                      <w:color w:val="auto"/>
                      <w:sz w:val="21"/>
                      <w:szCs w:val="21"/>
                      <w:highlight w:val="none"/>
                      <w:lang w:eastAsia="zh-CN"/>
                    </w:rPr>
                  </w:pPr>
                </w:p>
              </w:tc>
              <w:tc>
                <w:tcPr>
                  <w:tcW w:w="498" w:type="pct"/>
                  <w:noWrap w:val="0"/>
                  <w:vAlign w:val="center"/>
                </w:tcPr>
                <w:p w14:paraId="457892DD">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SS</w:t>
                  </w:r>
                </w:p>
              </w:tc>
              <w:tc>
                <w:tcPr>
                  <w:tcW w:w="620" w:type="pct"/>
                  <w:noWrap w:val="0"/>
                  <w:vAlign w:val="center"/>
                </w:tcPr>
                <w:p w14:paraId="57EBDA38">
                  <w:pPr>
                    <w:keepNext w:val="0"/>
                    <w:keepLines w:val="0"/>
                    <w:widowControl/>
                    <w:suppressLineNumbers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64" w:type="pct"/>
                  <w:shd w:val="clear" w:color="auto" w:fill="auto"/>
                  <w:noWrap w:val="0"/>
                  <w:vAlign w:val="center"/>
                </w:tcPr>
                <w:p w14:paraId="1CD86756">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0.05152</w:t>
                  </w:r>
                </w:p>
              </w:tc>
              <w:tc>
                <w:tcPr>
                  <w:tcW w:w="536" w:type="pct"/>
                  <w:noWrap w:val="0"/>
                  <w:vAlign w:val="center"/>
                </w:tcPr>
                <w:p w14:paraId="5A895DE4">
                  <w:pPr>
                    <w:keepNext w:val="0"/>
                    <w:keepLines w:val="0"/>
                    <w:widowControl/>
                    <w:suppressLineNumbers w:val="0"/>
                    <w:spacing w:line="240" w:lineRule="auto"/>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564" w:type="pct"/>
                  <w:shd w:val="clear" w:color="auto" w:fill="auto"/>
                  <w:noWrap w:val="0"/>
                  <w:vAlign w:val="center"/>
                </w:tcPr>
                <w:p w14:paraId="69AE5E86">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0.05152</w:t>
                  </w:r>
                </w:p>
              </w:tc>
              <w:tc>
                <w:tcPr>
                  <w:tcW w:w="573" w:type="pct"/>
                  <w:noWrap w:val="0"/>
                  <w:vAlign w:val="center"/>
                </w:tcPr>
                <w:p w14:paraId="078D9AE0">
                  <w:pPr>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583" w:type="pct"/>
                  <w:shd w:val="clear" w:color="auto" w:fill="auto"/>
                  <w:noWrap w:val="0"/>
                  <w:vAlign w:val="center"/>
                </w:tcPr>
                <w:p w14:paraId="60E18586">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+0.05152</w:t>
                  </w:r>
                </w:p>
              </w:tc>
              <w:tc>
                <w:tcPr>
                  <w:tcW w:w="497" w:type="pct"/>
                  <w:shd w:val="clear" w:color="auto" w:fill="auto"/>
                  <w:noWrap w:val="0"/>
                  <w:vAlign w:val="center"/>
                </w:tcPr>
                <w:p w14:paraId="3AF88364">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0.05152</w:t>
                  </w:r>
                </w:p>
              </w:tc>
            </w:tr>
            <w:tr w14:paraId="4E69BE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restart"/>
                  <w:noWrap w:val="0"/>
                  <w:vAlign w:val="center"/>
                </w:tcPr>
                <w:p w14:paraId="2C790E9C">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498" w:type="pct"/>
                  <w:noWrap w:val="0"/>
                  <w:vAlign w:val="center"/>
                </w:tcPr>
                <w:p w14:paraId="7E57AD60">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氧化皮、废边角料</w:t>
                  </w:r>
                </w:p>
              </w:tc>
              <w:tc>
                <w:tcPr>
                  <w:tcW w:w="620" w:type="pct"/>
                  <w:noWrap w:val="0"/>
                  <w:vAlign w:val="center"/>
                </w:tcPr>
                <w:p w14:paraId="68C2FAA0">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564" w:type="pct"/>
                  <w:noWrap w:val="0"/>
                  <w:vAlign w:val="center"/>
                </w:tcPr>
                <w:p w14:paraId="4BAF1ECE">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6412.5</w:t>
                  </w:r>
                </w:p>
              </w:tc>
              <w:tc>
                <w:tcPr>
                  <w:tcW w:w="536" w:type="pct"/>
                  <w:shd w:val="clear" w:color="auto" w:fill="auto"/>
                  <w:noWrap w:val="0"/>
                  <w:vAlign w:val="center"/>
                </w:tcPr>
                <w:p w14:paraId="7D62DC9D">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6412.5</w:t>
                  </w:r>
                </w:p>
              </w:tc>
              <w:tc>
                <w:tcPr>
                  <w:tcW w:w="564" w:type="pct"/>
                  <w:noWrap w:val="0"/>
                  <w:vAlign w:val="center"/>
                </w:tcPr>
                <w:p w14:paraId="62C5EB7A">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573" w:type="pct"/>
                  <w:noWrap w:val="0"/>
                  <w:vAlign w:val="center"/>
                </w:tcPr>
                <w:p w14:paraId="24BD04F3">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583" w:type="pct"/>
                  <w:noWrap w:val="0"/>
                  <w:vAlign w:val="center"/>
                </w:tcPr>
                <w:p w14:paraId="1CA8284B">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497" w:type="pct"/>
                  <w:noWrap w:val="0"/>
                  <w:vAlign w:val="center"/>
                </w:tcPr>
                <w:p w14:paraId="2CCB2F52">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r>
            <w:tr w14:paraId="2C4C91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2C45DFAD">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3E12D9EB">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含油金属屑</w:t>
                  </w:r>
                </w:p>
              </w:tc>
              <w:tc>
                <w:tcPr>
                  <w:tcW w:w="620" w:type="pct"/>
                  <w:noWrap w:val="0"/>
                  <w:vAlign w:val="center"/>
                </w:tcPr>
                <w:p w14:paraId="50265E85">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564" w:type="pct"/>
                  <w:noWrap w:val="0"/>
                  <w:vAlign w:val="center"/>
                </w:tcPr>
                <w:p w14:paraId="3C2CAF6B">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337.5</w:t>
                  </w:r>
                </w:p>
              </w:tc>
              <w:tc>
                <w:tcPr>
                  <w:tcW w:w="536" w:type="pct"/>
                  <w:shd w:val="clear" w:color="auto" w:fill="auto"/>
                  <w:noWrap w:val="0"/>
                  <w:vAlign w:val="center"/>
                </w:tcPr>
                <w:p w14:paraId="64949F29">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337.5</w:t>
                  </w:r>
                </w:p>
              </w:tc>
              <w:tc>
                <w:tcPr>
                  <w:tcW w:w="564" w:type="pct"/>
                  <w:noWrap w:val="0"/>
                  <w:vAlign w:val="center"/>
                </w:tcPr>
                <w:p w14:paraId="202F1795">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573" w:type="pct"/>
                  <w:noWrap w:val="0"/>
                  <w:vAlign w:val="center"/>
                </w:tcPr>
                <w:p w14:paraId="3DB7A5D5">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583" w:type="pct"/>
                  <w:noWrap w:val="0"/>
                  <w:vAlign w:val="center"/>
                </w:tcPr>
                <w:p w14:paraId="7E3B42BB">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c>
                <w:tcPr>
                  <w:tcW w:w="497" w:type="pct"/>
                  <w:noWrap w:val="0"/>
                  <w:vAlign w:val="center"/>
                </w:tcPr>
                <w:p w14:paraId="5A7AAD4D">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w:t>
                  </w:r>
                </w:p>
              </w:tc>
            </w:tr>
            <w:tr w14:paraId="3A1E53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2953DC28">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796B5D9A">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废机油（废润滑油）</w:t>
                  </w:r>
                </w:p>
              </w:tc>
              <w:tc>
                <w:tcPr>
                  <w:tcW w:w="620" w:type="pct"/>
                  <w:noWrap w:val="0"/>
                  <w:vAlign w:val="center"/>
                </w:tcPr>
                <w:p w14:paraId="316598CC">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564" w:type="pct"/>
                  <w:noWrap w:val="0"/>
                  <w:vAlign w:val="center"/>
                </w:tcPr>
                <w:p w14:paraId="4211BDC6">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0.7</w:t>
                  </w:r>
                </w:p>
              </w:tc>
              <w:tc>
                <w:tcPr>
                  <w:tcW w:w="536" w:type="pct"/>
                  <w:shd w:val="clear" w:color="auto" w:fill="auto"/>
                  <w:noWrap w:val="0"/>
                  <w:vAlign w:val="center"/>
                </w:tcPr>
                <w:p w14:paraId="464DA27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0.7</w:t>
                  </w:r>
                </w:p>
              </w:tc>
              <w:tc>
                <w:tcPr>
                  <w:tcW w:w="564" w:type="pct"/>
                  <w:noWrap w:val="0"/>
                  <w:vAlign w:val="center"/>
                </w:tcPr>
                <w:p w14:paraId="7B2CFFC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73" w:type="pct"/>
                  <w:noWrap w:val="0"/>
                  <w:vAlign w:val="center"/>
                </w:tcPr>
                <w:p w14:paraId="22C27BEB">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34804E8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497" w:type="pct"/>
                  <w:noWrap w:val="0"/>
                  <w:vAlign w:val="center"/>
                </w:tcPr>
                <w:p w14:paraId="5BE1D9DE">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r>
            <w:tr w14:paraId="6DE60F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2BC56FF3">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59CF4EA4">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c>
                <w:tcPr>
                  <w:tcW w:w="620" w:type="pct"/>
                  <w:noWrap w:val="0"/>
                  <w:vAlign w:val="center"/>
                </w:tcPr>
                <w:p w14:paraId="737E1EE3">
                  <w:pPr>
                    <w:snapToGrid w:val="0"/>
                    <w:spacing w:line="240" w:lineRule="auto"/>
                    <w:jc w:val="center"/>
                    <w:rPr>
                      <w:rFonts w:hint="default"/>
                      <w:color w:val="auto"/>
                      <w:lang w:val="en-US" w:eastAsia="zh-CN"/>
                    </w:rPr>
                  </w:pPr>
                  <w:r>
                    <w:rPr>
                      <w:rFonts w:hint="eastAsia"/>
                      <w:color w:val="auto"/>
                      <w:lang w:val="en-US" w:eastAsia="zh-CN"/>
                    </w:rPr>
                    <w:t>0</w:t>
                  </w:r>
                </w:p>
              </w:tc>
              <w:tc>
                <w:tcPr>
                  <w:tcW w:w="564" w:type="pct"/>
                  <w:noWrap w:val="0"/>
                  <w:vAlign w:val="center"/>
                </w:tcPr>
                <w:p w14:paraId="647072B6">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0.25</w:t>
                  </w:r>
                </w:p>
              </w:tc>
              <w:tc>
                <w:tcPr>
                  <w:tcW w:w="536" w:type="pct"/>
                  <w:shd w:val="clear" w:color="auto" w:fill="auto"/>
                  <w:noWrap w:val="0"/>
                  <w:vAlign w:val="center"/>
                </w:tcPr>
                <w:p w14:paraId="2DC6AB0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0.25</w:t>
                  </w:r>
                </w:p>
              </w:tc>
              <w:tc>
                <w:tcPr>
                  <w:tcW w:w="564" w:type="pct"/>
                  <w:noWrap w:val="0"/>
                  <w:vAlign w:val="center"/>
                </w:tcPr>
                <w:p w14:paraId="03429340">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73" w:type="pct"/>
                  <w:noWrap w:val="0"/>
                  <w:vAlign w:val="center"/>
                </w:tcPr>
                <w:p w14:paraId="0BBA7432">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182F1DB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497" w:type="pct"/>
                  <w:noWrap w:val="0"/>
                  <w:vAlign w:val="center"/>
                </w:tcPr>
                <w:p w14:paraId="20BAB57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r>
            <w:tr w14:paraId="4A3156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10967E55">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4FD7520A">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620" w:type="pct"/>
                  <w:noWrap w:val="0"/>
                  <w:vAlign w:val="center"/>
                </w:tcPr>
                <w:p w14:paraId="6E139ADD">
                  <w:pPr>
                    <w:snapToGrid w:val="0"/>
                    <w:spacing w:line="240" w:lineRule="auto"/>
                    <w:jc w:val="center"/>
                    <w:rPr>
                      <w:rFonts w:hint="default"/>
                      <w:color w:val="auto"/>
                      <w:lang w:val="en-US" w:eastAsia="zh-CN"/>
                    </w:rPr>
                  </w:pPr>
                  <w:r>
                    <w:rPr>
                      <w:rFonts w:hint="eastAsia"/>
                      <w:color w:val="auto"/>
                      <w:lang w:val="en-US" w:eastAsia="zh-CN"/>
                    </w:rPr>
                    <w:t>0</w:t>
                  </w:r>
                </w:p>
              </w:tc>
              <w:tc>
                <w:tcPr>
                  <w:tcW w:w="564" w:type="pct"/>
                  <w:noWrap w:val="0"/>
                  <w:vAlign w:val="center"/>
                </w:tcPr>
                <w:p w14:paraId="5575057A">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536" w:type="pct"/>
                  <w:shd w:val="clear" w:color="auto" w:fill="auto"/>
                  <w:noWrap w:val="0"/>
                  <w:vAlign w:val="center"/>
                </w:tcPr>
                <w:p w14:paraId="6108B1F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564" w:type="pct"/>
                  <w:noWrap w:val="0"/>
                  <w:vAlign w:val="center"/>
                </w:tcPr>
                <w:p w14:paraId="7C5115B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73" w:type="pct"/>
                  <w:noWrap w:val="0"/>
                  <w:vAlign w:val="center"/>
                </w:tcPr>
                <w:p w14:paraId="13FDA1E0">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4750081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497" w:type="pct"/>
                  <w:noWrap w:val="0"/>
                  <w:vAlign w:val="center"/>
                </w:tcPr>
                <w:p w14:paraId="01C7F71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r>
            <w:tr w14:paraId="6BE5C1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02E71783">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728A677D">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废包装桶</w:t>
                  </w:r>
                </w:p>
              </w:tc>
              <w:tc>
                <w:tcPr>
                  <w:tcW w:w="620" w:type="pct"/>
                  <w:noWrap w:val="0"/>
                  <w:vAlign w:val="center"/>
                </w:tcPr>
                <w:p w14:paraId="0AFBD207">
                  <w:pPr>
                    <w:snapToGrid w:val="0"/>
                    <w:spacing w:line="240" w:lineRule="auto"/>
                    <w:jc w:val="center"/>
                    <w:rPr>
                      <w:rFonts w:hint="default"/>
                      <w:color w:val="auto"/>
                      <w:lang w:val="en-US" w:eastAsia="zh-CN"/>
                    </w:rPr>
                  </w:pPr>
                  <w:r>
                    <w:rPr>
                      <w:rFonts w:hint="eastAsia"/>
                      <w:color w:val="auto"/>
                      <w:lang w:val="en-US" w:eastAsia="zh-CN"/>
                    </w:rPr>
                    <w:t>0</w:t>
                  </w:r>
                </w:p>
              </w:tc>
              <w:tc>
                <w:tcPr>
                  <w:tcW w:w="564" w:type="pct"/>
                  <w:noWrap w:val="0"/>
                  <w:vAlign w:val="center"/>
                </w:tcPr>
                <w:p w14:paraId="56863F5A">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0.5</w:t>
                  </w:r>
                </w:p>
              </w:tc>
              <w:tc>
                <w:tcPr>
                  <w:tcW w:w="536" w:type="pct"/>
                  <w:shd w:val="clear" w:color="auto" w:fill="auto"/>
                  <w:noWrap w:val="0"/>
                  <w:vAlign w:val="center"/>
                </w:tcPr>
                <w:p w14:paraId="08E9161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0.5</w:t>
                  </w:r>
                </w:p>
              </w:tc>
              <w:tc>
                <w:tcPr>
                  <w:tcW w:w="564" w:type="pct"/>
                  <w:noWrap w:val="0"/>
                  <w:vAlign w:val="center"/>
                </w:tcPr>
                <w:p w14:paraId="0B078CC0">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73" w:type="pct"/>
                  <w:noWrap w:val="0"/>
                  <w:vAlign w:val="center"/>
                </w:tcPr>
                <w:p w14:paraId="2634D655">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264E40E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497" w:type="pct"/>
                  <w:noWrap w:val="0"/>
                  <w:vAlign w:val="center"/>
                </w:tcPr>
                <w:p w14:paraId="0A22392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r>
            <w:tr w14:paraId="7AA9B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62173586">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2A4598A2">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含油抹布手套</w:t>
                  </w:r>
                </w:p>
              </w:tc>
              <w:tc>
                <w:tcPr>
                  <w:tcW w:w="620" w:type="pct"/>
                  <w:noWrap w:val="0"/>
                  <w:vAlign w:val="center"/>
                </w:tcPr>
                <w:p w14:paraId="7440FE05">
                  <w:pPr>
                    <w:snapToGrid w:val="0"/>
                    <w:spacing w:line="240" w:lineRule="auto"/>
                    <w:jc w:val="center"/>
                    <w:rPr>
                      <w:rFonts w:hint="default"/>
                      <w:color w:val="auto"/>
                      <w:lang w:val="en-US" w:eastAsia="zh-CN"/>
                    </w:rPr>
                  </w:pPr>
                  <w:r>
                    <w:rPr>
                      <w:rFonts w:hint="eastAsia"/>
                      <w:color w:val="auto"/>
                      <w:lang w:val="en-US" w:eastAsia="zh-CN"/>
                    </w:rPr>
                    <w:t>0</w:t>
                  </w:r>
                </w:p>
              </w:tc>
              <w:tc>
                <w:tcPr>
                  <w:tcW w:w="564" w:type="pct"/>
                  <w:noWrap w:val="0"/>
                  <w:vAlign w:val="center"/>
                </w:tcPr>
                <w:p w14:paraId="4FB01B22">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w:t>
                  </w:r>
                </w:p>
              </w:tc>
              <w:tc>
                <w:tcPr>
                  <w:tcW w:w="536" w:type="pct"/>
                  <w:shd w:val="clear" w:color="auto" w:fill="auto"/>
                  <w:noWrap w:val="0"/>
                  <w:vAlign w:val="center"/>
                </w:tcPr>
                <w:p w14:paraId="62F0281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w:t>
                  </w:r>
                </w:p>
              </w:tc>
              <w:tc>
                <w:tcPr>
                  <w:tcW w:w="564" w:type="pct"/>
                  <w:noWrap w:val="0"/>
                  <w:vAlign w:val="center"/>
                </w:tcPr>
                <w:p w14:paraId="19216B88">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73" w:type="pct"/>
                  <w:noWrap w:val="0"/>
                  <w:vAlign w:val="center"/>
                </w:tcPr>
                <w:p w14:paraId="20D7D513">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5BA555D3">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497" w:type="pct"/>
                  <w:noWrap w:val="0"/>
                  <w:vAlign w:val="center"/>
                </w:tcPr>
                <w:p w14:paraId="29947D16">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r>
            <w:tr w14:paraId="78D0CB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099BEA61">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1E137CE2">
                  <w:pPr>
                    <w:snapToGrid w:val="0"/>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煤渣</w:t>
                  </w:r>
                </w:p>
              </w:tc>
              <w:tc>
                <w:tcPr>
                  <w:tcW w:w="620" w:type="pct"/>
                  <w:noWrap w:val="0"/>
                  <w:vAlign w:val="center"/>
                </w:tcPr>
                <w:p w14:paraId="0DEB375E">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564" w:type="pct"/>
                  <w:noWrap w:val="0"/>
                  <w:vAlign w:val="center"/>
                </w:tcPr>
                <w:p w14:paraId="76A13896">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36" w:type="pct"/>
                  <w:shd w:val="clear" w:color="auto" w:fill="auto"/>
                  <w:noWrap w:val="0"/>
                  <w:vAlign w:val="center"/>
                </w:tcPr>
                <w:p w14:paraId="171B9808">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w:t>
                  </w:r>
                </w:p>
              </w:tc>
              <w:tc>
                <w:tcPr>
                  <w:tcW w:w="564" w:type="pct"/>
                  <w:noWrap w:val="0"/>
                  <w:vAlign w:val="center"/>
                </w:tcPr>
                <w:p w14:paraId="3F0F4D19">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73" w:type="pct"/>
                  <w:noWrap w:val="0"/>
                  <w:vAlign w:val="center"/>
                </w:tcPr>
                <w:p w14:paraId="686DEDBC">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76333AC9">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97" w:type="pct"/>
                  <w:noWrap w:val="0"/>
                  <w:vAlign w:val="center"/>
                </w:tcPr>
                <w:p w14:paraId="4470AAC8">
                  <w:pPr>
                    <w:snapToGrid w:val="0"/>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r>
            <w:tr w14:paraId="031F55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022D7A0C">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4DE3222D">
                  <w:pPr>
                    <w:snapToGrid w:val="0"/>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泥渣</w:t>
                  </w:r>
                </w:p>
              </w:tc>
              <w:tc>
                <w:tcPr>
                  <w:tcW w:w="620" w:type="pct"/>
                  <w:noWrap w:val="0"/>
                  <w:vAlign w:val="center"/>
                </w:tcPr>
                <w:p w14:paraId="3FA7375E">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564" w:type="pct"/>
                  <w:noWrap w:val="0"/>
                  <w:vAlign w:val="center"/>
                </w:tcPr>
                <w:p w14:paraId="621E0A2C">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36" w:type="pct"/>
                  <w:shd w:val="clear" w:color="auto" w:fill="auto"/>
                  <w:noWrap w:val="0"/>
                  <w:vAlign w:val="center"/>
                </w:tcPr>
                <w:p w14:paraId="5A9E645A">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w:t>
                  </w:r>
                </w:p>
              </w:tc>
              <w:tc>
                <w:tcPr>
                  <w:tcW w:w="564" w:type="pct"/>
                  <w:noWrap w:val="0"/>
                  <w:vAlign w:val="center"/>
                </w:tcPr>
                <w:p w14:paraId="3F0A7002">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73" w:type="pct"/>
                  <w:noWrap w:val="0"/>
                  <w:vAlign w:val="center"/>
                </w:tcPr>
                <w:p w14:paraId="4E653CCE">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76EA14AA">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97" w:type="pct"/>
                  <w:noWrap w:val="0"/>
                  <w:vAlign w:val="center"/>
                </w:tcPr>
                <w:p w14:paraId="340CD97E">
                  <w:pPr>
                    <w:snapToGrid w:val="0"/>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r>
            <w:tr w14:paraId="775FF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gridSpan w:val="2"/>
                  <w:vMerge w:val="continue"/>
                  <w:noWrap w:val="0"/>
                  <w:vAlign w:val="center"/>
                </w:tcPr>
                <w:p w14:paraId="561BA69E">
                  <w:pPr>
                    <w:spacing w:line="240" w:lineRule="auto"/>
                    <w:jc w:val="center"/>
                    <w:rPr>
                      <w:rFonts w:hint="default" w:ascii="Times New Roman" w:hAnsi="Times New Roman" w:eastAsia="宋体" w:cs="Times New Roman"/>
                      <w:color w:val="auto"/>
                      <w:sz w:val="21"/>
                      <w:szCs w:val="21"/>
                      <w:highlight w:val="none"/>
                    </w:rPr>
                  </w:pPr>
                </w:p>
              </w:tc>
              <w:tc>
                <w:tcPr>
                  <w:tcW w:w="498" w:type="pct"/>
                  <w:noWrap w:val="0"/>
                  <w:vAlign w:val="center"/>
                </w:tcPr>
                <w:p w14:paraId="0B9D1955">
                  <w:pPr>
                    <w:snapToGrid w:val="0"/>
                    <w:spacing w:line="240" w:lineRule="auto"/>
                    <w:jc w:val="center"/>
                    <w:rPr>
                      <w:rFonts w:hint="eastAsia" w:ascii="Times New Roman" w:hAnsi="Times New Roman" w:eastAsia="宋体" w:cs="Times New Roman"/>
                      <w:color w:val="auto"/>
                      <w:kern w:val="2"/>
                      <w:sz w:val="21"/>
                      <w:szCs w:val="24"/>
                      <w:lang w:val="en-US" w:eastAsia="zh-CN" w:bidi="ar-SA"/>
                    </w:rPr>
                  </w:pPr>
                  <w:r>
                    <w:rPr>
                      <w:color w:val="auto"/>
                    </w:rPr>
                    <w:t>生活垃圾</w:t>
                  </w:r>
                </w:p>
              </w:tc>
              <w:tc>
                <w:tcPr>
                  <w:tcW w:w="620" w:type="pct"/>
                  <w:noWrap w:val="0"/>
                  <w:vAlign w:val="center"/>
                </w:tcPr>
                <w:p w14:paraId="13C9D8DC">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564" w:type="pct"/>
                  <w:noWrap w:val="0"/>
                  <w:vAlign w:val="center"/>
                </w:tcPr>
                <w:p w14:paraId="29DB7290">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536" w:type="pct"/>
                  <w:shd w:val="clear" w:color="auto" w:fill="auto"/>
                  <w:noWrap w:val="0"/>
                  <w:vAlign w:val="center"/>
                </w:tcPr>
                <w:p w14:paraId="04B5032C">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w:t>
                  </w:r>
                </w:p>
              </w:tc>
              <w:tc>
                <w:tcPr>
                  <w:tcW w:w="564" w:type="pct"/>
                  <w:noWrap w:val="0"/>
                  <w:vAlign w:val="center"/>
                </w:tcPr>
                <w:p w14:paraId="1E3C2F1F">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73" w:type="pct"/>
                  <w:noWrap w:val="0"/>
                  <w:vAlign w:val="center"/>
                </w:tcPr>
                <w:p w14:paraId="725F29ED">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83" w:type="pct"/>
                  <w:noWrap w:val="0"/>
                  <w:vAlign w:val="center"/>
                </w:tcPr>
                <w:p w14:paraId="711109AD">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497" w:type="pct"/>
                  <w:noWrap w:val="0"/>
                  <w:vAlign w:val="center"/>
                </w:tcPr>
                <w:p w14:paraId="40CCF55A">
                  <w:pPr>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r>
            <w:bookmarkEnd w:id="7"/>
            <w:bookmarkEnd w:id="8"/>
            <w:bookmarkEnd w:id="9"/>
          </w:tbl>
          <w:p w14:paraId="7F7E507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本项目污染物排放总量控制建议指标如下：</w:t>
            </w:r>
          </w:p>
          <w:p w14:paraId="08C57CD2">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废水污染物：本项目未新增生活污水，全厂废水污染物</w:t>
            </w:r>
            <w:r>
              <w:rPr>
                <w:rFonts w:hint="eastAsia" w:ascii="Times New Roman" w:hAnsi="Times New Roman" w:eastAsia="宋体" w:cs="Times New Roman"/>
                <w:b w:val="0"/>
                <w:bCs w:val="0"/>
                <w:color w:val="auto"/>
                <w:sz w:val="21"/>
                <w:szCs w:val="21"/>
                <w:lang w:val="en-US" w:eastAsia="zh-Hans"/>
              </w:rPr>
              <w:t>在</w:t>
            </w:r>
            <w:r>
              <w:rPr>
                <w:rFonts w:hint="eastAsia" w:ascii="Times New Roman" w:hAnsi="Times New Roman" w:eastAsia="宋体" w:cs="Times New Roman"/>
                <w:b w:val="0"/>
                <w:bCs w:val="0"/>
                <w:color w:val="auto"/>
                <w:sz w:val="21"/>
                <w:szCs w:val="21"/>
                <w:lang w:val="en-US" w:eastAsia="zh-CN"/>
              </w:rPr>
              <w:t>海门经济技术开发</w:t>
            </w:r>
          </w:p>
          <w:p w14:paraId="3ADCFE1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区污水处理厂</w:t>
            </w:r>
            <w:r>
              <w:rPr>
                <w:rFonts w:hint="eastAsia" w:ascii="Times New Roman" w:hAnsi="Times New Roman" w:eastAsia="宋体" w:cs="Times New Roman"/>
                <w:b w:val="0"/>
                <w:bCs w:val="0"/>
                <w:color w:val="auto"/>
                <w:sz w:val="21"/>
                <w:szCs w:val="21"/>
                <w:lang w:val="en-US" w:eastAsia="zh-Hans"/>
              </w:rPr>
              <w:t>内进行平衡</w:t>
            </w:r>
            <w:r>
              <w:rPr>
                <w:rFonts w:hint="eastAsia" w:ascii="Times New Roman" w:hAnsi="Times New Roman" w:eastAsia="宋体" w:cs="Times New Roman"/>
                <w:b w:val="0"/>
                <w:bCs w:val="0"/>
                <w:color w:val="auto"/>
                <w:sz w:val="21"/>
                <w:szCs w:val="21"/>
                <w:lang w:val="en-US" w:eastAsia="zh-CN"/>
              </w:rPr>
              <w:t>。</w:t>
            </w:r>
          </w:p>
          <w:p w14:paraId="72E71E4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（2）大气污染物：</w:t>
            </w:r>
            <w:r>
              <w:rPr>
                <w:rFonts w:hint="eastAsia" w:cs="Times New Roman"/>
                <w:b w:val="0"/>
                <w:bCs w:val="0"/>
                <w:color w:val="auto"/>
                <w:sz w:val="21"/>
                <w:szCs w:val="21"/>
                <w:lang w:val="en-US" w:eastAsia="zh-CN"/>
              </w:rPr>
              <w:t>全厂废气排入外环境的量为</w:t>
            </w:r>
            <w:r>
              <w:rPr>
                <w:rFonts w:hint="eastAsia" w:ascii="Times New Roman" w:hAnsi="Times New Roman" w:eastAsia="宋体" w:cs="Times New Roman"/>
                <w:b w:val="0"/>
                <w:bCs w:val="0"/>
                <w:color w:val="auto"/>
                <w:sz w:val="21"/>
                <w:szCs w:val="21"/>
                <w:lang w:val="en-US" w:eastAsia="zh-CN"/>
              </w:rPr>
              <w:t>颗粒物</w:t>
            </w:r>
            <w:r>
              <w:rPr>
                <w:rFonts w:hint="eastAsia" w:cs="Times New Roman"/>
                <w:b w:val="0"/>
                <w:bCs w:val="0"/>
                <w:color w:val="auto"/>
                <w:sz w:val="21"/>
                <w:szCs w:val="21"/>
                <w:lang w:val="en-US" w:eastAsia="zh-CN"/>
              </w:rPr>
              <w:t>（有组织）</w:t>
            </w:r>
            <w:r>
              <w:rPr>
                <w:rFonts w:hint="eastAsia" w:ascii="Times New Roman" w:hAnsi="Times New Roman" w:eastAsia="宋体" w:cs="Times New Roman"/>
                <w:b w:val="0"/>
                <w:bCs w:val="0"/>
                <w:color w:val="auto"/>
                <w:sz w:val="21"/>
                <w:szCs w:val="21"/>
                <w:lang w:val="en-US" w:eastAsia="zh-CN"/>
              </w:rPr>
              <w:t>0.4004</w:t>
            </w:r>
            <w:r>
              <w:rPr>
                <w:rFonts w:hint="eastAsia" w:ascii="Times New Roman" w:hAnsi="Times New Roman" w:eastAsia="宋体" w:cs="Times New Roman"/>
                <w:b w:val="0"/>
                <w:bCs w:val="0"/>
                <w:color w:val="auto"/>
                <w:sz w:val="21"/>
                <w:szCs w:val="21"/>
                <w:lang w:val="en-US" w:eastAsia="zh-Hans"/>
              </w:rPr>
              <w:t>t</w:t>
            </w:r>
            <w:r>
              <w:rPr>
                <w:rFonts w:hint="eastAsia" w:ascii="Times New Roman" w:hAnsi="Times New Roman" w:eastAsia="宋体" w:cs="Times New Roman"/>
                <w:b w:val="0"/>
                <w:bCs w:val="0"/>
                <w:color w:val="auto"/>
                <w:sz w:val="21"/>
                <w:szCs w:val="21"/>
                <w:lang w:val="en-US" w:eastAsia="zh-CN"/>
              </w:rPr>
              <w:t>/a、二氧化硫</w:t>
            </w:r>
            <w:r>
              <w:rPr>
                <w:rFonts w:hint="eastAsia" w:cs="Times New Roman"/>
                <w:b w:val="0"/>
                <w:bCs w:val="0"/>
                <w:color w:val="auto"/>
                <w:sz w:val="21"/>
                <w:szCs w:val="21"/>
                <w:lang w:val="en-US" w:eastAsia="zh-CN"/>
              </w:rPr>
              <w:t>（有组织）</w:t>
            </w:r>
            <w:r>
              <w:rPr>
                <w:rFonts w:hint="eastAsia" w:ascii="Times New Roman" w:hAnsi="Times New Roman" w:eastAsia="宋体" w:cs="Times New Roman"/>
                <w:b w:val="0"/>
                <w:bCs w:val="0"/>
                <w:color w:val="auto"/>
                <w:sz w:val="21"/>
                <w:szCs w:val="21"/>
                <w:lang w:val="en-US" w:eastAsia="zh-CN"/>
              </w:rPr>
              <w:t>0.28t/a、氮氧化物</w:t>
            </w:r>
            <w:r>
              <w:rPr>
                <w:rFonts w:hint="eastAsia" w:cs="Times New Roman"/>
                <w:b w:val="0"/>
                <w:bCs w:val="0"/>
                <w:color w:val="auto"/>
                <w:sz w:val="21"/>
                <w:szCs w:val="21"/>
                <w:lang w:val="en-US" w:eastAsia="zh-CN"/>
              </w:rPr>
              <w:t>（有组织）</w:t>
            </w:r>
            <w:r>
              <w:rPr>
                <w:rFonts w:hint="eastAsia" w:ascii="Times New Roman" w:hAnsi="Times New Roman" w:eastAsia="宋体" w:cs="Times New Roman"/>
                <w:b w:val="0"/>
                <w:bCs w:val="0"/>
                <w:color w:val="auto"/>
                <w:sz w:val="21"/>
                <w:szCs w:val="21"/>
                <w:lang w:val="en-US" w:eastAsia="zh-CN"/>
              </w:rPr>
              <w:t>1.309t/a，非甲烷总烃</w:t>
            </w:r>
            <w:r>
              <w:rPr>
                <w:rFonts w:hint="eastAsia" w:cs="Times New Roman"/>
                <w:b w:val="0"/>
                <w:bCs w:val="0"/>
                <w:color w:val="auto"/>
                <w:sz w:val="21"/>
                <w:szCs w:val="21"/>
                <w:lang w:val="en-US" w:eastAsia="zh-CN"/>
              </w:rPr>
              <w:t>（无组织）</w:t>
            </w:r>
            <w:r>
              <w:rPr>
                <w:rFonts w:hint="eastAsia" w:ascii="Times New Roman" w:hAnsi="Times New Roman" w:eastAsia="宋体" w:cs="Times New Roman"/>
                <w:b w:val="0"/>
                <w:bCs w:val="0"/>
                <w:color w:val="auto"/>
                <w:sz w:val="21"/>
                <w:szCs w:val="21"/>
                <w:lang w:val="en-US" w:eastAsia="zh-CN"/>
              </w:rPr>
              <w:t>0.035t/a</w:t>
            </w:r>
            <w:r>
              <w:rPr>
                <w:rFonts w:hint="eastAsia" w:cs="Times New Roman"/>
                <w:b w:val="0"/>
                <w:bCs w:val="0"/>
                <w:color w:val="auto"/>
                <w:sz w:val="21"/>
                <w:szCs w:val="21"/>
                <w:lang w:val="en-US" w:eastAsia="zh-CN"/>
              </w:rPr>
              <w:t>，以新带老削减量为颗粒物（有组织）3t/a，二氧化硫（有组织）2.8t/a，全厂新增</w:t>
            </w:r>
            <w:r>
              <w:rPr>
                <w:rFonts w:hint="eastAsia" w:ascii="Times New Roman" w:hAnsi="Times New Roman" w:eastAsia="宋体" w:cs="Times New Roman"/>
                <w:b w:val="0"/>
                <w:bCs w:val="0"/>
                <w:color w:val="auto"/>
                <w:sz w:val="21"/>
                <w:szCs w:val="21"/>
                <w:lang w:val="en-US" w:eastAsia="zh-Hans"/>
              </w:rPr>
              <w:t>大气污染物</w:t>
            </w:r>
            <w:r>
              <w:rPr>
                <w:rFonts w:hint="eastAsia" w:ascii="Times New Roman" w:hAnsi="Times New Roman" w:eastAsia="宋体" w:cs="Times New Roman"/>
                <w:b w:val="0"/>
                <w:bCs w:val="0"/>
                <w:color w:val="auto"/>
                <w:sz w:val="21"/>
                <w:szCs w:val="21"/>
                <w:lang w:val="en-US" w:eastAsia="zh-CN"/>
              </w:rPr>
              <w:t>氮氧化物</w:t>
            </w:r>
            <w:r>
              <w:rPr>
                <w:rFonts w:hint="eastAsia" w:cs="Times New Roman"/>
                <w:b w:val="0"/>
                <w:bCs w:val="0"/>
                <w:color w:val="auto"/>
                <w:sz w:val="21"/>
                <w:szCs w:val="21"/>
                <w:lang w:val="en-US" w:eastAsia="zh-CN"/>
              </w:rPr>
              <w:t>（有组织）</w:t>
            </w:r>
            <w:r>
              <w:rPr>
                <w:rFonts w:hint="eastAsia" w:ascii="Times New Roman" w:hAnsi="Times New Roman" w:eastAsia="宋体" w:cs="Times New Roman"/>
                <w:b w:val="0"/>
                <w:bCs w:val="0"/>
                <w:color w:val="auto"/>
                <w:sz w:val="21"/>
                <w:szCs w:val="21"/>
                <w:lang w:val="en-US" w:eastAsia="zh-CN"/>
              </w:rPr>
              <w:t>1.309t/a、非甲烷总烃</w:t>
            </w:r>
            <w:r>
              <w:rPr>
                <w:rFonts w:hint="eastAsia" w:cs="Times New Roman"/>
                <w:b w:val="0"/>
                <w:bCs w:val="0"/>
                <w:color w:val="auto"/>
                <w:sz w:val="21"/>
                <w:szCs w:val="21"/>
                <w:lang w:val="en-US" w:eastAsia="zh-CN"/>
              </w:rPr>
              <w:t>（无组织）</w:t>
            </w:r>
            <w:r>
              <w:rPr>
                <w:rFonts w:hint="eastAsia" w:ascii="Times New Roman" w:hAnsi="Times New Roman" w:eastAsia="宋体" w:cs="Times New Roman"/>
                <w:b w:val="0"/>
                <w:bCs w:val="0"/>
                <w:color w:val="auto"/>
                <w:sz w:val="21"/>
                <w:szCs w:val="21"/>
                <w:lang w:val="en-US" w:eastAsia="zh-CN"/>
              </w:rPr>
              <w:t>0.035t/a，</w:t>
            </w:r>
            <w:r>
              <w:rPr>
                <w:rFonts w:hint="eastAsia" w:ascii="Times New Roman" w:hAnsi="Times New Roman" w:eastAsia="宋体" w:cs="Times New Roman"/>
                <w:b w:val="0"/>
                <w:bCs w:val="0"/>
                <w:color w:val="auto"/>
                <w:sz w:val="21"/>
                <w:szCs w:val="21"/>
                <w:lang w:val="en-US" w:eastAsia="zh-Hans"/>
              </w:rPr>
              <w:t>大气污染物在海门</w:t>
            </w:r>
            <w:r>
              <w:rPr>
                <w:rFonts w:hint="eastAsia" w:ascii="Times New Roman" w:hAnsi="Times New Roman" w:eastAsia="宋体" w:cs="Times New Roman"/>
                <w:b w:val="0"/>
                <w:bCs w:val="0"/>
                <w:color w:val="auto"/>
                <w:sz w:val="21"/>
                <w:szCs w:val="21"/>
                <w:lang w:val="en-US" w:eastAsia="zh-CN"/>
              </w:rPr>
              <w:t>区</w:t>
            </w:r>
            <w:r>
              <w:rPr>
                <w:rFonts w:hint="eastAsia" w:ascii="Times New Roman" w:hAnsi="Times New Roman" w:eastAsia="宋体" w:cs="Times New Roman"/>
                <w:b w:val="0"/>
                <w:bCs w:val="0"/>
                <w:color w:val="auto"/>
                <w:sz w:val="21"/>
                <w:szCs w:val="21"/>
                <w:lang w:val="en-US" w:eastAsia="zh-Hans"/>
              </w:rPr>
              <w:t>范围内平衡</w:t>
            </w:r>
            <w:r>
              <w:rPr>
                <w:rFonts w:hint="eastAsia" w:ascii="Times New Roman" w:hAnsi="Times New Roman" w:eastAsia="宋体" w:cs="Times New Roman"/>
                <w:b w:val="0"/>
                <w:bCs w:val="0"/>
                <w:color w:val="auto"/>
                <w:sz w:val="21"/>
                <w:szCs w:val="21"/>
                <w:lang w:val="en-US" w:eastAsia="zh-CN"/>
              </w:rPr>
              <w:t>。</w:t>
            </w:r>
          </w:p>
          <w:p w14:paraId="0381375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（3）固体废物：固体废物均能得到有效利用和处置，固废实现“零”排放。</w:t>
            </w:r>
          </w:p>
          <w:p w14:paraId="5788523E">
            <w:pPr>
              <w:keepNext w:val="0"/>
              <w:keepLines w:val="0"/>
              <w:pageBreakBefore w:val="0"/>
              <w:kinsoku/>
              <w:wordWrap/>
              <w:overflowPunct/>
              <w:topLinePunct w:val="0"/>
              <w:bidi w:val="0"/>
              <w:adjustRightInd w:val="0"/>
              <w:snapToGrid w:val="0"/>
              <w:spacing w:line="360" w:lineRule="auto"/>
              <w:jc w:val="left"/>
              <w:textAlignment w:val="auto"/>
              <w:rPr>
                <w:rFonts w:ascii="Times New Roman" w:hAnsi="Times New Roman"/>
                <w:bCs/>
                <w:color w:val="auto"/>
                <w:sz w:val="21"/>
                <w:szCs w:val="21"/>
              </w:rPr>
            </w:pPr>
          </w:p>
        </w:tc>
      </w:tr>
    </w:tbl>
    <w:p w14:paraId="636C36AD">
      <w:pPr>
        <w:pStyle w:val="3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r>
        <w:rPr>
          <w:rFonts w:ascii="Times New Roman" w:hAnsi="Times New Roman" w:eastAsia="黑体"/>
          <w:snapToGrid w:val="0"/>
          <w:color w:val="auto"/>
          <w:sz w:val="30"/>
          <w:szCs w:val="30"/>
        </w:rPr>
        <w:t>四、主要环境影响和保护措施</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14:paraId="27D37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94" w:type="dxa"/>
            <w:noWrap w:val="0"/>
            <w:tcMar>
              <w:left w:w="28" w:type="dxa"/>
              <w:right w:w="28" w:type="dxa"/>
            </w:tcMar>
            <w:vAlign w:val="center"/>
          </w:tcPr>
          <w:p w14:paraId="7D6F4B3E">
            <w:pPr>
              <w:pStyle w:val="37"/>
              <w:adjustRightInd w:val="0"/>
              <w:snapToGrid w:val="0"/>
              <w:spacing w:before="0" w:beforeAutospacing="0" w:after="0" w:afterAutospacing="0"/>
              <w:jc w:val="center"/>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施工</w:t>
            </w:r>
          </w:p>
          <w:p w14:paraId="491AF081">
            <w:pPr>
              <w:pStyle w:val="37"/>
              <w:adjustRightInd w:val="0"/>
              <w:snapToGrid w:val="0"/>
              <w:spacing w:before="0" w:beforeAutospacing="0" w:after="0" w:afterAutospacing="0"/>
              <w:jc w:val="center"/>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期环</w:t>
            </w:r>
          </w:p>
          <w:p w14:paraId="5837649F">
            <w:pPr>
              <w:pStyle w:val="37"/>
              <w:adjustRightInd w:val="0"/>
              <w:snapToGrid w:val="0"/>
              <w:spacing w:before="0" w:beforeAutospacing="0" w:after="0" w:afterAutospacing="0"/>
              <w:jc w:val="center"/>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境保</w:t>
            </w:r>
          </w:p>
          <w:p w14:paraId="2530B9C4">
            <w:pPr>
              <w:pStyle w:val="37"/>
              <w:adjustRightInd w:val="0"/>
              <w:snapToGrid w:val="0"/>
              <w:spacing w:before="0" w:beforeAutospacing="0" w:after="0" w:afterAutospacing="0"/>
              <w:jc w:val="center"/>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护措</w:t>
            </w:r>
          </w:p>
          <w:p w14:paraId="37426C95">
            <w:pPr>
              <w:pStyle w:val="37"/>
              <w:adjustRightInd w:val="0"/>
              <w:snapToGrid w:val="0"/>
              <w:spacing w:before="0" w:beforeAutospacing="0" w:after="0" w:afterAutospacing="0"/>
              <w:jc w:val="center"/>
              <w:rPr>
                <w:rFonts w:ascii="Times New Roman" w:hAnsi="Times New Roman"/>
                <w:bCs/>
                <w:color w:val="auto"/>
                <w:kern w:val="2"/>
                <w:sz w:val="21"/>
                <w:szCs w:val="21"/>
                <w:lang w:val="en-US" w:eastAsia="zh-CN"/>
              </w:rPr>
            </w:pPr>
            <w:r>
              <w:rPr>
                <w:rFonts w:ascii="Times New Roman" w:hAnsi="Times New Roman"/>
                <w:color w:val="auto"/>
                <w:kern w:val="2"/>
                <w:sz w:val="21"/>
                <w:szCs w:val="21"/>
                <w:lang w:val="en-US" w:eastAsia="zh-CN"/>
              </w:rPr>
              <w:t>施</w:t>
            </w:r>
          </w:p>
        </w:tc>
        <w:tc>
          <w:tcPr>
            <w:tcW w:w="8487" w:type="dxa"/>
            <w:noWrap w:val="0"/>
            <w:vAlign w:val="center"/>
          </w:tcPr>
          <w:p w14:paraId="5DAF463F">
            <w:pPr>
              <w:spacing w:line="360" w:lineRule="auto"/>
              <w:ind w:firstLine="420" w:firstLineChars="200"/>
              <w:rPr>
                <w:color w:val="auto"/>
                <w:sz w:val="21"/>
                <w:szCs w:val="21"/>
              </w:rPr>
            </w:pPr>
            <w:r>
              <w:rPr>
                <w:rFonts w:hint="eastAsia"/>
                <w:bCs/>
                <w:color w:val="auto"/>
                <w:sz w:val="21"/>
                <w:szCs w:val="21"/>
              </w:rPr>
              <w:t>本</w:t>
            </w:r>
            <w:r>
              <w:rPr>
                <w:bCs/>
                <w:color w:val="auto"/>
                <w:sz w:val="21"/>
                <w:szCs w:val="21"/>
              </w:rPr>
              <w:t>项目</w:t>
            </w:r>
            <w:r>
              <w:rPr>
                <w:rFonts w:hint="eastAsia"/>
                <w:bCs/>
                <w:color w:val="auto"/>
                <w:sz w:val="21"/>
                <w:szCs w:val="21"/>
              </w:rPr>
              <w:t>利用原有厂房建设，</w:t>
            </w:r>
            <w:r>
              <w:rPr>
                <w:color w:val="auto"/>
                <w:sz w:val="21"/>
                <w:szCs w:val="21"/>
              </w:rPr>
              <w:t>施工期仅为设备的安装，无施工期污染情况，本环评在此不作分析。</w:t>
            </w:r>
          </w:p>
        </w:tc>
      </w:tr>
      <w:tr w14:paraId="041F5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6" w:hRule="atLeast"/>
          <w:jc w:val="center"/>
        </w:trPr>
        <w:tc>
          <w:tcPr>
            <w:tcW w:w="494" w:type="dxa"/>
            <w:noWrap w:val="0"/>
            <w:tcMar>
              <w:left w:w="28" w:type="dxa"/>
              <w:right w:w="28" w:type="dxa"/>
            </w:tcMar>
            <w:vAlign w:val="center"/>
          </w:tcPr>
          <w:p w14:paraId="08F708D5">
            <w:pPr>
              <w:adjustRightInd w:val="0"/>
              <w:snapToGrid w:val="0"/>
              <w:jc w:val="center"/>
              <w:rPr>
                <w:bCs/>
                <w:color w:val="auto"/>
                <w:sz w:val="21"/>
                <w:szCs w:val="21"/>
              </w:rPr>
            </w:pPr>
            <w:r>
              <w:rPr>
                <w:bCs/>
                <w:color w:val="auto"/>
                <w:sz w:val="21"/>
                <w:szCs w:val="21"/>
              </w:rPr>
              <w:t>运营</w:t>
            </w:r>
          </w:p>
          <w:p w14:paraId="75F37CE2">
            <w:pPr>
              <w:adjustRightInd w:val="0"/>
              <w:snapToGrid w:val="0"/>
              <w:jc w:val="center"/>
              <w:rPr>
                <w:bCs/>
                <w:color w:val="auto"/>
                <w:sz w:val="21"/>
                <w:szCs w:val="21"/>
              </w:rPr>
            </w:pPr>
            <w:r>
              <w:rPr>
                <w:bCs/>
                <w:color w:val="auto"/>
                <w:sz w:val="21"/>
                <w:szCs w:val="21"/>
              </w:rPr>
              <w:t>期环</w:t>
            </w:r>
          </w:p>
          <w:p w14:paraId="5E0370C1">
            <w:pPr>
              <w:adjustRightInd w:val="0"/>
              <w:snapToGrid w:val="0"/>
              <w:jc w:val="center"/>
              <w:rPr>
                <w:bCs/>
                <w:color w:val="auto"/>
                <w:sz w:val="21"/>
                <w:szCs w:val="21"/>
              </w:rPr>
            </w:pPr>
            <w:r>
              <w:rPr>
                <w:bCs/>
                <w:color w:val="auto"/>
                <w:sz w:val="21"/>
                <w:szCs w:val="21"/>
              </w:rPr>
              <w:t>境影</w:t>
            </w:r>
          </w:p>
          <w:p w14:paraId="5B641F3A">
            <w:pPr>
              <w:adjustRightInd w:val="0"/>
              <w:snapToGrid w:val="0"/>
              <w:jc w:val="center"/>
              <w:rPr>
                <w:bCs/>
                <w:color w:val="auto"/>
                <w:sz w:val="21"/>
                <w:szCs w:val="21"/>
              </w:rPr>
            </w:pPr>
            <w:r>
              <w:rPr>
                <w:bCs/>
                <w:color w:val="auto"/>
                <w:sz w:val="21"/>
                <w:szCs w:val="21"/>
              </w:rPr>
              <w:t>响和</w:t>
            </w:r>
          </w:p>
          <w:p w14:paraId="27961D4E">
            <w:pPr>
              <w:adjustRightInd w:val="0"/>
              <w:snapToGrid w:val="0"/>
              <w:jc w:val="center"/>
              <w:rPr>
                <w:bCs/>
                <w:color w:val="auto"/>
                <w:sz w:val="21"/>
                <w:szCs w:val="21"/>
              </w:rPr>
            </w:pPr>
            <w:r>
              <w:rPr>
                <w:bCs/>
                <w:color w:val="auto"/>
                <w:sz w:val="21"/>
                <w:szCs w:val="21"/>
              </w:rPr>
              <w:t>保护</w:t>
            </w:r>
          </w:p>
          <w:p w14:paraId="0D669C32">
            <w:pPr>
              <w:adjustRightInd w:val="0"/>
              <w:snapToGrid w:val="0"/>
              <w:jc w:val="center"/>
              <w:rPr>
                <w:bCs/>
                <w:color w:val="auto"/>
                <w:sz w:val="21"/>
                <w:szCs w:val="21"/>
              </w:rPr>
            </w:pPr>
            <w:r>
              <w:rPr>
                <w:bCs/>
                <w:color w:val="auto"/>
                <w:sz w:val="21"/>
                <w:szCs w:val="21"/>
              </w:rPr>
              <w:t>措施</w:t>
            </w:r>
          </w:p>
        </w:tc>
        <w:tc>
          <w:tcPr>
            <w:tcW w:w="8487" w:type="dxa"/>
            <w:noWrap w:val="0"/>
            <w:vAlign w:val="center"/>
          </w:tcPr>
          <w:p w14:paraId="07A3B3EA">
            <w:pPr>
              <w:adjustRightInd w:val="0"/>
              <w:snapToGrid w:val="0"/>
              <w:spacing w:line="360" w:lineRule="auto"/>
              <w:ind w:firstLine="422" w:firstLineChars="200"/>
              <w:rPr>
                <w:b/>
                <w:color w:val="auto"/>
                <w:sz w:val="21"/>
                <w:szCs w:val="21"/>
              </w:rPr>
            </w:pPr>
            <w:r>
              <w:rPr>
                <w:b/>
                <w:color w:val="auto"/>
                <w:sz w:val="21"/>
                <w:szCs w:val="21"/>
              </w:rPr>
              <w:t>1、</w:t>
            </w:r>
            <w:r>
              <w:rPr>
                <w:rFonts w:hint="eastAsia"/>
                <w:b/>
                <w:color w:val="auto"/>
                <w:sz w:val="21"/>
                <w:szCs w:val="21"/>
              </w:rPr>
              <w:t>废气</w:t>
            </w:r>
          </w:p>
          <w:p w14:paraId="03F75EDA">
            <w:pPr>
              <w:pStyle w:val="16"/>
              <w:keepNext w:val="0"/>
              <w:keepLines w:val="0"/>
              <w:pageBreakBefore w:val="0"/>
              <w:widowControl/>
              <w:kinsoku/>
              <w:wordWrap/>
              <w:overflowPunct/>
              <w:topLinePunct w:val="0"/>
              <w:autoSpaceDE/>
              <w:autoSpaceDN/>
              <w:bidi w:val="0"/>
              <w:adjustRightInd/>
              <w:snapToGrid/>
              <w:spacing w:before="0" w:after="0" w:line="360" w:lineRule="auto"/>
              <w:ind w:right="0" w:firstLine="420" w:firstLineChars="200"/>
              <w:jc w:val="both"/>
              <w:textAlignment w:val="auto"/>
              <w:rPr>
                <w:rFonts w:hint="default"/>
                <w:b w:val="0"/>
                <w:color w:val="auto"/>
                <w:sz w:val="21"/>
                <w:szCs w:val="21"/>
                <w:lang w:val="en-US" w:eastAsia="zh-CN"/>
              </w:rPr>
            </w:pPr>
            <w:r>
              <w:rPr>
                <w:rFonts w:hint="eastAsia"/>
                <w:b w:val="0"/>
                <w:color w:val="auto"/>
                <w:sz w:val="21"/>
                <w:szCs w:val="21"/>
                <w:lang w:val="en-US" w:eastAsia="zh-CN"/>
              </w:rPr>
              <w:t>（1）机加工废气G1-1、G2-1、G1-3、G2-3</w:t>
            </w:r>
          </w:p>
          <w:p w14:paraId="6E22D9C4">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20" w:firstLineChars="200"/>
              <w:jc w:val="both"/>
              <w:textAlignment w:val="auto"/>
              <w:rPr>
                <w:rFonts w:hint="eastAsia"/>
                <w:b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机加工设备使用过程中使用切削液等，启到抑尘作用，故无金属颗粒物产生，机加工过程中受热会产生少量挥发性有机废气（以非甲烷总烃计），参考《排放源统计调查产排污核算方法和系数手册》33-37,431-434机械行业系数手册，非甲烷总烃的产污系数为5.64千克/吨 原料，本项目共使用6.2t/a，则产生非甲烷总烃0.035t/a，车间内无组织排放。</w:t>
            </w:r>
          </w:p>
          <w:p w14:paraId="5ABD5C72">
            <w:pPr>
              <w:pStyle w:val="16"/>
              <w:spacing w:line="240" w:lineRule="auto"/>
              <w:ind w:firstLine="420" w:firstLineChars="200"/>
              <w:jc w:val="both"/>
              <w:rPr>
                <w:rFonts w:hint="eastAsia"/>
                <w:b w:val="0"/>
                <w:color w:val="auto"/>
                <w:sz w:val="21"/>
                <w:szCs w:val="21"/>
                <w:lang w:val="en-US" w:eastAsia="zh-CN"/>
              </w:rPr>
            </w:pPr>
            <w:r>
              <w:rPr>
                <w:rFonts w:hint="eastAsia"/>
                <w:b w:val="0"/>
                <w:color w:val="auto"/>
                <w:sz w:val="21"/>
                <w:szCs w:val="21"/>
                <w:lang w:val="en-US" w:eastAsia="zh-CN"/>
              </w:rPr>
              <w:t xml:space="preserve">（2）天然气燃烧废气G1-2、G2-2 </w:t>
            </w:r>
          </w:p>
          <w:p w14:paraId="76144288">
            <w:pPr>
              <w:keepNext w:val="0"/>
              <w:keepLines w:val="0"/>
              <w:pageBreakBefore w:val="0"/>
              <w:kinsoku/>
              <w:wordWrap/>
              <w:overflowPunct/>
              <w:topLinePunct w:val="0"/>
              <w:autoSpaceDE/>
              <w:autoSpaceDN/>
              <w:bidi w:val="0"/>
              <w:adjustRightInd/>
              <w:spacing w:line="360" w:lineRule="auto"/>
              <w:ind w:right="0" w:firstLine="420" w:firstLineChars="200"/>
              <w:textAlignment w:val="auto"/>
              <w:rPr>
                <w:color w:val="auto"/>
                <w:szCs w:val="21"/>
              </w:rPr>
            </w:pPr>
            <w:r>
              <w:rPr>
                <w:color w:val="auto"/>
              </w:rPr>
              <w:t>本项目</w:t>
            </w:r>
            <w:r>
              <w:rPr>
                <w:rFonts w:hint="eastAsia"/>
                <w:color w:val="auto"/>
              </w:rPr>
              <w:t>将自动带锯处理过的原料放入天然气加热炉中加热</w:t>
            </w:r>
            <w:r>
              <w:rPr>
                <w:color w:val="auto"/>
              </w:rPr>
              <w:t>，</w:t>
            </w:r>
            <w:r>
              <w:rPr>
                <w:rFonts w:hint="eastAsia"/>
                <w:color w:val="auto"/>
              </w:rPr>
              <w:t>天然气</w:t>
            </w:r>
            <w:r>
              <w:rPr>
                <w:color w:val="auto"/>
              </w:rPr>
              <w:t>年使用量为</w:t>
            </w:r>
            <w:r>
              <w:rPr>
                <w:rFonts w:hint="eastAsia"/>
                <w:color w:val="auto"/>
                <w:lang w:val="en-US" w:eastAsia="zh-CN"/>
              </w:rPr>
              <w:t>140</w:t>
            </w:r>
            <w:r>
              <w:rPr>
                <w:color w:val="auto"/>
              </w:rPr>
              <w:t>万m</w:t>
            </w:r>
            <w:r>
              <w:rPr>
                <w:color w:val="auto"/>
                <w:vertAlign w:val="superscript"/>
              </w:rPr>
              <w:t>3</w:t>
            </w:r>
            <w:r>
              <w:rPr>
                <w:color w:val="auto"/>
              </w:rPr>
              <w:t>/a，废气量、</w:t>
            </w:r>
            <w:r>
              <w:rPr>
                <w:rFonts w:hint="eastAsia"/>
                <w:color w:val="auto"/>
                <w:lang w:val="en-US" w:eastAsia="zh-CN"/>
              </w:rPr>
              <w:t>颗粒物、</w:t>
            </w:r>
            <w:r>
              <w:rPr>
                <w:color w:val="auto"/>
              </w:rPr>
              <w:t>SO</w:t>
            </w:r>
            <w:r>
              <w:rPr>
                <w:color w:val="auto"/>
                <w:vertAlign w:val="subscript"/>
              </w:rPr>
              <w:t>2</w:t>
            </w:r>
            <w:r>
              <w:rPr>
                <w:color w:val="auto"/>
              </w:rPr>
              <w:t>和 NO</w:t>
            </w:r>
            <w:r>
              <w:rPr>
                <w:color w:val="auto"/>
                <w:vertAlign w:val="subscript"/>
              </w:rPr>
              <w:t>X</w:t>
            </w:r>
            <w:r>
              <w:rPr>
                <w:color w:val="auto"/>
              </w:rPr>
              <w:t>的产污系数参考《排放源统计调查产排污核算方法和系数手册》</w:t>
            </w:r>
            <w:r>
              <w:rPr>
                <w:rFonts w:hint="eastAsia"/>
                <w:color w:val="auto"/>
                <w:lang w:val="en-US" w:eastAsia="zh-CN"/>
              </w:rPr>
              <w:t>33-37,431-434机械行业系数手册 02 锻造 锻坯加热</w:t>
            </w:r>
            <w:r>
              <w:rPr>
                <w:color w:val="auto"/>
              </w:rPr>
              <w:t>的产污系数</w:t>
            </w:r>
            <w:r>
              <w:rPr>
                <w:rFonts w:hint="eastAsia"/>
                <w:color w:val="auto"/>
              </w:rPr>
              <w:t>，具体产污情况见表4-</w:t>
            </w:r>
            <w:r>
              <w:rPr>
                <w:rFonts w:hint="eastAsia"/>
                <w:color w:val="auto"/>
                <w:lang w:val="en-US" w:eastAsia="zh-CN"/>
              </w:rPr>
              <w:t>1</w:t>
            </w:r>
            <w:r>
              <w:rPr>
                <w:color w:val="auto"/>
                <w:szCs w:val="21"/>
              </w:rPr>
              <w:t>。</w:t>
            </w:r>
          </w:p>
          <w:p w14:paraId="5DA10A71">
            <w:pPr>
              <w:pStyle w:val="16"/>
              <w:keepNext w:val="0"/>
              <w:keepLines w:val="0"/>
              <w:pageBreakBefore w:val="0"/>
              <w:kinsoku/>
              <w:wordWrap/>
              <w:overflowPunct/>
              <w:topLinePunct w:val="0"/>
              <w:autoSpaceDE/>
              <w:autoSpaceDN/>
              <w:bidi w:val="0"/>
              <w:adjustRightInd/>
              <w:spacing w:before="0" w:after="0" w:line="360" w:lineRule="auto"/>
              <w:ind w:right="0" w:firstLine="422" w:firstLineChars="200"/>
              <w:jc w:val="center"/>
              <w:textAlignment w:val="auto"/>
              <w:rPr>
                <w:color w:val="auto"/>
                <w:sz w:val="21"/>
                <w:szCs w:val="21"/>
              </w:rPr>
            </w:pPr>
            <w:r>
              <w:rPr>
                <w:b/>
                <w:bCs/>
                <w:color w:val="auto"/>
                <w:sz w:val="21"/>
                <w:szCs w:val="21"/>
              </w:rPr>
              <w:t>表4-</w:t>
            </w:r>
            <w:r>
              <w:rPr>
                <w:rFonts w:hint="eastAsia"/>
                <w:b/>
                <w:bCs/>
                <w:color w:val="auto"/>
                <w:sz w:val="21"/>
                <w:szCs w:val="21"/>
                <w:lang w:val="en-US" w:eastAsia="zh-CN"/>
              </w:rPr>
              <w:t>1</w:t>
            </w:r>
            <w:r>
              <w:rPr>
                <w:b/>
                <w:bCs/>
                <w:color w:val="auto"/>
                <w:sz w:val="21"/>
                <w:szCs w:val="21"/>
              </w:rPr>
              <w:t xml:space="preserve"> 天然气燃烧烟气产生及排放情况</w:t>
            </w:r>
          </w:p>
          <w:tbl>
            <w:tblPr>
              <w:tblStyle w:val="4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0" w:type="dxa"/>
                <w:bottom w:w="0" w:type="dxa"/>
                <w:right w:w="0" w:type="dxa"/>
              </w:tblCellMar>
            </w:tblPr>
            <w:tblGrid>
              <w:gridCol w:w="1506"/>
              <w:gridCol w:w="1930"/>
              <w:gridCol w:w="1930"/>
              <w:gridCol w:w="1219"/>
              <w:gridCol w:w="1683"/>
            </w:tblGrid>
            <w:tr w14:paraId="049445A1">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910" w:type="pct"/>
                  <w:tcBorders>
                    <w:tl2br w:val="nil"/>
                    <w:tr2bl w:val="nil"/>
                  </w:tcBorders>
                  <w:vAlign w:val="center"/>
                </w:tcPr>
                <w:p w14:paraId="6D168496">
                  <w:pPr>
                    <w:adjustRightInd w:val="0"/>
                    <w:snapToGrid w:val="0"/>
                    <w:spacing w:line="240" w:lineRule="exact"/>
                    <w:jc w:val="center"/>
                    <w:rPr>
                      <w:b/>
                      <w:bCs/>
                      <w:snapToGrid w:val="0"/>
                      <w:color w:val="auto"/>
                      <w:kern w:val="0"/>
                      <w:szCs w:val="21"/>
                    </w:rPr>
                  </w:pPr>
                  <w:r>
                    <w:rPr>
                      <w:b/>
                      <w:bCs/>
                      <w:snapToGrid w:val="0"/>
                      <w:color w:val="auto"/>
                      <w:kern w:val="0"/>
                      <w:szCs w:val="21"/>
                    </w:rPr>
                    <w:t>污染物指标</w:t>
                  </w:r>
                </w:p>
              </w:tc>
              <w:tc>
                <w:tcPr>
                  <w:tcW w:w="1167" w:type="pct"/>
                  <w:tcBorders>
                    <w:tl2br w:val="nil"/>
                    <w:tr2bl w:val="nil"/>
                  </w:tcBorders>
                  <w:vAlign w:val="center"/>
                </w:tcPr>
                <w:p w14:paraId="1A76C698">
                  <w:pPr>
                    <w:adjustRightInd w:val="0"/>
                    <w:snapToGrid w:val="0"/>
                    <w:spacing w:line="240" w:lineRule="exact"/>
                    <w:jc w:val="center"/>
                    <w:rPr>
                      <w:b/>
                      <w:bCs/>
                      <w:snapToGrid w:val="0"/>
                      <w:color w:val="auto"/>
                      <w:kern w:val="0"/>
                      <w:szCs w:val="21"/>
                    </w:rPr>
                  </w:pPr>
                  <w:r>
                    <w:rPr>
                      <w:b/>
                      <w:bCs/>
                      <w:snapToGrid w:val="0"/>
                      <w:color w:val="auto"/>
                      <w:kern w:val="0"/>
                      <w:szCs w:val="21"/>
                    </w:rPr>
                    <w:t>产污系数</w:t>
                  </w:r>
                </w:p>
              </w:tc>
              <w:tc>
                <w:tcPr>
                  <w:tcW w:w="1167" w:type="pct"/>
                  <w:tcBorders>
                    <w:tl2br w:val="nil"/>
                    <w:tr2bl w:val="nil"/>
                  </w:tcBorders>
                  <w:vAlign w:val="center"/>
                </w:tcPr>
                <w:p w14:paraId="3D19F5BE">
                  <w:pPr>
                    <w:adjustRightInd w:val="0"/>
                    <w:snapToGrid w:val="0"/>
                    <w:spacing w:line="240" w:lineRule="exact"/>
                    <w:jc w:val="center"/>
                    <w:rPr>
                      <w:b/>
                      <w:bCs/>
                      <w:snapToGrid w:val="0"/>
                      <w:color w:val="auto"/>
                      <w:kern w:val="0"/>
                      <w:szCs w:val="21"/>
                    </w:rPr>
                  </w:pPr>
                  <w:r>
                    <w:rPr>
                      <w:b/>
                      <w:bCs/>
                      <w:snapToGrid w:val="0"/>
                      <w:color w:val="auto"/>
                      <w:kern w:val="0"/>
                      <w:szCs w:val="21"/>
                    </w:rPr>
                    <w:t>产生量</w:t>
                  </w:r>
                </w:p>
              </w:tc>
              <w:tc>
                <w:tcPr>
                  <w:tcW w:w="737" w:type="pct"/>
                  <w:tcBorders>
                    <w:tl2br w:val="nil"/>
                    <w:tr2bl w:val="nil"/>
                  </w:tcBorders>
                  <w:vAlign w:val="center"/>
                </w:tcPr>
                <w:p w14:paraId="039B214B">
                  <w:pPr>
                    <w:adjustRightInd w:val="0"/>
                    <w:snapToGrid w:val="0"/>
                    <w:spacing w:line="240" w:lineRule="exact"/>
                    <w:jc w:val="center"/>
                    <w:rPr>
                      <w:b/>
                      <w:bCs/>
                      <w:snapToGrid w:val="0"/>
                      <w:color w:val="auto"/>
                      <w:kern w:val="0"/>
                      <w:szCs w:val="21"/>
                    </w:rPr>
                  </w:pPr>
                  <w:r>
                    <w:rPr>
                      <w:b/>
                      <w:bCs/>
                      <w:snapToGrid w:val="0"/>
                      <w:color w:val="auto"/>
                      <w:kern w:val="0"/>
                      <w:szCs w:val="21"/>
                    </w:rPr>
                    <w:t>防治措施</w:t>
                  </w:r>
                </w:p>
              </w:tc>
              <w:tc>
                <w:tcPr>
                  <w:tcW w:w="1017" w:type="pct"/>
                  <w:tcBorders>
                    <w:tl2br w:val="nil"/>
                    <w:tr2bl w:val="nil"/>
                  </w:tcBorders>
                  <w:vAlign w:val="center"/>
                </w:tcPr>
                <w:p w14:paraId="5E8372DA">
                  <w:pPr>
                    <w:adjustRightInd w:val="0"/>
                    <w:snapToGrid w:val="0"/>
                    <w:spacing w:line="240" w:lineRule="exact"/>
                    <w:jc w:val="center"/>
                    <w:rPr>
                      <w:b/>
                      <w:bCs/>
                      <w:snapToGrid w:val="0"/>
                      <w:color w:val="auto"/>
                      <w:kern w:val="0"/>
                      <w:szCs w:val="21"/>
                    </w:rPr>
                  </w:pPr>
                  <w:r>
                    <w:rPr>
                      <w:b/>
                      <w:bCs/>
                      <w:snapToGrid w:val="0"/>
                      <w:color w:val="auto"/>
                      <w:kern w:val="0"/>
                      <w:szCs w:val="21"/>
                    </w:rPr>
                    <w:t>排放量</w:t>
                  </w:r>
                </w:p>
              </w:tc>
            </w:tr>
            <w:tr w14:paraId="0BDA87B1">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910" w:type="pct"/>
                  <w:tcBorders>
                    <w:tl2br w:val="nil"/>
                    <w:tr2bl w:val="nil"/>
                  </w:tcBorders>
                  <w:vAlign w:val="center"/>
                </w:tcPr>
                <w:p w14:paraId="5B7D39A7">
                  <w:pPr>
                    <w:jc w:val="center"/>
                    <w:rPr>
                      <w:snapToGrid w:val="0"/>
                      <w:color w:val="auto"/>
                      <w:kern w:val="0"/>
                      <w:szCs w:val="21"/>
                    </w:rPr>
                  </w:pPr>
                  <w:r>
                    <w:rPr>
                      <w:rFonts w:hint="eastAsia"/>
                      <w:snapToGrid w:val="0"/>
                      <w:color w:val="auto"/>
                      <w:kern w:val="0"/>
                      <w:szCs w:val="21"/>
                    </w:rPr>
                    <w:t>工业废气量</w:t>
                  </w:r>
                </w:p>
              </w:tc>
              <w:tc>
                <w:tcPr>
                  <w:tcW w:w="1167" w:type="pct"/>
                  <w:tcBorders>
                    <w:tl2br w:val="nil"/>
                    <w:tr2bl w:val="nil"/>
                  </w:tcBorders>
                  <w:vAlign w:val="center"/>
                </w:tcPr>
                <w:p w14:paraId="3CD5EB72">
                  <w:pPr>
                    <w:jc w:val="center"/>
                    <w:rPr>
                      <w:rFonts w:hint="default" w:eastAsia="宋体"/>
                      <w:snapToGrid w:val="0"/>
                      <w:color w:val="auto"/>
                      <w:kern w:val="0"/>
                      <w:szCs w:val="21"/>
                      <w:lang w:val="en-US" w:eastAsia="zh-CN"/>
                    </w:rPr>
                  </w:pPr>
                  <w:r>
                    <w:rPr>
                      <w:rFonts w:hint="eastAsia"/>
                      <w:snapToGrid w:val="0"/>
                      <w:color w:val="auto"/>
                      <w:kern w:val="0"/>
                      <w:szCs w:val="21"/>
                      <w:lang w:val="en-US" w:eastAsia="zh-CN"/>
                    </w:rPr>
                    <w:t>13.6m</w:t>
                  </w:r>
                  <w:r>
                    <w:rPr>
                      <w:rFonts w:hint="eastAsia"/>
                      <w:snapToGrid w:val="0"/>
                      <w:color w:val="auto"/>
                      <w:kern w:val="0"/>
                      <w:szCs w:val="21"/>
                      <w:vertAlign w:val="superscript"/>
                      <w:lang w:val="en-US" w:eastAsia="zh-CN"/>
                    </w:rPr>
                    <w:t>3</w:t>
                  </w:r>
                  <w:r>
                    <w:rPr>
                      <w:rFonts w:hint="eastAsia"/>
                      <w:snapToGrid w:val="0"/>
                      <w:color w:val="auto"/>
                      <w:kern w:val="0"/>
                      <w:szCs w:val="21"/>
                      <w:lang w:val="en-US" w:eastAsia="zh-CN"/>
                    </w:rPr>
                    <w:t>/立方米 原料</w:t>
                  </w:r>
                </w:p>
              </w:tc>
              <w:tc>
                <w:tcPr>
                  <w:tcW w:w="1167" w:type="pct"/>
                  <w:tcBorders>
                    <w:tl2br w:val="nil"/>
                    <w:tr2bl w:val="nil"/>
                  </w:tcBorders>
                  <w:vAlign w:val="center"/>
                </w:tcPr>
                <w:p w14:paraId="636FFAA8">
                  <w:pPr>
                    <w:jc w:val="center"/>
                    <w:rPr>
                      <w:snapToGrid w:val="0"/>
                      <w:color w:val="auto"/>
                      <w:kern w:val="0"/>
                      <w:szCs w:val="21"/>
                    </w:rPr>
                  </w:pPr>
                  <w:r>
                    <w:rPr>
                      <w:rFonts w:hint="eastAsia"/>
                      <w:snapToGrid w:val="0"/>
                      <w:color w:val="auto"/>
                      <w:kern w:val="0"/>
                      <w:szCs w:val="21"/>
                      <w:lang w:val="en-US" w:eastAsia="zh-CN"/>
                    </w:rPr>
                    <w:t>19040000</w:t>
                  </w:r>
                  <w:r>
                    <w:rPr>
                      <w:rFonts w:hint="eastAsia"/>
                      <w:snapToGrid w:val="0"/>
                      <w:color w:val="auto"/>
                      <w:kern w:val="0"/>
                      <w:szCs w:val="21"/>
                    </w:rPr>
                    <w:t>Nm3/a</w:t>
                  </w:r>
                </w:p>
              </w:tc>
              <w:tc>
                <w:tcPr>
                  <w:tcW w:w="737" w:type="pct"/>
                  <w:vMerge w:val="restart"/>
                  <w:tcBorders>
                    <w:tl2br w:val="nil"/>
                    <w:tr2bl w:val="nil"/>
                  </w:tcBorders>
                  <w:vAlign w:val="center"/>
                </w:tcPr>
                <w:p w14:paraId="409539D4">
                  <w:pPr>
                    <w:adjustRightInd w:val="0"/>
                    <w:snapToGrid w:val="0"/>
                    <w:spacing w:line="240" w:lineRule="exact"/>
                    <w:jc w:val="center"/>
                    <w:rPr>
                      <w:rFonts w:hint="eastAsia" w:eastAsia="宋体"/>
                      <w:color w:val="auto"/>
                      <w:kern w:val="0"/>
                      <w:szCs w:val="21"/>
                      <w:lang w:eastAsia="zh-CN"/>
                    </w:rPr>
                  </w:pPr>
                  <w:r>
                    <w:rPr>
                      <w:rFonts w:hint="eastAsia"/>
                      <w:snapToGrid w:val="0"/>
                      <w:color w:val="auto"/>
                      <w:kern w:val="0"/>
                      <w:szCs w:val="21"/>
                      <w:lang w:val="en-US" w:eastAsia="zh-CN"/>
                    </w:rPr>
                    <w:t>低氮燃烧+</w:t>
                  </w:r>
                  <w:r>
                    <w:rPr>
                      <w:rFonts w:hint="eastAsia"/>
                      <w:snapToGrid w:val="0"/>
                      <w:color w:val="auto"/>
                      <w:kern w:val="0"/>
                      <w:szCs w:val="21"/>
                    </w:rPr>
                    <w:t>排气筒DA00</w:t>
                  </w:r>
                  <w:r>
                    <w:rPr>
                      <w:rFonts w:hint="eastAsia"/>
                      <w:snapToGrid w:val="0"/>
                      <w:color w:val="auto"/>
                      <w:kern w:val="0"/>
                      <w:szCs w:val="21"/>
                      <w:lang w:val="en-US" w:eastAsia="zh-CN"/>
                    </w:rPr>
                    <w:t>1</w:t>
                  </w:r>
                </w:p>
              </w:tc>
              <w:tc>
                <w:tcPr>
                  <w:tcW w:w="1017" w:type="pct"/>
                  <w:tcBorders>
                    <w:tl2br w:val="nil"/>
                    <w:tr2bl w:val="nil"/>
                  </w:tcBorders>
                  <w:vAlign w:val="center"/>
                </w:tcPr>
                <w:p w14:paraId="01B267FB">
                  <w:pPr>
                    <w:jc w:val="center"/>
                    <w:rPr>
                      <w:rFonts w:ascii="Times New Roman" w:hAnsi="Times New Roman" w:eastAsia="宋体" w:cs="Times New Roman"/>
                      <w:snapToGrid w:val="0"/>
                      <w:color w:val="auto"/>
                      <w:kern w:val="0"/>
                      <w:sz w:val="21"/>
                      <w:szCs w:val="21"/>
                      <w:lang w:val="en-US" w:eastAsia="zh-CN" w:bidi="ar-SA"/>
                    </w:rPr>
                  </w:pPr>
                  <w:r>
                    <w:rPr>
                      <w:rFonts w:hint="eastAsia"/>
                      <w:snapToGrid w:val="0"/>
                      <w:color w:val="auto"/>
                      <w:kern w:val="0"/>
                      <w:szCs w:val="21"/>
                      <w:lang w:val="en-US" w:eastAsia="zh-CN"/>
                    </w:rPr>
                    <w:t>19040000</w:t>
                  </w:r>
                  <w:r>
                    <w:rPr>
                      <w:rFonts w:hint="eastAsia"/>
                      <w:snapToGrid w:val="0"/>
                      <w:color w:val="auto"/>
                      <w:kern w:val="0"/>
                      <w:szCs w:val="21"/>
                    </w:rPr>
                    <w:t>Nm3/a</w:t>
                  </w:r>
                </w:p>
              </w:tc>
            </w:tr>
            <w:tr w14:paraId="7F634D01">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910" w:type="pct"/>
                  <w:tcBorders>
                    <w:tl2br w:val="nil"/>
                    <w:tr2bl w:val="nil"/>
                  </w:tcBorders>
                  <w:vAlign w:val="center"/>
                </w:tcPr>
                <w:p w14:paraId="41568676">
                  <w:pPr>
                    <w:adjustRightInd w:val="0"/>
                    <w:snapToGrid w:val="0"/>
                    <w:spacing w:line="240" w:lineRule="exact"/>
                    <w:jc w:val="center"/>
                    <w:rPr>
                      <w:rFonts w:hint="eastAsia" w:eastAsia="宋体"/>
                      <w:snapToGrid w:val="0"/>
                      <w:color w:val="auto"/>
                      <w:kern w:val="0"/>
                      <w:szCs w:val="21"/>
                      <w:lang w:eastAsia="zh-CN"/>
                    </w:rPr>
                  </w:pPr>
                  <w:r>
                    <w:rPr>
                      <w:rFonts w:hint="eastAsia"/>
                      <w:snapToGrid w:val="0"/>
                      <w:color w:val="auto"/>
                      <w:kern w:val="0"/>
                      <w:szCs w:val="21"/>
                      <w:lang w:val="en-US" w:eastAsia="zh-CN"/>
                    </w:rPr>
                    <w:t>颗粒物</w:t>
                  </w:r>
                </w:p>
              </w:tc>
              <w:tc>
                <w:tcPr>
                  <w:tcW w:w="1167" w:type="pct"/>
                  <w:tcBorders>
                    <w:tl2br w:val="nil"/>
                    <w:tr2bl w:val="nil"/>
                  </w:tcBorders>
                  <w:vAlign w:val="center"/>
                </w:tcPr>
                <w:p w14:paraId="76C1B2F8">
                  <w:pPr>
                    <w:adjustRightInd w:val="0"/>
                    <w:snapToGrid w:val="0"/>
                    <w:spacing w:line="240" w:lineRule="exact"/>
                    <w:jc w:val="center"/>
                    <w:rPr>
                      <w:rFonts w:hint="default" w:eastAsia="宋体"/>
                      <w:snapToGrid w:val="0"/>
                      <w:color w:val="auto"/>
                      <w:kern w:val="0"/>
                      <w:szCs w:val="21"/>
                      <w:lang w:val="en-US" w:eastAsia="zh-CN"/>
                    </w:rPr>
                  </w:pPr>
                  <w:r>
                    <w:rPr>
                      <w:rFonts w:hint="eastAsia"/>
                      <w:snapToGrid w:val="0"/>
                      <w:color w:val="auto"/>
                      <w:kern w:val="0"/>
                      <w:szCs w:val="21"/>
                      <w:lang w:val="en-US" w:eastAsia="zh-CN"/>
                    </w:rPr>
                    <w:t>0.000286 kg/立方米 原料</w:t>
                  </w:r>
                </w:p>
              </w:tc>
              <w:tc>
                <w:tcPr>
                  <w:tcW w:w="1167" w:type="pct"/>
                  <w:tcBorders>
                    <w:tl2br w:val="nil"/>
                    <w:tr2bl w:val="nil"/>
                  </w:tcBorders>
                  <w:vAlign w:val="center"/>
                </w:tcPr>
                <w:p w14:paraId="2262E1A5">
                  <w:pPr>
                    <w:adjustRightInd w:val="0"/>
                    <w:snapToGrid w:val="0"/>
                    <w:spacing w:line="240" w:lineRule="exact"/>
                    <w:jc w:val="center"/>
                    <w:rPr>
                      <w:snapToGrid w:val="0"/>
                      <w:color w:val="auto"/>
                      <w:kern w:val="0"/>
                      <w:szCs w:val="21"/>
                    </w:rPr>
                  </w:pPr>
                  <w:r>
                    <w:rPr>
                      <w:rFonts w:hint="eastAsia"/>
                      <w:snapToGrid w:val="0"/>
                      <w:color w:val="auto"/>
                      <w:kern w:val="0"/>
                      <w:szCs w:val="21"/>
                      <w:lang w:val="en-US" w:eastAsia="zh-CN"/>
                    </w:rPr>
                    <w:t>0.4004</w:t>
                  </w:r>
                  <w:r>
                    <w:rPr>
                      <w:rFonts w:hint="eastAsia"/>
                      <w:snapToGrid w:val="0"/>
                      <w:color w:val="auto"/>
                      <w:kern w:val="0"/>
                      <w:szCs w:val="21"/>
                    </w:rPr>
                    <w:t>t/a</w:t>
                  </w:r>
                </w:p>
              </w:tc>
              <w:tc>
                <w:tcPr>
                  <w:tcW w:w="737" w:type="pct"/>
                  <w:vMerge w:val="continue"/>
                  <w:tcBorders>
                    <w:tl2br w:val="nil"/>
                    <w:tr2bl w:val="nil"/>
                  </w:tcBorders>
                  <w:vAlign w:val="center"/>
                </w:tcPr>
                <w:p w14:paraId="5B324332">
                  <w:pPr>
                    <w:adjustRightInd w:val="0"/>
                    <w:snapToGrid w:val="0"/>
                    <w:spacing w:line="240" w:lineRule="exact"/>
                    <w:jc w:val="center"/>
                    <w:rPr>
                      <w:color w:val="auto"/>
                      <w:kern w:val="0"/>
                      <w:szCs w:val="21"/>
                    </w:rPr>
                  </w:pPr>
                </w:p>
              </w:tc>
              <w:tc>
                <w:tcPr>
                  <w:tcW w:w="1017" w:type="pct"/>
                  <w:tcBorders>
                    <w:tl2br w:val="nil"/>
                    <w:tr2bl w:val="nil"/>
                  </w:tcBorders>
                  <w:vAlign w:val="center"/>
                </w:tcPr>
                <w:p w14:paraId="2E1A0249">
                  <w:pPr>
                    <w:adjustRightInd w:val="0"/>
                    <w:snapToGrid w:val="0"/>
                    <w:spacing w:line="240" w:lineRule="exact"/>
                    <w:jc w:val="center"/>
                    <w:rPr>
                      <w:rFonts w:ascii="Times New Roman" w:hAnsi="Times New Roman" w:eastAsia="宋体" w:cs="Times New Roman"/>
                      <w:snapToGrid w:val="0"/>
                      <w:color w:val="auto"/>
                      <w:kern w:val="0"/>
                      <w:sz w:val="21"/>
                      <w:szCs w:val="21"/>
                      <w:lang w:val="en-US" w:eastAsia="zh-CN" w:bidi="ar-SA"/>
                    </w:rPr>
                  </w:pPr>
                  <w:r>
                    <w:rPr>
                      <w:rFonts w:hint="eastAsia"/>
                      <w:snapToGrid w:val="0"/>
                      <w:color w:val="auto"/>
                      <w:kern w:val="0"/>
                      <w:szCs w:val="21"/>
                      <w:lang w:val="en-US" w:eastAsia="zh-CN"/>
                    </w:rPr>
                    <w:t>0.4004</w:t>
                  </w:r>
                  <w:r>
                    <w:rPr>
                      <w:rFonts w:hint="eastAsia"/>
                      <w:snapToGrid w:val="0"/>
                      <w:color w:val="auto"/>
                      <w:kern w:val="0"/>
                      <w:szCs w:val="21"/>
                    </w:rPr>
                    <w:t>t/a</w:t>
                  </w:r>
                </w:p>
              </w:tc>
            </w:tr>
            <w:tr w14:paraId="58D4F664">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910" w:type="pct"/>
                  <w:tcBorders>
                    <w:tl2br w:val="nil"/>
                    <w:tr2bl w:val="nil"/>
                  </w:tcBorders>
                  <w:vAlign w:val="center"/>
                </w:tcPr>
                <w:p w14:paraId="46EE6F4E">
                  <w:pPr>
                    <w:adjustRightInd w:val="0"/>
                    <w:snapToGrid w:val="0"/>
                    <w:spacing w:line="240" w:lineRule="exact"/>
                    <w:jc w:val="center"/>
                    <w:rPr>
                      <w:rFonts w:hint="default" w:eastAsia="宋体"/>
                      <w:snapToGrid w:val="0"/>
                      <w:color w:val="auto"/>
                      <w:kern w:val="0"/>
                      <w:szCs w:val="21"/>
                      <w:lang w:val="en-US" w:eastAsia="zh-CN"/>
                    </w:rPr>
                  </w:pPr>
                  <w:r>
                    <w:rPr>
                      <w:rFonts w:hint="eastAsia"/>
                      <w:snapToGrid w:val="0"/>
                      <w:color w:val="auto"/>
                      <w:kern w:val="0"/>
                      <w:szCs w:val="21"/>
                      <w:lang w:val="en-US" w:eastAsia="zh-CN"/>
                    </w:rPr>
                    <w:t>SO</w:t>
                  </w:r>
                  <w:r>
                    <w:rPr>
                      <w:rFonts w:hint="eastAsia"/>
                      <w:snapToGrid w:val="0"/>
                      <w:color w:val="auto"/>
                      <w:kern w:val="0"/>
                      <w:szCs w:val="21"/>
                      <w:vertAlign w:val="subscript"/>
                      <w:lang w:val="en-US" w:eastAsia="zh-CN"/>
                    </w:rPr>
                    <w:t>2</w:t>
                  </w:r>
                </w:p>
              </w:tc>
              <w:tc>
                <w:tcPr>
                  <w:tcW w:w="1167" w:type="pct"/>
                  <w:tcBorders>
                    <w:tl2br w:val="nil"/>
                    <w:tr2bl w:val="nil"/>
                  </w:tcBorders>
                  <w:vAlign w:val="center"/>
                </w:tcPr>
                <w:p w14:paraId="776D817C">
                  <w:pPr>
                    <w:adjustRightInd w:val="0"/>
                    <w:snapToGrid w:val="0"/>
                    <w:spacing w:line="240" w:lineRule="exact"/>
                    <w:jc w:val="center"/>
                    <w:rPr>
                      <w:rFonts w:hint="default"/>
                      <w:snapToGrid w:val="0"/>
                      <w:color w:val="auto"/>
                      <w:kern w:val="0"/>
                      <w:szCs w:val="21"/>
                      <w:lang w:val="en-US"/>
                    </w:rPr>
                  </w:pPr>
                  <w:r>
                    <w:rPr>
                      <w:rFonts w:hint="eastAsia"/>
                      <w:snapToGrid w:val="0"/>
                      <w:color w:val="auto"/>
                      <w:kern w:val="0"/>
                      <w:szCs w:val="21"/>
                      <w:lang w:val="en-US" w:eastAsia="zh-CN"/>
                    </w:rPr>
                    <w:t>0.000002S kg/立方米 原料</w:t>
                  </w:r>
                </w:p>
              </w:tc>
              <w:tc>
                <w:tcPr>
                  <w:tcW w:w="1167" w:type="pct"/>
                  <w:tcBorders>
                    <w:tl2br w:val="nil"/>
                    <w:tr2bl w:val="nil"/>
                  </w:tcBorders>
                  <w:vAlign w:val="center"/>
                </w:tcPr>
                <w:p w14:paraId="45AD054E">
                  <w:pPr>
                    <w:adjustRightInd w:val="0"/>
                    <w:snapToGrid w:val="0"/>
                    <w:spacing w:line="240" w:lineRule="exact"/>
                    <w:jc w:val="center"/>
                    <w:rPr>
                      <w:snapToGrid w:val="0"/>
                      <w:color w:val="auto"/>
                      <w:kern w:val="0"/>
                      <w:szCs w:val="21"/>
                    </w:rPr>
                  </w:pPr>
                  <w:r>
                    <w:rPr>
                      <w:rFonts w:hint="eastAsia"/>
                      <w:snapToGrid w:val="0"/>
                      <w:color w:val="auto"/>
                      <w:kern w:val="0"/>
                      <w:szCs w:val="21"/>
                      <w:lang w:val="en-US" w:eastAsia="zh-CN"/>
                    </w:rPr>
                    <w:t>0.28</w:t>
                  </w:r>
                  <w:r>
                    <w:rPr>
                      <w:rFonts w:hint="eastAsia"/>
                      <w:snapToGrid w:val="0"/>
                      <w:color w:val="auto"/>
                      <w:kern w:val="0"/>
                      <w:szCs w:val="21"/>
                    </w:rPr>
                    <w:t>t/a</w:t>
                  </w:r>
                </w:p>
              </w:tc>
              <w:tc>
                <w:tcPr>
                  <w:tcW w:w="737" w:type="pct"/>
                  <w:vMerge w:val="continue"/>
                  <w:tcBorders>
                    <w:tl2br w:val="nil"/>
                    <w:tr2bl w:val="nil"/>
                  </w:tcBorders>
                  <w:vAlign w:val="center"/>
                </w:tcPr>
                <w:p w14:paraId="37640B2B">
                  <w:pPr>
                    <w:adjustRightInd w:val="0"/>
                    <w:snapToGrid w:val="0"/>
                    <w:spacing w:line="240" w:lineRule="exact"/>
                    <w:jc w:val="center"/>
                    <w:rPr>
                      <w:color w:val="auto"/>
                      <w:kern w:val="0"/>
                      <w:szCs w:val="21"/>
                    </w:rPr>
                  </w:pPr>
                </w:p>
              </w:tc>
              <w:tc>
                <w:tcPr>
                  <w:tcW w:w="1017" w:type="pct"/>
                  <w:tcBorders>
                    <w:tl2br w:val="nil"/>
                    <w:tr2bl w:val="nil"/>
                  </w:tcBorders>
                  <w:vAlign w:val="center"/>
                </w:tcPr>
                <w:p w14:paraId="511E9657">
                  <w:pPr>
                    <w:adjustRightInd w:val="0"/>
                    <w:snapToGrid w:val="0"/>
                    <w:spacing w:line="240" w:lineRule="exact"/>
                    <w:jc w:val="center"/>
                    <w:rPr>
                      <w:rFonts w:ascii="Times New Roman" w:hAnsi="Times New Roman" w:eastAsia="宋体" w:cs="Times New Roman"/>
                      <w:snapToGrid w:val="0"/>
                      <w:color w:val="auto"/>
                      <w:kern w:val="0"/>
                      <w:sz w:val="21"/>
                      <w:szCs w:val="21"/>
                      <w:lang w:val="en-US" w:eastAsia="zh-CN" w:bidi="ar-SA"/>
                    </w:rPr>
                  </w:pPr>
                  <w:r>
                    <w:rPr>
                      <w:rFonts w:hint="eastAsia"/>
                      <w:snapToGrid w:val="0"/>
                      <w:color w:val="auto"/>
                      <w:kern w:val="0"/>
                      <w:szCs w:val="21"/>
                      <w:lang w:val="en-US" w:eastAsia="zh-CN"/>
                    </w:rPr>
                    <w:t>0.28</w:t>
                  </w:r>
                  <w:r>
                    <w:rPr>
                      <w:rFonts w:hint="eastAsia"/>
                      <w:snapToGrid w:val="0"/>
                      <w:color w:val="auto"/>
                      <w:kern w:val="0"/>
                      <w:szCs w:val="21"/>
                    </w:rPr>
                    <w:t>t/a</w:t>
                  </w:r>
                </w:p>
              </w:tc>
            </w:tr>
            <w:tr w14:paraId="3F3AC03F">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910" w:type="pct"/>
                  <w:tcBorders>
                    <w:tl2br w:val="nil"/>
                    <w:tr2bl w:val="nil"/>
                  </w:tcBorders>
                  <w:vAlign w:val="center"/>
                </w:tcPr>
                <w:p w14:paraId="55092C54">
                  <w:pPr>
                    <w:adjustRightInd w:val="0"/>
                    <w:snapToGrid w:val="0"/>
                    <w:spacing w:line="240" w:lineRule="exact"/>
                    <w:jc w:val="center"/>
                    <w:rPr>
                      <w:snapToGrid w:val="0"/>
                      <w:color w:val="auto"/>
                      <w:kern w:val="0"/>
                      <w:szCs w:val="21"/>
                    </w:rPr>
                  </w:pPr>
                  <w:r>
                    <w:rPr>
                      <w:rFonts w:hint="eastAsia"/>
                      <w:snapToGrid w:val="0"/>
                      <w:color w:val="auto"/>
                      <w:kern w:val="0"/>
                      <w:szCs w:val="21"/>
                    </w:rPr>
                    <w:t>NOx</w:t>
                  </w:r>
                </w:p>
              </w:tc>
              <w:tc>
                <w:tcPr>
                  <w:tcW w:w="1167" w:type="pct"/>
                  <w:tcBorders>
                    <w:tl2br w:val="nil"/>
                    <w:tr2bl w:val="nil"/>
                  </w:tcBorders>
                  <w:vAlign w:val="center"/>
                </w:tcPr>
                <w:p w14:paraId="5532814A">
                  <w:pPr>
                    <w:adjustRightInd w:val="0"/>
                    <w:snapToGrid w:val="0"/>
                    <w:spacing w:line="240" w:lineRule="exact"/>
                    <w:jc w:val="center"/>
                    <w:rPr>
                      <w:rFonts w:hint="default" w:eastAsia="宋体"/>
                      <w:snapToGrid w:val="0"/>
                      <w:color w:val="auto"/>
                      <w:kern w:val="0"/>
                      <w:szCs w:val="21"/>
                      <w:lang w:val="en-US" w:eastAsia="zh-CN"/>
                    </w:rPr>
                  </w:pPr>
                  <w:r>
                    <w:rPr>
                      <w:rFonts w:hint="eastAsia"/>
                      <w:snapToGrid w:val="0"/>
                      <w:color w:val="auto"/>
                      <w:kern w:val="0"/>
                      <w:szCs w:val="21"/>
                      <w:lang w:val="en-US" w:eastAsia="zh-CN"/>
                    </w:rPr>
                    <w:t>0.00187 kg/立方米 原料</w:t>
                  </w:r>
                </w:p>
              </w:tc>
              <w:tc>
                <w:tcPr>
                  <w:tcW w:w="1167" w:type="pct"/>
                  <w:tcBorders>
                    <w:tl2br w:val="nil"/>
                    <w:tr2bl w:val="nil"/>
                  </w:tcBorders>
                  <w:vAlign w:val="center"/>
                </w:tcPr>
                <w:p w14:paraId="6AC77446">
                  <w:pPr>
                    <w:adjustRightInd w:val="0"/>
                    <w:snapToGrid w:val="0"/>
                    <w:spacing w:line="240" w:lineRule="exact"/>
                    <w:jc w:val="center"/>
                    <w:rPr>
                      <w:snapToGrid w:val="0"/>
                      <w:color w:val="auto"/>
                      <w:kern w:val="0"/>
                      <w:szCs w:val="21"/>
                    </w:rPr>
                  </w:pPr>
                  <w:r>
                    <w:rPr>
                      <w:rFonts w:hint="eastAsia"/>
                      <w:snapToGrid w:val="0"/>
                      <w:color w:val="auto"/>
                      <w:kern w:val="0"/>
                      <w:szCs w:val="21"/>
                      <w:lang w:val="en-US" w:eastAsia="zh-CN"/>
                    </w:rPr>
                    <w:t>2.618</w:t>
                  </w:r>
                  <w:r>
                    <w:rPr>
                      <w:rFonts w:hint="eastAsia"/>
                      <w:snapToGrid w:val="0"/>
                      <w:color w:val="auto"/>
                      <w:kern w:val="0"/>
                      <w:szCs w:val="21"/>
                    </w:rPr>
                    <w:t>t/a</w:t>
                  </w:r>
                </w:p>
              </w:tc>
              <w:tc>
                <w:tcPr>
                  <w:tcW w:w="737" w:type="pct"/>
                  <w:vMerge w:val="continue"/>
                  <w:tcBorders>
                    <w:tl2br w:val="nil"/>
                    <w:tr2bl w:val="nil"/>
                  </w:tcBorders>
                  <w:vAlign w:val="center"/>
                </w:tcPr>
                <w:p w14:paraId="34636D1E">
                  <w:pPr>
                    <w:adjustRightInd w:val="0"/>
                    <w:snapToGrid w:val="0"/>
                    <w:spacing w:line="240" w:lineRule="exact"/>
                    <w:jc w:val="center"/>
                    <w:rPr>
                      <w:color w:val="auto"/>
                      <w:kern w:val="0"/>
                      <w:szCs w:val="21"/>
                    </w:rPr>
                  </w:pPr>
                </w:p>
              </w:tc>
              <w:tc>
                <w:tcPr>
                  <w:tcW w:w="1017" w:type="pct"/>
                  <w:tcBorders>
                    <w:tl2br w:val="nil"/>
                    <w:tr2bl w:val="nil"/>
                  </w:tcBorders>
                  <w:vAlign w:val="center"/>
                </w:tcPr>
                <w:p w14:paraId="0539279C">
                  <w:pPr>
                    <w:adjustRightInd w:val="0"/>
                    <w:snapToGrid w:val="0"/>
                    <w:spacing w:line="240" w:lineRule="exact"/>
                    <w:jc w:val="center"/>
                    <w:rPr>
                      <w:rFonts w:ascii="Times New Roman" w:hAnsi="Times New Roman" w:eastAsia="宋体" w:cs="Times New Roman"/>
                      <w:snapToGrid w:val="0"/>
                      <w:color w:val="auto"/>
                      <w:kern w:val="0"/>
                      <w:sz w:val="21"/>
                      <w:szCs w:val="21"/>
                      <w:lang w:val="en-US" w:eastAsia="zh-CN" w:bidi="ar-SA"/>
                    </w:rPr>
                  </w:pPr>
                  <w:r>
                    <w:rPr>
                      <w:rFonts w:hint="eastAsia"/>
                      <w:snapToGrid w:val="0"/>
                      <w:color w:val="auto"/>
                      <w:kern w:val="0"/>
                      <w:szCs w:val="21"/>
                      <w:lang w:val="en-US" w:eastAsia="zh-CN"/>
                    </w:rPr>
                    <w:t>1.309</w:t>
                  </w:r>
                  <w:r>
                    <w:rPr>
                      <w:rFonts w:hint="eastAsia"/>
                      <w:snapToGrid w:val="0"/>
                      <w:color w:val="auto"/>
                      <w:kern w:val="0"/>
                      <w:szCs w:val="21"/>
                    </w:rPr>
                    <w:t>t/a</w:t>
                  </w:r>
                </w:p>
              </w:tc>
            </w:tr>
            <w:tr w14:paraId="4E485D3F">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5"/>
                  <w:tcBorders>
                    <w:tl2br w:val="nil"/>
                    <w:tr2bl w:val="nil"/>
                  </w:tcBorders>
                  <w:vAlign w:val="center"/>
                </w:tcPr>
                <w:p w14:paraId="6D2C17C8">
                  <w:pPr>
                    <w:keepNext w:val="0"/>
                    <w:keepLines w:val="0"/>
                    <w:widowControl/>
                    <w:suppressLineNumbers w:val="0"/>
                    <w:jc w:val="left"/>
                    <w:rPr>
                      <w:rFonts w:hint="eastAsia"/>
                      <w:snapToGrid w:val="0"/>
                      <w:color w:val="auto"/>
                      <w:kern w:val="0"/>
                      <w:sz w:val="18"/>
                      <w:szCs w:val="18"/>
                    </w:rPr>
                  </w:pPr>
                  <w:r>
                    <w:rPr>
                      <w:rFonts w:hint="eastAsia"/>
                      <w:snapToGrid w:val="0"/>
                      <w:color w:val="auto"/>
                      <w:kern w:val="0"/>
                      <w:sz w:val="18"/>
                      <w:szCs w:val="18"/>
                    </w:rPr>
                    <w:t>注：</w:t>
                  </w:r>
                </w:p>
                <w:p w14:paraId="4FE25FA9">
                  <w:pPr>
                    <w:keepNext w:val="0"/>
                    <w:keepLines w:val="0"/>
                    <w:widowControl/>
                    <w:suppressLineNumbers w:val="0"/>
                    <w:jc w:val="left"/>
                    <w:rPr>
                      <w:color w:val="auto"/>
                      <w:sz w:val="18"/>
                      <w:szCs w:val="18"/>
                    </w:rPr>
                  </w:pPr>
                  <w:r>
                    <w:rPr>
                      <w:rFonts w:hint="eastAsia" w:ascii="宋体" w:hAnsi="宋体" w:eastAsia="宋体" w:cs="宋体"/>
                      <w:color w:val="auto"/>
                      <w:kern w:val="0"/>
                      <w:sz w:val="18"/>
                      <w:szCs w:val="18"/>
                      <w:lang w:val="en-US" w:eastAsia="zh-CN" w:bidi="ar"/>
                    </w:rPr>
                    <w:t xml:space="preserve">①如有其他燃料使用，可直接类比涂装核算环节工业炉窑。 </w:t>
                  </w:r>
                </w:p>
                <w:p w14:paraId="6716CE6C">
                  <w:pPr>
                    <w:keepNext w:val="0"/>
                    <w:keepLines w:val="0"/>
                    <w:widowControl/>
                    <w:suppressLineNumbers w:val="0"/>
                    <w:jc w:val="left"/>
                    <w:rPr>
                      <w:color w:val="auto"/>
                      <w:sz w:val="18"/>
                      <w:szCs w:val="18"/>
                    </w:rPr>
                  </w:pPr>
                  <w:r>
                    <w:rPr>
                      <w:rFonts w:hint="eastAsia" w:ascii="宋体" w:hAnsi="宋体" w:eastAsia="宋体" w:cs="宋体"/>
                      <w:color w:val="auto"/>
                      <w:kern w:val="0"/>
                      <w:sz w:val="18"/>
                      <w:szCs w:val="18"/>
                      <w:lang w:val="en-US" w:eastAsia="zh-CN" w:bidi="ar"/>
                    </w:rPr>
                    <w:t>②</w:t>
                  </w:r>
                  <w:r>
                    <w:rPr>
                      <w:rFonts w:hint="default" w:ascii="Times New Roman" w:hAnsi="Times New Roman" w:eastAsia="宋体" w:cs="Times New Roman"/>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 xml:space="preserve">收到基硫分（取值范围 </w:t>
                  </w:r>
                  <w:r>
                    <w:rPr>
                      <w:rFonts w:hint="default" w:ascii="Times New Roman" w:hAnsi="Times New Roman" w:eastAsia="宋体" w:cs="Times New Roman"/>
                      <w:color w:val="auto"/>
                      <w:kern w:val="0"/>
                      <w:sz w:val="18"/>
                      <w:szCs w:val="18"/>
                      <w:lang w:val="en-US" w:eastAsia="zh-CN" w:bidi="ar"/>
                    </w:rPr>
                    <w:t>0-100</w:t>
                  </w:r>
                  <w:r>
                    <w:rPr>
                      <w:rFonts w:hint="eastAsia" w:ascii="宋体" w:hAnsi="宋体" w:eastAsia="宋体" w:cs="宋体"/>
                      <w:color w:val="auto"/>
                      <w:kern w:val="0"/>
                      <w:sz w:val="18"/>
                      <w:szCs w:val="18"/>
                      <w:lang w:val="en-US" w:eastAsia="zh-CN" w:bidi="ar"/>
                    </w:rPr>
                    <w:t>，燃料为气体时，取值范围</w:t>
                  </w:r>
                  <w:r>
                    <w:rPr>
                      <w:rFonts w:hint="default" w:ascii="Times New Roman" w:hAnsi="Times New Roman" w:eastAsia="宋体" w:cs="Times New Roman"/>
                      <w:color w:val="auto"/>
                      <w:kern w:val="0"/>
                      <w:sz w:val="18"/>
                      <w:szCs w:val="18"/>
                      <w:lang w:val="en-US" w:eastAsia="zh-CN" w:bidi="ar"/>
                    </w:rPr>
                    <w:t>&gt;=0</w:t>
                  </w:r>
                  <w:r>
                    <w:rPr>
                      <w:rFonts w:hint="eastAsia" w:ascii="宋体" w:hAnsi="宋体" w:eastAsia="宋体" w:cs="宋体"/>
                      <w:color w:val="auto"/>
                      <w:kern w:val="0"/>
                      <w:sz w:val="18"/>
                      <w:szCs w:val="18"/>
                      <w:lang w:val="en-US" w:eastAsia="zh-CN" w:bidi="ar"/>
                    </w:rPr>
                    <w:t xml:space="preserve">）。 </w:t>
                  </w:r>
                </w:p>
                <w:p w14:paraId="1F0B0B97">
                  <w:pPr>
                    <w:keepNext w:val="0"/>
                    <w:keepLines w:val="0"/>
                    <w:widowControl/>
                    <w:suppressLineNumbers w:val="0"/>
                    <w:jc w:val="left"/>
                    <w:rPr>
                      <w:color w:val="auto"/>
                      <w:sz w:val="18"/>
                      <w:szCs w:val="18"/>
                    </w:rPr>
                  </w:pPr>
                  <w:r>
                    <w:rPr>
                      <w:rFonts w:hint="eastAsia" w:ascii="宋体" w:hAnsi="宋体" w:eastAsia="宋体" w:cs="宋体"/>
                      <w:color w:val="auto"/>
                      <w:kern w:val="0"/>
                      <w:sz w:val="18"/>
                      <w:szCs w:val="18"/>
                      <w:lang w:val="en-US" w:eastAsia="zh-CN" w:bidi="ar"/>
                    </w:rPr>
                    <w:t>③</w:t>
                  </w:r>
                  <w:r>
                    <w:rPr>
                      <w:rFonts w:hint="default" w:ascii="Times New Roman" w:hAnsi="Times New Roman" w:eastAsia="宋体" w:cs="Times New Roman"/>
                      <w:color w:val="auto"/>
                      <w:kern w:val="0"/>
                      <w:sz w:val="18"/>
                      <w:szCs w:val="18"/>
                      <w:lang w:val="en-US" w:eastAsia="zh-CN" w:bidi="ar"/>
                    </w:rPr>
                    <w:t>A——</w:t>
                  </w:r>
                  <w:r>
                    <w:rPr>
                      <w:rFonts w:hint="eastAsia" w:ascii="宋体" w:hAnsi="宋体" w:eastAsia="宋体" w:cs="宋体"/>
                      <w:color w:val="auto"/>
                      <w:kern w:val="0"/>
                      <w:sz w:val="18"/>
                      <w:szCs w:val="18"/>
                      <w:lang w:val="en-US" w:eastAsia="zh-CN" w:bidi="ar"/>
                    </w:rPr>
                    <w:t xml:space="preserve">收到基灰分（取值范围 </w:t>
                  </w:r>
                  <w:r>
                    <w:rPr>
                      <w:rFonts w:hint="default" w:ascii="Times New Roman" w:hAnsi="Times New Roman" w:eastAsia="宋体" w:cs="Times New Roman"/>
                      <w:color w:val="auto"/>
                      <w:kern w:val="0"/>
                      <w:sz w:val="18"/>
                      <w:szCs w:val="18"/>
                      <w:lang w:val="en-US" w:eastAsia="zh-CN" w:bidi="ar"/>
                    </w:rPr>
                    <w:t>0-100</w:t>
                  </w:r>
                  <w:r>
                    <w:rPr>
                      <w:rFonts w:hint="eastAsia" w:ascii="宋体" w:hAnsi="宋体" w:eastAsia="宋体" w:cs="宋体"/>
                      <w:color w:val="auto"/>
                      <w:kern w:val="0"/>
                      <w:sz w:val="18"/>
                      <w:szCs w:val="18"/>
                      <w:lang w:val="en-US" w:eastAsia="zh-CN" w:bidi="ar"/>
                    </w:rPr>
                    <w:t xml:space="preserve">）。 </w:t>
                  </w:r>
                </w:p>
                <w:p w14:paraId="09571705">
                  <w:pPr>
                    <w:adjustRightInd w:val="0"/>
                    <w:snapToGrid w:val="0"/>
                    <w:spacing w:line="240" w:lineRule="exact"/>
                    <w:rPr>
                      <w:rFonts w:hint="default" w:eastAsia="宋体"/>
                      <w:snapToGrid w:val="0"/>
                      <w:color w:val="auto"/>
                      <w:kern w:val="0"/>
                      <w:szCs w:val="21"/>
                      <w:lang w:val="en-US" w:eastAsia="zh-CN"/>
                    </w:rPr>
                  </w:pPr>
                  <w:r>
                    <w:rPr>
                      <w:rFonts w:hint="eastAsia"/>
                      <w:snapToGrid w:val="0"/>
                      <w:color w:val="auto"/>
                      <w:kern w:val="0"/>
                      <w:sz w:val="18"/>
                      <w:szCs w:val="18"/>
                      <w:lang w:val="en-US" w:eastAsia="zh-CN"/>
                    </w:rPr>
                    <w:t>本项目S取100。</w:t>
                  </w:r>
                </w:p>
              </w:tc>
            </w:tr>
          </w:tbl>
          <w:p w14:paraId="58AB7D0C">
            <w:pPr>
              <w:pStyle w:val="16"/>
              <w:numPr>
                <w:ilvl w:val="0"/>
                <w:numId w:val="0"/>
              </w:numPr>
              <w:spacing w:line="240" w:lineRule="auto"/>
              <w:ind w:leftChars="200" w:right="113" w:rightChars="0"/>
              <w:jc w:val="both"/>
              <w:rPr>
                <w:rFonts w:hint="eastAsia"/>
                <w:b/>
                <w:bCs/>
                <w:color w:val="auto"/>
                <w:sz w:val="21"/>
                <w:szCs w:val="21"/>
              </w:rPr>
            </w:pPr>
            <w:r>
              <w:rPr>
                <w:rFonts w:hint="eastAsia"/>
                <w:b w:val="0"/>
                <w:color w:val="auto"/>
                <w:sz w:val="21"/>
                <w:szCs w:val="21"/>
                <w:lang w:val="en-US" w:eastAsia="zh-CN"/>
              </w:rPr>
              <w:t>废气收集、处理及排放方式情况见表4-2。</w:t>
            </w:r>
          </w:p>
          <w:p w14:paraId="62DF9F0E">
            <w:pPr>
              <w:pStyle w:val="16"/>
              <w:spacing w:line="240" w:lineRule="auto"/>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2</w:t>
            </w:r>
            <w:r>
              <w:rPr>
                <w:rFonts w:hint="eastAsia"/>
                <w:b/>
                <w:bCs/>
                <w:color w:val="auto"/>
                <w:sz w:val="21"/>
                <w:szCs w:val="21"/>
              </w:rPr>
              <w:t xml:space="preserve"> 废气源强核算、收集、处理、排放方式情况一览表</w:t>
            </w:r>
          </w:p>
          <w:tbl>
            <w:tblPr>
              <w:tblStyle w:val="42"/>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91"/>
              <w:gridCol w:w="900"/>
              <w:gridCol w:w="1080"/>
              <w:gridCol w:w="690"/>
              <w:gridCol w:w="615"/>
              <w:gridCol w:w="780"/>
              <w:gridCol w:w="825"/>
              <w:gridCol w:w="810"/>
              <w:gridCol w:w="834"/>
              <w:gridCol w:w="800"/>
            </w:tblGrid>
            <w:tr w14:paraId="634C9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79" w:type="dxa"/>
                  <w:vMerge w:val="restart"/>
                  <w:noWrap w:val="0"/>
                  <w:vAlign w:val="center"/>
                </w:tcPr>
                <w:p w14:paraId="5DFBDDFA">
                  <w:pPr>
                    <w:pStyle w:val="16"/>
                    <w:spacing w:line="240" w:lineRule="auto"/>
                    <w:jc w:val="center"/>
                    <w:rPr>
                      <w:b/>
                      <w:bCs/>
                      <w:color w:val="auto"/>
                      <w:sz w:val="21"/>
                      <w:szCs w:val="21"/>
                    </w:rPr>
                  </w:pPr>
                  <w:r>
                    <w:rPr>
                      <w:rFonts w:hint="eastAsia"/>
                      <w:b/>
                      <w:bCs/>
                      <w:color w:val="auto"/>
                      <w:sz w:val="21"/>
                      <w:szCs w:val="21"/>
                    </w:rPr>
                    <w:t>污染源</w:t>
                  </w:r>
                </w:p>
              </w:tc>
              <w:tc>
                <w:tcPr>
                  <w:tcW w:w="591" w:type="dxa"/>
                  <w:vMerge w:val="restart"/>
                  <w:noWrap w:val="0"/>
                  <w:vAlign w:val="center"/>
                </w:tcPr>
                <w:p w14:paraId="08E815A2">
                  <w:pPr>
                    <w:pStyle w:val="16"/>
                    <w:spacing w:line="240" w:lineRule="auto"/>
                    <w:jc w:val="center"/>
                    <w:rPr>
                      <w:b/>
                      <w:bCs/>
                      <w:color w:val="auto"/>
                      <w:sz w:val="21"/>
                      <w:szCs w:val="21"/>
                    </w:rPr>
                  </w:pPr>
                  <w:r>
                    <w:rPr>
                      <w:rFonts w:hint="eastAsia"/>
                      <w:b/>
                      <w:bCs/>
                      <w:color w:val="auto"/>
                      <w:sz w:val="21"/>
                      <w:szCs w:val="21"/>
                    </w:rPr>
                    <w:t>污染物种类</w:t>
                  </w:r>
                </w:p>
              </w:tc>
              <w:tc>
                <w:tcPr>
                  <w:tcW w:w="900" w:type="dxa"/>
                  <w:vMerge w:val="restart"/>
                  <w:noWrap w:val="0"/>
                  <w:vAlign w:val="center"/>
                </w:tcPr>
                <w:p w14:paraId="3204E378">
                  <w:pPr>
                    <w:pStyle w:val="16"/>
                    <w:spacing w:line="240" w:lineRule="auto"/>
                    <w:jc w:val="center"/>
                    <w:rPr>
                      <w:b/>
                      <w:bCs/>
                      <w:color w:val="auto"/>
                      <w:sz w:val="21"/>
                      <w:szCs w:val="21"/>
                    </w:rPr>
                  </w:pPr>
                  <w:r>
                    <w:rPr>
                      <w:rFonts w:hint="eastAsia"/>
                      <w:b/>
                      <w:bCs/>
                      <w:color w:val="auto"/>
                      <w:sz w:val="21"/>
                      <w:szCs w:val="21"/>
                    </w:rPr>
                    <w:t>污染源强核算t/a</w:t>
                  </w:r>
                </w:p>
              </w:tc>
              <w:tc>
                <w:tcPr>
                  <w:tcW w:w="1080" w:type="dxa"/>
                  <w:vMerge w:val="restart"/>
                  <w:noWrap w:val="0"/>
                  <w:vAlign w:val="center"/>
                </w:tcPr>
                <w:p w14:paraId="5C58A3E8">
                  <w:pPr>
                    <w:pStyle w:val="16"/>
                    <w:spacing w:line="240" w:lineRule="auto"/>
                    <w:jc w:val="center"/>
                    <w:rPr>
                      <w:b/>
                      <w:bCs/>
                      <w:color w:val="auto"/>
                      <w:sz w:val="21"/>
                      <w:szCs w:val="21"/>
                    </w:rPr>
                  </w:pPr>
                  <w:r>
                    <w:rPr>
                      <w:rFonts w:hint="eastAsia"/>
                      <w:b/>
                      <w:bCs/>
                      <w:color w:val="auto"/>
                      <w:sz w:val="21"/>
                      <w:szCs w:val="21"/>
                    </w:rPr>
                    <w:t>源强核算依据</w:t>
                  </w:r>
                </w:p>
              </w:tc>
              <w:tc>
                <w:tcPr>
                  <w:tcW w:w="690" w:type="dxa"/>
                  <w:vMerge w:val="restart"/>
                  <w:noWrap w:val="0"/>
                  <w:vAlign w:val="center"/>
                </w:tcPr>
                <w:p w14:paraId="50E5019A">
                  <w:pPr>
                    <w:pStyle w:val="16"/>
                    <w:spacing w:line="240" w:lineRule="auto"/>
                    <w:jc w:val="center"/>
                    <w:rPr>
                      <w:b/>
                      <w:bCs/>
                      <w:color w:val="auto"/>
                      <w:sz w:val="21"/>
                      <w:szCs w:val="21"/>
                    </w:rPr>
                  </w:pPr>
                  <w:r>
                    <w:rPr>
                      <w:rFonts w:hint="eastAsia"/>
                      <w:b/>
                      <w:bCs/>
                      <w:color w:val="auto"/>
                      <w:sz w:val="21"/>
                      <w:szCs w:val="21"/>
                    </w:rPr>
                    <w:t>废气收集方式</w:t>
                  </w:r>
                </w:p>
              </w:tc>
              <w:tc>
                <w:tcPr>
                  <w:tcW w:w="615" w:type="dxa"/>
                  <w:vMerge w:val="restart"/>
                  <w:noWrap w:val="0"/>
                  <w:vAlign w:val="center"/>
                </w:tcPr>
                <w:p w14:paraId="0BA3BBA1">
                  <w:pPr>
                    <w:pStyle w:val="16"/>
                    <w:spacing w:line="240" w:lineRule="auto"/>
                    <w:jc w:val="center"/>
                    <w:rPr>
                      <w:b/>
                      <w:bCs/>
                      <w:color w:val="auto"/>
                      <w:sz w:val="21"/>
                      <w:szCs w:val="21"/>
                    </w:rPr>
                  </w:pPr>
                  <w:r>
                    <w:rPr>
                      <w:rFonts w:hint="eastAsia"/>
                      <w:b/>
                      <w:bCs/>
                      <w:color w:val="auto"/>
                      <w:sz w:val="21"/>
                      <w:szCs w:val="21"/>
                    </w:rPr>
                    <w:t>收集效率%</w:t>
                  </w:r>
                </w:p>
              </w:tc>
              <w:tc>
                <w:tcPr>
                  <w:tcW w:w="2415" w:type="dxa"/>
                  <w:gridSpan w:val="3"/>
                  <w:noWrap w:val="0"/>
                  <w:vAlign w:val="center"/>
                </w:tcPr>
                <w:p w14:paraId="0D49D57E">
                  <w:pPr>
                    <w:pStyle w:val="16"/>
                    <w:spacing w:line="240" w:lineRule="auto"/>
                    <w:jc w:val="center"/>
                    <w:rPr>
                      <w:b/>
                      <w:bCs/>
                      <w:color w:val="auto"/>
                      <w:sz w:val="21"/>
                      <w:szCs w:val="21"/>
                    </w:rPr>
                  </w:pPr>
                  <w:r>
                    <w:rPr>
                      <w:rFonts w:hint="eastAsia"/>
                      <w:b/>
                      <w:bCs/>
                      <w:color w:val="auto"/>
                      <w:sz w:val="21"/>
                      <w:szCs w:val="21"/>
                    </w:rPr>
                    <w:t>治理措施</w:t>
                  </w:r>
                </w:p>
              </w:tc>
              <w:tc>
                <w:tcPr>
                  <w:tcW w:w="834" w:type="dxa"/>
                  <w:vMerge w:val="restart"/>
                  <w:noWrap w:val="0"/>
                  <w:vAlign w:val="center"/>
                </w:tcPr>
                <w:p w14:paraId="1E00E5C4">
                  <w:pPr>
                    <w:pStyle w:val="16"/>
                    <w:spacing w:line="240" w:lineRule="auto"/>
                    <w:jc w:val="center"/>
                    <w:rPr>
                      <w:b/>
                      <w:bCs/>
                      <w:color w:val="auto"/>
                      <w:sz w:val="21"/>
                      <w:szCs w:val="21"/>
                    </w:rPr>
                  </w:pPr>
                  <w:r>
                    <w:rPr>
                      <w:rFonts w:hint="eastAsia"/>
                      <w:b/>
                      <w:bCs/>
                      <w:color w:val="auto"/>
                      <w:sz w:val="21"/>
                      <w:szCs w:val="21"/>
                    </w:rPr>
                    <w:t>风量m3/h</w:t>
                  </w:r>
                </w:p>
              </w:tc>
              <w:tc>
                <w:tcPr>
                  <w:tcW w:w="800" w:type="dxa"/>
                  <w:vMerge w:val="restart"/>
                  <w:noWrap w:val="0"/>
                  <w:vAlign w:val="center"/>
                </w:tcPr>
                <w:p w14:paraId="6ACCDF50">
                  <w:pPr>
                    <w:pStyle w:val="16"/>
                    <w:spacing w:line="240" w:lineRule="auto"/>
                    <w:jc w:val="center"/>
                    <w:rPr>
                      <w:b/>
                      <w:bCs/>
                      <w:color w:val="auto"/>
                      <w:sz w:val="21"/>
                      <w:szCs w:val="21"/>
                    </w:rPr>
                  </w:pPr>
                  <w:r>
                    <w:rPr>
                      <w:rFonts w:hint="eastAsia"/>
                      <w:b/>
                      <w:bCs/>
                      <w:color w:val="auto"/>
                      <w:sz w:val="21"/>
                      <w:szCs w:val="21"/>
                    </w:rPr>
                    <w:t>排放形式</w:t>
                  </w:r>
                </w:p>
              </w:tc>
            </w:tr>
            <w:tr w14:paraId="0D786D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79" w:type="dxa"/>
                  <w:vMerge w:val="continue"/>
                  <w:noWrap w:val="0"/>
                  <w:vAlign w:val="center"/>
                </w:tcPr>
                <w:p w14:paraId="26D60B3C">
                  <w:pPr>
                    <w:pStyle w:val="16"/>
                    <w:spacing w:line="240" w:lineRule="auto"/>
                    <w:jc w:val="center"/>
                    <w:rPr>
                      <w:color w:val="auto"/>
                      <w:sz w:val="21"/>
                      <w:szCs w:val="21"/>
                    </w:rPr>
                  </w:pPr>
                </w:p>
              </w:tc>
              <w:tc>
                <w:tcPr>
                  <w:tcW w:w="591" w:type="dxa"/>
                  <w:vMerge w:val="continue"/>
                  <w:noWrap w:val="0"/>
                  <w:vAlign w:val="center"/>
                </w:tcPr>
                <w:p w14:paraId="0E0BC36D">
                  <w:pPr>
                    <w:pStyle w:val="16"/>
                    <w:spacing w:line="240" w:lineRule="auto"/>
                    <w:jc w:val="center"/>
                    <w:rPr>
                      <w:color w:val="auto"/>
                      <w:sz w:val="21"/>
                      <w:szCs w:val="21"/>
                    </w:rPr>
                  </w:pPr>
                </w:p>
              </w:tc>
              <w:tc>
                <w:tcPr>
                  <w:tcW w:w="900" w:type="dxa"/>
                  <w:vMerge w:val="continue"/>
                  <w:noWrap w:val="0"/>
                  <w:vAlign w:val="center"/>
                </w:tcPr>
                <w:p w14:paraId="51A9085D">
                  <w:pPr>
                    <w:pStyle w:val="16"/>
                    <w:spacing w:line="240" w:lineRule="auto"/>
                    <w:jc w:val="center"/>
                    <w:rPr>
                      <w:color w:val="auto"/>
                      <w:sz w:val="21"/>
                      <w:szCs w:val="21"/>
                    </w:rPr>
                  </w:pPr>
                </w:p>
              </w:tc>
              <w:tc>
                <w:tcPr>
                  <w:tcW w:w="1080" w:type="dxa"/>
                  <w:vMerge w:val="continue"/>
                  <w:noWrap w:val="0"/>
                  <w:vAlign w:val="center"/>
                </w:tcPr>
                <w:p w14:paraId="519CA9C4">
                  <w:pPr>
                    <w:pStyle w:val="16"/>
                    <w:spacing w:line="240" w:lineRule="auto"/>
                    <w:jc w:val="center"/>
                    <w:rPr>
                      <w:color w:val="auto"/>
                      <w:sz w:val="21"/>
                      <w:szCs w:val="21"/>
                    </w:rPr>
                  </w:pPr>
                </w:p>
              </w:tc>
              <w:tc>
                <w:tcPr>
                  <w:tcW w:w="690" w:type="dxa"/>
                  <w:vMerge w:val="continue"/>
                  <w:noWrap w:val="0"/>
                  <w:vAlign w:val="center"/>
                </w:tcPr>
                <w:p w14:paraId="7566E76C">
                  <w:pPr>
                    <w:pStyle w:val="16"/>
                    <w:spacing w:line="240" w:lineRule="auto"/>
                    <w:jc w:val="center"/>
                    <w:rPr>
                      <w:color w:val="auto"/>
                      <w:sz w:val="21"/>
                      <w:szCs w:val="21"/>
                    </w:rPr>
                  </w:pPr>
                </w:p>
              </w:tc>
              <w:tc>
                <w:tcPr>
                  <w:tcW w:w="615" w:type="dxa"/>
                  <w:vMerge w:val="continue"/>
                  <w:noWrap w:val="0"/>
                  <w:vAlign w:val="center"/>
                </w:tcPr>
                <w:p w14:paraId="79EBE08C">
                  <w:pPr>
                    <w:pStyle w:val="16"/>
                    <w:spacing w:line="240" w:lineRule="auto"/>
                    <w:jc w:val="center"/>
                    <w:rPr>
                      <w:color w:val="auto"/>
                      <w:sz w:val="21"/>
                      <w:szCs w:val="21"/>
                    </w:rPr>
                  </w:pPr>
                </w:p>
              </w:tc>
              <w:tc>
                <w:tcPr>
                  <w:tcW w:w="780" w:type="dxa"/>
                  <w:noWrap w:val="0"/>
                  <w:vAlign w:val="center"/>
                </w:tcPr>
                <w:p w14:paraId="19123058">
                  <w:pPr>
                    <w:pStyle w:val="16"/>
                    <w:spacing w:line="240" w:lineRule="auto"/>
                    <w:jc w:val="center"/>
                    <w:rPr>
                      <w:b/>
                      <w:bCs/>
                      <w:color w:val="auto"/>
                      <w:sz w:val="21"/>
                      <w:szCs w:val="21"/>
                    </w:rPr>
                  </w:pPr>
                  <w:r>
                    <w:rPr>
                      <w:rFonts w:hint="eastAsia"/>
                      <w:b/>
                      <w:bCs/>
                      <w:color w:val="auto"/>
                      <w:sz w:val="21"/>
                      <w:szCs w:val="21"/>
                    </w:rPr>
                    <w:t>治理工艺</w:t>
                  </w:r>
                </w:p>
              </w:tc>
              <w:tc>
                <w:tcPr>
                  <w:tcW w:w="825" w:type="dxa"/>
                  <w:noWrap w:val="0"/>
                  <w:vAlign w:val="center"/>
                </w:tcPr>
                <w:p w14:paraId="6249F4CA">
                  <w:pPr>
                    <w:pStyle w:val="16"/>
                    <w:spacing w:line="240" w:lineRule="auto"/>
                    <w:jc w:val="center"/>
                    <w:rPr>
                      <w:rFonts w:hint="eastAsia"/>
                      <w:b/>
                      <w:bCs/>
                      <w:color w:val="auto"/>
                      <w:sz w:val="21"/>
                      <w:szCs w:val="21"/>
                    </w:rPr>
                  </w:pPr>
                  <w:r>
                    <w:rPr>
                      <w:rFonts w:hint="eastAsia"/>
                      <w:b/>
                      <w:bCs/>
                      <w:color w:val="auto"/>
                      <w:sz w:val="21"/>
                      <w:szCs w:val="21"/>
                    </w:rPr>
                    <w:t>去除效率%</w:t>
                  </w:r>
                </w:p>
              </w:tc>
              <w:tc>
                <w:tcPr>
                  <w:tcW w:w="810" w:type="dxa"/>
                  <w:noWrap w:val="0"/>
                  <w:vAlign w:val="center"/>
                </w:tcPr>
                <w:p w14:paraId="5675059E">
                  <w:pPr>
                    <w:pStyle w:val="16"/>
                    <w:spacing w:line="240" w:lineRule="auto"/>
                    <w:jc w:val="center"/>
                    <w:rPr>
                      <w:rFonts w:hint="eastAsia"/>
                      <w:b/>
                      <w:bCs/>
                      <w:color w:val="auto"/>
                      <w:sz w:val="21"/>
                      <w:szCs w:val="21"/>
                    </w:rPr>
                  </w:pPr>
                  <w:r>
                    <w:rPr>
                      <w:rFonts w:hint="eastAsia"/>
                      <w:b/>
                      <w:bCs/>
                      <w:color w:val="auto"/>
                      <w:sz w:val="21"/>
                      <w:szCs w:val="21"/>
                    </w:rPr>
                    <w:t>是否为可行技术</w:t>
                  </w:r>
                </w:p>
              </w:tc>
              <w:tc>
                <w:tcPr>
                  <w:tcW w:w="834" w:type="dxa"/>
                  <w:vMerge w:val="continue"/>
                  <w:noWrap w:val="0"/>
                  <w:vAlign w:val="center"/>
                </w:tcPr>
                <w:p w14:paraId="47AE262E">
                  <w:pPr>
                    <w:pStyle w:val="16"/>
                    <w:spacing w:line="240" w:lineRule="auto"/>
                    <w:jc w:val="center"/>
                    <w:rPr>
                      <w:rFonts w:hint="eastAsia"/>
                      <w:b/>
                      <w:bCs/>
                      <w:color w:val="auto"/>
                      <w:sz w:val="21"/>
                      <w:szCs w:val="21"/>
                    </w:rPr>
                  </w:pPr>
                </w:p>
              </w:tc>
              <w:tc>
                <w:tcPr>
                  <w:tcW w:w="800" w:type="dxa"/>
                  <w:vMerge w:val="continue"/>
                  <w:noWrap w:val="0"/>
                  <w:vAlign w:val="center"/>
                </w:tcPr>
                <w:p w14:paraId="7C9DAD8C">
                  <w:pPr>
                    <w:pStyle w:val="16"/>
                    <w:spacing w:line="240" w:lineRule="auto"/>
                    <w:jc w:val="center"/>
                    <w:rPr>
                      <w:rFonts w:hint="eastAsia"/>
                      <w:b/>
                      <w:bCs/>
                      <w:color w:val="auto"/>
                      <w:sz w:val="21"/>
                      <w:szCs w:val="21"/>
                    </w:rPr>
                  </w:pPr>
                </w:p>
              </w:tc>
            </w:tr>
            <w:tr w14:paraId="6F1A9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579" w:type="dxa"/>
                  <w:vMerge w:val="restart"/>
                  <w:noWrap w:val="0"/>
                  <w:vAlign w:val="center"/>
                </w:tcPr>
                <w:p w14:paraId="23AAA6A9">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天然气加热炉</w:t>
                  </w:r>
                </w:p>
              </w:tc>
              <w:tc>
                <w:tcPr>
                  <w:tcW w:w="591" w:type="dxa"/>
                  <w:noWrap w:val="0"/>
                  <w:vAlign w:val="center"/>
                </w:tcPr>
                <w:p w14:paraId="5F9D2FD4">
                  <w:pPr>
                    <w:pStyle w:val="16"/>
                    <w:spacing w:line="240" w:lineRule="auto"/>
                    <w:jc w:val="center"/>
                    <w:rPr>
                      <w:rFonts w:hint="eastAsia" w:eastAsia="宋体"/>
                      <w:color w:val="auto"/>
                      <w:sz w:val="21"/>
                      <w:szCs w:val="21"/>
                      <w:lang w:eastAsia="zh-CN"/>
                    </w:rPr>
                  </w:pPr>
                  <w:r>
                    <w:rPr>
                      <w:rFonts w:hint="eastAsia"/>
                      <w:color w:val="auto"/>
                      <w:sz w:val="21"/>
                      <w:szCs w:val="21"/>
                      <w:lang w:val="en-US" w:eastAsia="zh-CN"/>
                    </w:rPr>
                    <w:t>颗粒物</w:t>
                  </w:r>
                </w:p>
              </w:tc>
              <w:tc>
                <w:tcPr>
                  <w:tcW w:w="900" w:type="dxa"/>
                  <w:noWrap w:val="0"/>
                  <w:vAlign w:val="center"/>
                </w:tcPr>
                <w:p w14:paraId="10E5E4C7">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0.4004</w:t>
                  </w:r>
                </w:p>
              </w:tc>
              <w:tc>
                <w:tcPr>
                  <w:tcW w:w="1080" w:type="dxa"/>
                  <w:vMerge w:val="restart"/>
                  <w:noWrap w:val="0"/>
                  <w:vAlign w:val="center"/>
                </w:tcPr>
                <w:p w14:paraId="2A77D721">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《排放源统计调查产排污核算方法和系数手册》</w:t>
                  </w:r>
                </w:p>
              </w:tc>
              <w:tc>
                <w:tcPr>
                  <w:tcW w:w="690" w:type="dxa"/>
                  <w:vMerge w:val="restart"/>
                  <w:noWrap w:val="0"/>
                  <w:vAlign w:val="center"/>
                </w:tcPr>
                <w:p w14:paraId="340B1F27">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密闭管道收集</w:t>
                  </w:r>
                </w:p>
              </w:tc>
              <w:tc>
                <w:tcPr>
                  <w:tcW w:w="615" w:type="dxa"/>
                  <w:vMerge w:val="restart"/>
                  <w:noWrap w:val="0"/>
                  <w:vAlign w:val="center"/>
                </w:tcPr>
                <w:p w14:paraId="7D6A2ABB">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100</w:t>
                  </w:r>
                </w:p>
              </w:tc>
              <w:tc>
                <w:tcPr>
                  <w:tcW w:w="780" w:type="dxa"/>
                  <w:vMerge w:val="restart"/>
                  <w:noWrap w:val="0"/>
                  <w:vAlign w:val="center"/>
                </w:tcPr>
                <w:p w14:paraId="150FF920">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低氮燃烧</w:t>
                  </w:r>
                </w:p>
              </w:tc>
              <w:tc>
                <w:tcPr>
                  <w:tcW w:w="825" w:type="dxa"/>
                  <w:noWrap w:val="0"/>
                  <w:vAlign w:val="center"/>
                </w:tcPr>
                <w:p w14:paraId="241056B5">
                  <w:pPr>
                    <w:pStyle w:val="16"/>
                    <w:spacing w:line="240" w:lineRule="auto"/>
                    <w:jc w:val="center"/>
                    <w:rPr>
                      <w:rFonts w:hint="eastAsia" w:eastAsia="宋体"/>
                      <w:color w:val="auto"/>
                      <w:sz w:val="21"/>
                      <w:szCs w:val="21"/>
                      <w:lang w:eastAsia="zh-CN"/>
                    </w:rPr>
                  </w:pPr>
                  <w:r>
                    <w:rPr>
                      <w:rFonts w:hint="eastAsia"/>
                      <w:color w:val="auto"/>
                      <w:sz w:val="21"/>
                      <w:szCs w:val="21"/>
                      <w:lang w:val="en-US" w:eastAsia="zh-CN"/>
                    </w:rPr>
                    <w:t>0</w:t>
                  </w:r>
                </w:p>
              </w:tc>
              <w:tc>
                <w:tcPr>
                  <w:tcW w:w="810" w:type="dxa"/>
                  <w:vMerge w:val="restart"/>
                  <w:noWrap w:val="0"/>
                  <w:vAlign w:val="center"/>
                </w:tcPr>
                <w:p w14:paraId="70C570EE">
                  <w:pPr>
                    <w:pStyle w:val="16"/>
                    <w:spacing w:line="240" w:lineRule="auto"/>
                    <w:jc w:val="center"/>
                    <w:rPr>
                      <w:color w:val="auto"/>
                      <w:sz w:val="21"/>
                      <w:szCs w:val="21"/>
                    </w:rPr>
                  </w:pPr>
                  <w:r>
                    <w:rPr>
                      <w:rFonts w:hint="eastAsia"/>
                      <w:color w:val="auto"/>
                      <w:sz w:val="21"/>
                      <w:szCs w:val="21"/>
                    </w:rPr>
                    <w:t>是</w:t>
                  </w:r>
                </w:p>
              </w:tc>
              <w:tc>
                <w:tcPr>
                  <w:tcW w:w="834" w:type="dxa"/>
                  <w:vMerge w:val="restart"/>
                  <w:noWrap w:val="0"/>
                  <w:vAlign w:val="center"/>
                </w:tcPr>
                <w:p w14:paraId="1C3F49B6">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12500</w:t>
                  </w:r>
                </w:p>
              </w:tc>
              <w:tc>
                <w:tcPr>
                  <w:tcW w:w="800" w:type="dxa"/>
                  <w:vMerge w:val="restart"/>
                  <w:noWrap w:val="0"/>
                  <w:vAlign w:val="center"/>
                </w:tcPr>
                <w:p w14:paraId="06CC5352">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DA001</w:t>
                  </w:r>
                </w:p>
              </w:tc>
            </w:tr>
            <w:tr w14:paraId="302CFE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579" w:type="dxa"/>
                  <w:vMerge w:val="continue"/>
                  <w:noWrap w:val="0"/>
                  <w:vAlign w:val="center"/>
                </w:tcPr>
                <w:p w14:paraId="76CDF166">
                  <w:pPr>
                    <w:pStyle w:val="16"/>
                    <w:spacing w:line="240" w:lineRule="auto"/>
                    <w:jc w:val="center"/>
                    <w:rPr>
                      <w:rFonts w:hint="eastAsia"/>
                      <w:color w:val="auto"/>
                      <w:sz w:val="21"/>
                      <w:szCs w:val="21"/>
                      <w:lang w:val="en-US" w:eastAsia="zh-CN"/>
                    </w:rPr>
                  </w:pPr>
                </w:p>
              </w:tc>
              <w:tc>
                <w:tcPr>
                  <w:tcW w:w="591" w:type="dxa"/>
                  <w:noWrap w:val="0"/>
                  <w:vAlign w:val="center"/>
                </w:tcPr>
                <w:p w14:paraId="5039BB70">
                  <w:pPr>
                    <w:pStyle w:val="16"/>
                    <w:spacing w:line="240" w:lineRule="auto"/>
                    <w:jc w:val="center"/>
                    <w:rPr>
                      <w:rFonts w:hint="default"/>
                      <w:color w:val="auto"/>
                      <w:sz w:val="21"/>
                      <w:szCs w:val="21"/>
                      <w:lang w:val="en-US" w:eastAsia="zh-CN"/>
                    </w:rPr>
                  </w:pPr>
                  <w:r>
                    <w:rPr>
                      <w:rFonts w:hint="eastAsia"/>
                      <w:color w:val="auto"/>
                      <w:sz w:val="21"/>
                      <w:szCs w:val="21"/>
                      <w:lang w:val="en-US" w:eastAsia="zh-CN"/>
                    </w:rPr>
                    <w:t>二氧化硫</w:t>
                  </w:r>
                </w:p>
              </w:tc>
              <w:tc>
                <w:tcPr>
                  <w:tcW w:w="900" w:type="dxa"/>
                  <w:noWrap w:val="0"/>
                  <w:vAlign w:val="center"/>
                </w:tcPr>
                <w:p w14:paraId="1F440677">
                  <w:pPr>
                    <w:pStyle w:val="16"/>
                    <w:spacing w:line="240" w:lineRule="auto"/>
                    <w:jc w:val="center"/>
                    <w:rPr>
                      <w:rFonts w:hint="default"/>
                      <w:color w:val="auto"/>
                      <w:sz w:val="21"/>
                      <w:szCs w:val="21"/>
                      <w:lang w:val="en-US" w:eastAsia="zh-CN"/>
                    </w:rPr>
                  </w:pPr>
                  <w:r>
                    <w:rPr>
                      <w:rFonts w:hint="eastAsia"/>
                      <w:color w:val="auto"/>
                      <w:sz w:val="21"/>
                      <w:szCs w:val="21"/>
                      <w:lang w:val="en-US" w:eastAsia="zh-CN"/>
                    </w:rPr>
                    <w:t>0.28</w:t>
                  </w:r>
                </w:p>
              </w:tc>
              <w:tc>
                <w:tcPr>
                  <w:tcW w:w="1080" w:type="dxa"/>
                  <w:vMerge w:val="continue"/>
                  <w:noWrap w:val="0"/>
                  <w:vAlign w:val="center"/>
                </w:tcPr>
                <w:p w14:paraId="647D2834">
                  <w:pPr>
                    <w:pStyle w:val="16"/>
                    <w:spacing w:line="240" w:lineRule="auto"/>
                    <w:jc w:val="center"/>
                    <w:rPr>
                      <w:rFonts w:hint="eastAsia"/>
                      <w:color w:val="auto"/>
                      <w:sz w:val="21"/>
                      <w:szCs w:val="21"/>
                      <w:lang w:val="en-US" w:eastAsia="zh-CN"/>
                    </w:rPr>
                  </w:pPr>
                </w:p>
              </w:tc>
              <w:tc>
                <w:tcPr>
                  <w:tcW w:w="690" w:type="dxa"/>
                  <w:vMerge w:val="continue"/>
                  <w:noWrap w:val="0"/>
                  <w:vAlign w:val="center"/>
                </w:tcPr>
                <w:p w14:paraId="356E538B">
                  <w:pPr>
                    <w:pStyle w:val="16"/>
                    <w:spacing w:line="240" w:lineRule="auto"/>
                    <w:jc w:val="center"/>
                    <w:rPr>
                      <w:rFonts w:hint="eastAsia"/>
                      <w:color w:val="auto"/>
                      <w:sz w:val="21"/>
                      <w:szCs w:val="21"/>
                    </w:rPr>
                  </w:pPr>
                </w:p>
              </w:tc>
              <w:tc>
                <w:tcPr>
                  <w:tcW w:w="615" w:type="dxa"/>
                  <w:vMerge w:val="continue"/>
                  <w:noWrap w:val="0"/>
                  <w:vAlign w:val="center"/>
                </w:tcPr>
                <w:p w14:paraId="2FDA81A9">
                  <w:pPr>
                    <w:pStyle w:val="16"/>
                    <w:spacing w:line="240" w:lineRule="auto"/>
                    <w:jc w:val="center"/>
                    <w:rPr>
                      <w:rFonts w:hint="eastAsia"/>
                      <w:color w:val="auto"/>
                      <w:sz w:val="21"/>
                      <w:szCs w:val="21"/>
                    </w:rPr>
                  </w:pPr>
                </w:p>
              </w:tc>
              <w:tc>
                <w:tcPr>
                  <w:tcW w:w="780" w:type="dxa"/>
                  <w:vMerge w:val="continue"/>
                  <w:noWrap w:val="0"/>
                  <w:vAlign w:val="center"/>
                </w:tcPr>
                <w:p w14:paraId="17CEBAB0">
                  <w:pPr>
                    <w:pStyle w:val="16"/>
                    <w:spacing w:line="240" w:lineRule="auto"/>
                    <w:jc w:val="center"/>
                    <w:rPr>
                      <w:rFonts w:hint="eastAsia"/>
                      <w:color w:val="auto"/>
                      <w:sz w:val="21"/>
                      <w:szCs w:val="21"/>
                      <w:lang w:val="en-US" w:eastAsia="zh-CN"/>
                    </w:rPr>
                  </w:pPr>
                </w:p>
              </w:tc>
              <w:tc>
                <w:tcPr>
                  <w:tcW w:w="825" w:type="dxa"/>
                  <w:noWrap w:val="0"/>
                  <w:vAlign w:val="center"/>
                </w:tcPr>
                <w:p w14:paraId="1E6322D4">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0</w:t>
                  </w:r>
                </w:p>
              </w:tc>
              <w:tc>
                <w:tcPr>
                  <w:tcW w:w="810" w:type="dxa"/>
                  <w:vMerge w:val="continue"/>
                  <w:noWrap w:val="0"/>
                  <w:vAlign w:val="center"/>
                </w:tcPr>
                <w:p w14:paraId="0BD814AC">
                  <w:pPr>
                    <w:pStyle w:val="16"/>
                    <w:spacing w:line="240" w:lineRule="auto"/>
                    <w:jc w:val="center"/>
                    <w:rPr>
                      <w:rFonts w:hint="eastAsia"/>
                      <w:color w:val="auto"/>
                      <w:sz w:val="21"/>
                      <w:szCs w:val="21"/>
                    </w:rPr>
                  </w:pPr>
                </w:p>
              </w:tc>
              <w:tc>
                <w:tcPr>
                  <w:tcW w:w="834" w:type="dxa"/>
                  <w:vMerge w:val="continue"/>
                  <w:noWrap w:val="0"/>
                  <w:vAlign w:val="center"/>
                </w:tcPr>
                <w:p w14:paraId="091A13A1">
                  <w:pPr>
                    <w:pStyle w:val="16"/>
                    <w:spacing w:line="240" w:lineRule="auto"/>
                    <w:jc w:val="center"/>
                    <w:rPr>
                      <w:rFonts w:hint="eastAsia"/>
                      <w:color w:val="auto"/>
                      <w:sz w:val="21"/>
                      <w:szCs w:val="21"/>
                      <w:lang w:val="en-US" w:eastAsia="zh-CN"/>
                    </w:rPr>
                  </w:pPr>
                </w:p>
              </w:tc>
              <w:tc>
                <w:tcPr>
                  <w:tcW w:w="800" w:type="dxa"/>
                  <w:vMerge w:val="continue"/>
                  <w:noWrap w:val="0"/>
                  <w:vAlign w:val="center"/>
                </w:tcPr>
                <w:p w14:paraId="2A5D1ED4">
                  <w:pPr>
                    <w:pStyle w:val="16"/>
                    <w:spacing w:line="240" w:lineRule="auto"/>
                    <w:jc w:val="center"/>
                    <w:rPr>
                      <w:rFonts w:hint="eastAsia"/>
                      <w:color w:val="auto"/>
                      <w:sz w:val="21"/>
                      <w:szCs w:val="21"/>
                    </w:rPr>
                  </w:pPr>
                </w:p>
              </w:tc>
            </w:tr>
            <w:tr w14:paraId="11604D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579" w:type="dxa"/>
                  <w:vMerge w:val="continue"/>
                  <w:noWrap w:val="0"/>
                  <w:vAlign w:val="center"/>
                </w:tcPr>
                <w:p w14:paraId="4C118E96">
                  <w:pPr>
                    <w:pStyle w:val="16"/>
                    <w:spacing w:line="240" w:lineRule="auto"/>
                    <w:jc w:val="center"/>
                    <w:rPr>
                      <w:rFonts w:hint="eastAsia"/>
                      <w:color w:val="auto"/>
                      <w:sz w:val="21"/>
                      <w:szCs w:val="21"/>
                      <w:lang w:val="en-US" w:eastAsia="zh-CN"/>
                    </w:rPr>
                  </w:pPr>
                </w:p>
              </w:tc>
              <w:tc>
                <w:tcPr>
                  <w:tcW w:w="591" w:type="dxa"/>
                  <w:noWrap w:val="0"/>
                  <w:vAlign w:val="center"/>
                </w:tcPr>
                <w:p w14:paraId="40D8ED37">
                  <w:pPr>
                    <w:pStyle w:val="16"/>
                    <w:spacing w:line="240" w:lineRule="auto"/>
                    <w:jc w:val="center"/>
                    <w:rPr>
                      <w:rFonts w:hint="default"/>
                      <w:color w:val="auto"/>
                      <w:sz w:val="21"/>
                      <w:szCs w:val="21"/>
                      <w:lang w:val="en-US" w:eastAsia="zh-CN"/>
                    </w:rPr>
                  </w:pPr>
                  <w:r>
                    <w:rPr>
                      <w:rFonts w:hint="eastAsia"/>
                      <w:color w:val="auto"/>
                      <w:sz w:val="21"/>
                      <w:szCs w:val="21"/>
                      <w:lang w:val="en-US" w:eastAsia="zh-CN"/>
                    </w:rPr>
                    <w:t>氮氧化物</w:t>
                  </w:r>
                </w:p>
              </w:tc>
              <w:tc>
                <w:tcPr>
                  <w:tcW w:w="900" w:type="dxa"/>
                  <w:noWrap w:val="0"/>
                  <w:vAlign w:val="center"/>
                </w:tcPr>
                <w:p w14:paraId="12099278">
                  <w:pPr>
                    <w:pStyle w:val="16"/>
                    <w:spacing w:line="240" w:lineRule="auto"/>
                    <w:jc w:val="center"/>
                    <w:rPr>
                      <w:rFonts w:hint="default"/>
                      <w:color w:val="auto"/>
                      <w:sz w:val="21"/>
                      <w:szCs w:val="21"/>
                      <w:lang w:val="en-US" w:eastAsia="zh-CN"/>
                    </w:rPr>
                  </w:pPr>
                  <w:r>
                    <w:rPr>
                      <w:rFonts w:hint="eastAsia"/>
                      <w:color w:val="auto"/>
                      <w:sz w:val="21"/>
                      <w:szCs w:val="21"/>
                      <w:lang w:val="en-US" w:eastAsia="zh-CN"/>
                    </w:rPr>
                    <w:t>2.618</w:t>
                  </w:r>
                </w:p>
              </w:tc>
              <w:tc>
                <w:tcPr>
                  <w:tcW w:w="1080" w:type="dxa"/>
                  <w:vMerge w:val="continue"/>
                  <w:noWrap w:val="0"/>
                  <w:vAlign w:val="center"/>
                </w:tcPr>
                <w:p w14:paraId="651990EB">
                  <w:pPr>
                    <w:pStyle w:val="16"/>
                    <w:spacing w:line="240" w:lineRule="auto"/>
                    <w:jc w:val="center"/>
                    <w:rPr>
                      <w:rFonts w:hint="eastAsia"/>
                      <w:color w:val="auto"/>
                      <w:sz w:val="21"/>
                      <w:szCs w:val="21"/>
                      <w:lang w:val="en-US" w:eastAsia="zh-CN"/>
                    </w:rPr>
                  </w:pPr>
                </w:p>
              </w:tc>
              <w:tc>
                <w:tcPr>
                  <w:tcW w:w="690" w:type="dxa"/>
                  <w:vMerge w:val="continue"/>
                  <w:noWrap w:val="0"/>
                  <w:vAlign w:val="center"/>
                </w:tcPr>
                <w:p w14:paraId="18F69277">
                  <w:pPr>
                    <w:pStyle w:val="16"/>
                    <w:spacing w:line="240" w:lineRule="auto"/>
                    <w:jc w:val="center"/>
                    <w:rPr>
                      <w:rFonts w:hint="eastAsia"/>
                      <w:color w:val="auto"/>
                      <w:sz w:val="21"/>
                      <w:szCs w:val="21"/>
                    </w:rPr>
                  </w:pPr>
                </w:p>
              </w:tc>
              <w:tc>
                <w:tcPr>
                  <w:tcW w:w="615" w:type="dxa"/>
                  <w:vMerge w:val="continue"/>
                  <w:noWrap w:val="0"/>
                  <w:vAlign w:val="center"/>
                </w:tcPr>
                <w:p w14:paraId="65BEC199">
                  <w:pPr>
                    <w:pStyle w:val="16"/>
                    <w:spacing w:line="240" w:lineRule="auto"/>
                    <w:jc w:val="center"/>
                    <w:rPr>
                      <w:rFonts w:hint="eastAsia"/>
                      <w:color w:val="auto"/>
                      <w:sz w:val="21"/>
                      <w:szCs w:val="21"/>
                    </w:rPr>
                  </w:pPr>
                </w:p>
              </w:tc>
              <w:tc>
                <w:tcPr>
                  <w:tcW w:w="780" w:type="dxa"/>
                  <w:vMerge w:val="continue"/>
                  <w:noWrap w:val="0"/>
                  <w:vAlign w:val="center"/>
                </w:tcPr>
                <w:p w14:paraId="2A63C713">
                  <w:pPr>
                    <w:pStyle w:val="16"/>
                    <w:spacing w:line="240" w:lineRule="auto"/>
                    <w:jc w:val="center"/>
                    <w:rPr>
                      <w:rFonts w:hint="eastAsia"/>
                      <w:color w:val="auto"/>
                      <w:sz w:val="21"/>
                      <w:szCs w:val="21"/>
                      <w:lang w:val="en-US" w:eastAsia="zh-CN"/>
                    </w:rPr>
                  </w:pPr>
                </w:p>
              </w:tc>
              <w:tc>
                <w:tcPr>
                  <w:tcW w:w="825" w:type="dxa"/>
                  <w:noWrap w:val="0"/>
                  <w:vAlign w:val="center"/>
                </w:tcPr>
                <w:p w14:paraId="5577A478">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50</w:t>
                  </w:r>
                </w:p>
              </w:tc>
              <w:tc>
                <w:tcPr>
                  <w:tcW w:w="810" w:type="dxa"/>
                  <w:vMerge w:val="continue"/>
                  <w:noWrap w:val="0"/>
                  <w:vAlign w:val="center"/>
                </w:tcPr>
                <w:p w14:paraId="340FD07C">
                  <w:pPr>
                    <w:pStyle w:val="16"/>
                    <w:spacing w:line="240" w:lineRule="auto"/>
                    <w:jc w:val="center"/>
                    <w:rPr>
                      <w:rFonts w:hint="eastAsia"/>
                      <w:color w:val="auto"/>
                      <w:sz w:val="21"/>
                      <w:szCs w:val="21"/>
                    </w:rPr>
                  </w:pPr>
                </w:p>
              </w:tc>
              <w:tc>
                <w:tcPr>
                  <w:tcW w:w="834" w:type="dxa"/>
                  <w:vMerge w:val="continue"/>
                  <w:noWrap w:val="0"/>
                  <w:vAlign w:val="center"/>
                </w:tcPr>
                <w:p w14:paraId="1E4627AE">
                  <w:pPr>
                    <w:pStyle w:val="16"/>
                    <w:spacing w:line="240" w:lineRule="auto"/>
                    <w:jc w:val="center"/>
                    <w:rPr>
                      <w:rFonts w:hint="eastAsia"/>
                      <w:color w:val="auto"/>
                      <w:sz w:val="21"/>
                      <w:szCs w:val="21"/>
                      <w:lang w:val="en-US" w:eastAsia="zh-CN"/>
                    </w:rPr>
                  </w:pPr>
                </w:p>
              </w:tc>
              <w:tc>
                <w:tcPr>
                  <w:tcW w:w="800" w:type="dxa"/>
                  <w:vMerge w:val="continue"/>
                  <w:noWrap w:val="0"/>
                  <w:vAlign w:val="center"/>
                </w:tcPr>
                <w:p w14:paraId="44CCA707">
                  <w:pPr>
                    <w:pStyle w:val="16"/>
                    <w:spacing w:line="240" w:lineRule="auto"/>
                    <w:jc w:val="center"/>
                    <w:rPr>
                      <w:rFonts w:hint="eastAsia"/>
                      <w:color w:val="auto"/>
                      <w:sz w:val="21"/>
                      <w:szCs w:val="21"/>
                    </w:rPr>
                  </w:pPr>
                </w:p>
              </w:tc>
            </w:tr>
          </w:tbl>
          <w:p w14:paraId="42FF78D0">
            <w:pPr>
              <w:pStyle w:val="11"/>
              <w:tabs>
                <w:tab w:val="left" w:pos="960"/>
                <w:tab w:val="left" w:pos="8760"/>
              </w:tabs>
              <w:spacing w:line="360" w:lineRule="auto"/>
              <w:ind w:firstLine="357" w:firstLineChars="170"/>
              <w:rPr>
                <w:rFonts w:ascii="Times New Roman"/>
                <w:color w:val="auto"/>
                <w:sz w:val="21"/>
                <w:szCs w:val="21"/>
              </w:rPr>
            </w:pPr>
            <w:r>
              <w:rPr>
                <w:rFonts w:ascii="Times New Roman"/>
                <w:color w:val="auto"/>
                <w:sz w:val="21"/>
                <w:szCs w:val="21"/>
              </w:rPr>
              <w:t>本项目有组织废气排放情况见表4-</w:t>
            </w:r>
            <w:r>
              <w:rPr>
                <w:rFonts w:hint="eastAsia"/>
                <w:color w:val="auto"/>
                <w:sz w:val="21"/>
                <w:szCs w:val="21"/>
                <w:lang w:val="en-US" w:eastAsia="zh-CN"/>
              </w:rPr>
              <w:t>3，无组织废气排放情况见表4-4</w:t>
            </w:r>
            <w:r>
              <w:rPr>
                <w:rFonts w:ascii="Times New Roman"/>
                <w:color w:val="auto"/>
                <w:sz w:val="21"/>
                <w:szCs w:val="21"/>
              </w:rPr>
              <w:t xml:space="preserve">。 </w:t>
            </w:r>
          </w:p>
          <w:p w14:paraId="4543E953">
            <w:pPr>
              <w:pStyle w:val="11"/>
              <w:tabs>
                <w:tab w:val="left" w:pos="960"/>
                <w:tab w:val="left" w:pos="8760"/>
              </w:tabs>
              <w:spacing w:line="360" w:lineRule="auto"/>
              <w:ind w:firstLine="358" w:firstLineChars="17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3</w:t>
            </w:r>
            <w:r>
              <w:rPr>
                <w:rFonts w:hint="eastAsia"/>
                <w:b/>
                <w:bCs/>
                <w:color w:val="auto"/>
                <w:sz w:val="21"/>
                <w:szCs w:val="21"/>
              </w:rPr>
              <w:t xml:space="preserve"> 有组织废气产生及排放情况</w:t>
            </w:r>
          </w:p>
          <w:tbl>
            <w:tblPr>
              <w:tblStyle w:val="42"/>
              <w:tblW w:w="85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45"/>
              <w:gridCol w:w="720"/>
              <w:gridCol w:w="667"/>
              <w:gridCol w:w="593"/>
              <w:gridCol w:w="652"/>
              <w:gridCol w:w="690"/>
              <w:gridCol w:w="713"/>
              <w:gridCol w:w="570"/>
              <w:gridCol w:w="585"/>
              <w:gridCol w:w="435"/>
              <w:gridCol w:w="495"/>
              <w:gridCol w:w="465"/>
              <w:gridCol w:w="585"/>
              <w:gridCol w:w="629"/>
            </w:tblGrid>
            <w:tr w14:paraId="729C24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5" w:type="dxa"/>
                  <w:vMerge w:val="restart"/>
                  <w:noWrap w:val="0"/>
                  <w:vAlign w:val="center"/>
                </w:tcPr>
                <w:p w14:paraId="6792ABAF">
                  <w:pPr>
                    <w:jc w:val="center"/>
                    <w:rPr>
                      <w:b/>
                      <w:bCs/>
                      <w:color w:val="auto"/>
                      <w:sz w:val="21"/>
                      <w:szCs w:val="21"/>
                    </w:rPr>
                  </w:pPr>
                  <w:r>
                    <w:rPr>
                      <w:b/>
                      <w:bCs/>
                      <w:color w:val="auto"/>
                      <w:sz w:val="21"/>
                      <w:szCs w:val="21"/>
                    </w:rPr>
                    <w:t>污染源</w:t>
                  </w:r>
                </w:p>
              </w:tc>
              <w:tc>
                <w:tcPr>
                  <w:tcW w:w="345" w:type="dxa"/>
                  <w:vMerge w:val="restart"/>
                  <w:noWrap w:val="0"/>
                  <w:vAlign w:val="center"/>
                </w:tcPr>
                <w:p w14:paraId="09871730">
                  <w:pPr>
                    <w:pStyle w:val="11"/>
                    <w:tabs>
                      <w:tab w:val="left" w:pos="960"/>
                      <w:tab w:val="left" w:pos="8760"/>
                    </w:tabs>
                    <w:spacing w:line="240" w:lineRule="auto"/>
                    <w:ind w:firstLine="0" w:firstLineChars="0"/>
                    <w:jc w:val="center"/>
                    <w:rPr>
                      <w:rFonts w:ascii="Times New Roman"/>
                      <w:b/>
                      <w:bCs/>
                      <w:color w:val="auto"/>
                      <w:sz w:val="21"/>
                      <w:szCs w:val="21"/>
                    </w:rPr>
                  </w:pPr>
                  <w:r>
                    <w:rPr>
                      <w:rFonts w:ascii="Times New Roman"/>
                      <w:b/>
                      <w:bCs/>
                      <w:color w:val="auto"/>
                      <w:sz w:val="21"/>
                      <w:szCs w:val="21"/>
                    </w:rPr>
                    <w:t>污染物名称</w:t>
                  </w:r>
                </w:p>
              </w:tc>
              <w:tc>
                <w:tcPr>
                  <w:tcW w:w="1980" w:type="dxa"/>
                  <w:gridSpan w:val="3"/>
                  <w:noWrap w:val="0"/>
                  <w:vAlign w:val="center"/>
                </w:tcPr>
                <w:p w14:paraId="069874D5">
                  <w:pPr>
                    <w:pStyle w:val="11"/>
                    <w:tabs>
                      <w:tab w:val="left" w:pos="960"/>
                      <w:tab w:val="left" w:pos="8760"/>
                    </w:tabs>
                    <w:spacing w:line="240" w:lineRule="auto"/>
                    <w:ind w:firstLine="0" w:firstLineChars="0"/>
                    <w:jc w:val="center"/>
                    <w:rPr>
                      <w:rFonts w:ascii="Times New Roman"/>
                      <w:b/>
                      <w:bCs/>
                      <w:color w:val="auto"/>
                      <w:sz w:val="21"/>
                      <w:szCs w:val="21"/>
                    </w:rPr>
                  </w:pPr>
                  <w:r>
                    <w:rPr>
                      <w:rFonts w:ascii="Times New Roman"/>
                      <w:b/>
                      <w:bCs/>
                      <w:color w:val="auto"/>
                      <w:sz w:val="21"/>
                      <w:szCs w:val="21"/>
                    </w:rPr>
                    <w:t>产生状况</w:t>
                  </w:r>
                </w:p>
              </w:tc>
              <w:tc>
                <w:tcPr>
                  <w:tcW w:w="2055" w:type="dxa"/>
                  <w:gridSpan w:val="3"/>
                  <w:noWrap w:val="0"/>
                  <w:vAlign w:val="center"/>
                </w:tcPr>
                <w:p w14:paraId="773FD68C">
                  <w:pPr>
                    <w:pStyle w:val="11"/>
                    <w:tabs>
                      <w:tab w:val="left" w:pos="960"/>
                      <w:tab w:val="left" w:pos="8760"/>
                    </w:tabs>
                    <w:spacing w:line="240" w:lineRule="auto"/>
                    <w:ind w:firstLine="0" w:firstLineChars="0"/>
                    <w:jc w:val="center"/>
                    <w:rPr>
                      <w:rFonts w:ascii="Times New Roman"/>
                      <w:b/>
                      <w:bCs/>
                      <w:color w:val="auto"/>
                      <w:sz w:val="21"/>
                      <w:szCs w:val="21"/>
                    </w:rPr>
                  </w:pPr>
                  <w:r>
                    <w:rPr>
                      <w:rFonts w:ascii="Times New Roman"/>
                      <w:b/>
                      <w:bCs/>
                      <w:color w:val="auto"/>
                      <w:sz w:val="21"/>
                      <w:szCs w:val="21"/>
                    </w:rPr>
                    <w:t>最大排放状况</w:t>
                  </w:r>
                </w:p>
              </w:tc>
              <w:tc>
                <w:tcPr>
                  <w:tcW w:w="2550" w:type="dxa"/>
                  <w:gridSpan w:val="5"/>
                  <w:noWrap w:val="0"/>
                  <w:vAlign w:val="center"/>
                </w:tcPr>
                <w:p w14:paraId="1EEE1B9B">
                  <w:pPr>
                    <w:pStyle w:val="11"/>
                    <w:tabs>
                      <w:tab w:val="left" w:pos="960"/>
                      <w:tab w:val="left" w:pos="8760"/>
                    </w:tabs>
                    <w:spacing w:line="240" w:lineRule="auto"/>
                    <w:ind w:firstLine="0" w:firstLineChars="0"/>
                    <w:jc w:val="center"/>
                    <w:rPr>
                      <w:rFonts w:ascii="Times New Roman"/>
                      <w:b/>
                      <w:bCs/>
                      <w:color w:val="auto"/>
                      <w:sz w:val="21"/>
                      <w:szCs w:val="21"/>
                    </w:rPr>
                  </w:pPr>
                  <w:r>
                    <w:rPr>
                      <w:rFonts w:ascii="Times New Roman"/>
                      <w:b/>
                      <w:bCs/>
                      <w:color w:val="auto"/>
                      <w:sz w:val="21"/>
                      <w:szCs w:val="21"/>
                    </w:rPr>
                    <w:t>排气筒参数</w:t>
                  </w:r>
                </w:p>
              </w:tc>
              <w:tc>
                <w:tcPr>
                  <w:tcW w:w="1214" w:type="dxa"/>
                  <w:gridSpan w:val="2"/>
                  <w:noWrap w:val="0"/>
                  <w:vAlign w:val="center"/>
                </w:tcPr>
                <w:p w14:paraId="15978CA6">
                  <w:pPr>
                    <w:pStyle w:val="11"/>
                    <w:tabs>
                      <w:tab w:val="left" w:pos="960"/>
                      <w:tab w:val="left" w:pos="8760"/>
                    </w:tabs>
                    <w:spacing w:line="240" w:lineRule="auto"/>
                    <w:ind w:firstLine="0" w:firstLineChars="0"/>
                    <w:jc w:val="center"/>
                    <w:rPr>
                      <w:rFonts w:ascii="Times New Roman"/>
                      <w:b/>
                      <w:bCs/>
                      <w:color w:val="auto"/>
                      <w:sz w:val="21"/>
                      <w:szCs w:val="21"/>
                    </w:rPr>
                  </w:pPr>
                  <w:r>
                    <w:rPr>
                      <w:rFonts w:ascii="Times New Roman"/>
                      <w:b/>
                      <w:bCs/>
                      <w:color w:val="auto"/>
                      <w:sz w:val="21"/>
                      <w:szCs w:val="21"/>
                    </w:rPr>
                    <w:t>排气筒坐标</w:t>
                  </w:r>
                </w:p>
              </w:tc>
            </w:tr>
            <w:tr w14:paraId="6D7F55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5" w:type="dxa"/>
                  <w:vMerge w:val="continue"/>
                  <w:noWrap w:val="0"/>
                  <w:vAlign w:val="center"/>
                </w:tcPr>
                <w:p w14:paraId="40283E10">
                  <w:pPr>
                    <w:pStyle w:val="11"/>
                    <w:tabs>
                      <w:tab w:val="left" w:pos="960"/>
                      <w:tab w:val="left" w:pos="8760"/>
                    </w:tabs>
                    <w:spacing w:line="240" w:lineRule="auto"/>
                    <w:ind w:firstLine="422"/>
                    <w:jc w:val="center"/>
                    <w:rPr>
                      <w:rFonts w:ascii="Times New Roman"/>
                      <w:b/>
                      <w:bCs/>
                      <w:color w:val="auto"/>
                      <w:sz w:val="21"/>
                      <w:szCs w:val="21"/>
                    </w:rPr>
                  </w:pPr>
                </w:p>
              </w:tc>
              <w:tc>
                <w:tcPr>
                  <w:tcW w:w="345" w:type="dxa"/>
                  <w:vMerge w:val="continue"/>
                  <w:noWrap w:val="0"/>
                  <w:vAlign w:val="center"/>
                </w:tcPr>
                <w:p w14:paraId="716D3F40">
                  <w:pPr>
                    <w:pStyle w:val="11"/>
                    <w:tabs>
                      <w:tab w:val="left" w:pos="960"/>
                      <w:tab w:val="left" w:pos="8760"/>
                    </w:tabs>
                    <w:spacing w:line="240" w:lineRule="auto"/>
                    <w:ind w:firstLine="422"/>
                    <w:jc w:val="center"/>
                    <w:rPr>
                      <w:rFonts w:ascii="Times New Roman"/>
                      <w:b/>
                      <w:bCs/>
                      <w:color w:val="auto"/>
                      <w:sz w:val="21"/>
                      <w:szCs w:val="21"/>
                    </w:rPr>
                  </w:pPr>
                </w:p>
              </w:tc>
              <w:tc>
                <w:tcPr>
                  <w:tcW w:w="720" w:type="dxa"/>
                  <w:noWrap w:val="0"/>
                  <w:vAlign w:val="center"/>
                </w:tcPr>
                <w:p w14:paraId="4641261C">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产生</w:t>
                  </w:r>
                </w:p>
                <w:p w14:paraId="21F65B05">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量t/a</w:t>
                  </w:r>
                </w:p>
              </w:tc>
              <w:tc>
                <w:tcPr>
                  <w:tcW w:w="667" w:type="dxa"/>
                  <w:noWrap w:val="0"/>
                  <w:vAlign w:val="center"/>
                </w:tcPr>
                <w:p w14:paraId="4439164A">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速率</w:t>
                  </w:r>
                </w:p>
                <w:p w14:paraId="33FF1D34">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kg/h</w:t>
                  </w:r>
                </w:p>
              </w:tc>
              <w:tc>
                <w:tcPr>
                  <w:tcW w:w="593" w:type="dxa"/>
                  <w:noWrap w:val="0"/>
                  <w:vAlign w:val="center"/>
                </w:tcPr>
                <w:p w14:paraId="0A848F9A">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浓度mg/m</w:t>
                  </w:r>
                  <w:r>
                    <w:rPr>
                      <w:rFonts w:hint="eastAsia" w:ascii="Times New Roman"/>
                      <w:b/>
                      <w:bCs/>
                      <w:color w:val="auto"/>
                      <w:sz w:val="21"/>
                      <w:szCs w:val="21"/>
                      <w:vertAlign w:val="superscript"/>
                    </w:rPr>
                    <w:t>3</w:t>
                  </w:r>
                </w:p>
              </w:tc>
              <w:tc>
                <w:tcPr>
                  <w:tcW w:w="652" w:type="dxa"/>
                  <w:noWrap w:val="0"/>
                  <w:vAlign w:val="center"/>
                </w:tcPr>
                <w:p w14:paraId="72AA3E6F">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排放</w:t>
                  </w:r>
                </w:p>
                <w:p w14:paraId="13C7C3CE">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量t/a</w:t>
                  </w:r>
                </w:p>
              </w:tc>
              <w:tc>
                <w:tcPr>
                  <w:tcW w:w="690" w:type="dxa"/>
                  <w:noWrap w:val="0"/>
                  <w:vAlign w:val="center"/>
                </w:tcPr>
                <w:p w14:paraId="43BD38AD">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速率</w:t>
                  </w:r>
                </w:p>
                <w:p w14:paraId="4301FEBE">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kg/h</w:t>
                  </w:r>
                </w:p>
              </w:tc>
              <w:tc>
                <w:tcPr>
                  <w:tcW w:w="713" w:type="dxa"/>
                  <w:noWrap w:val="0"/>
                  <w:vAlign w:val="center"/>
                </w:tcPr>
                <w:p w14:paraId="1F9E8C7F">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浓度</w:t>
                  </w:r>
                </w:p>
                <w:p w14:paraId="7FFA9AED">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mg/m</w:t>
                  </w:r>
                  <w:r>
                    <w:rPr>
                      <w:rFonts w:hint="eastAsia" w:ascii="Times New Roman"/>
                      <w:b/>
                      <w:bCs/>
                      <w:color w:val="auto"/>
                      <w:sz w:val="21"/>
                      <w:szCs w:val="21"/>
                      <w:vertAlign w:val="superscript"/>
                    </w:rPr>
                    <w:t>3</w:t>
                  </w:r>
                </w:p>
              </w:tc>
              <w:tc>
                <w:tcPr>
                  <w:tcW w:w="570" w:type="dxa"/>
                  <w:noWrap w:val="0"/>
                  <w:vAlign w:val="center"/>
                </w:tcPr>
                <w:p w14:paraId="780A3BD3">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编号</w:t>
                  </w:r>
                </w:p>
                <w:p w14:paraId="714BC2E8">
                  <w:pPr>
                    <w:pStyle w:val="11"/>
                    <w:tabs>
                      <w:tab w:val="left" w:pos="960"/>
                      <w:tab w:val="left" w:pos="8760"/>
                    </w:tabs>
                    <w:spacing w:line="240" w:lineRule="auto"/>
                    <w:ind w:firstLine="0" w:firstLineChars="0"/>
                    <w:jc w:val="center"/>
                    <w:rPr>
                      <w:rFonts w:hint="eastAsia" w:ascii="Times New Roman"/>
                      <w:b/>
                      <w:bCs/>
                      <w:color w:val="auto"/>
                      <w:sz w:val="21"/>
                      <w:szCs w:val="21"/>
                    </w:rPr>
                  </w:pPr>
                  <w:r>
                    <w:rPr>
                      <w:rFonts w:hint="eastAsia" w:ascii="Times New Roman"/>
                      <w:b/>
                      <w:bCs/>
                      <w:color w:val="auto"/>
                      <w:sz w:val="21"/>
                      <w:szCs w:val="21"/>
                    </w:rPr>
                    <w:t>及名</w:t>
                  </w:r>
                </w:p>
                <w:p w14:paraId="76AC49D8">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称</w:t>
                  </w:r>
                </w:p>
              </w:tc>
              <w:tc>
                <w:tcPr>
                  <w:tcW w:w="585" w:type="dxa"/>
                  <w:noWrap w:val="0"/>
                  <w:vAlign w:val="center"/>
                </w:tcPr>
                <w:p w14:paraId="2DFA7C54">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风量m</w:t>
                  </w:r>
                  <w:r>
                    <w:rPr>
                      <w:rFonts w:hint="eastAsia" w:ascii="Times New Roman"/>
                      <w:b/>
                      <w:bCs/>
                      <w:color w:val="auto"/>
                      <w:sz w:val="21"/>
                      <w:szCs w:val="21"/>
                      <w:vertAlign w:val="superscript"/>
                    </w:rPr>
                    <w:t>3</w:t>
                  </w:r>
                  <w:r>
                    <w:rPr>
                      <w:rFonts w:hint="eastAsia" w:ascii="Times New Roman"/>
                      <w:b/>
                      <w:bCs/>
                      <w:color w:val="auto"/>
                      <w:sz w:val="21"/>
                      <w:szCs w:val="21"/>
                    </w:rPr>
                    <w:t>/h</w:t>
                  </w:r>
                </w:p>
              </w:tc>
              <w:tc>
                <w:tcPr>
                  <w:tcW w:w="435" w:type="dxa"/>
                  <w:noWrap w:val="0"/>
                  <w:vAlign w:val="center"/>
                </w:tcPr>
                <w:p w14:paraId="1B0BE28F">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高度m</w:t>
                  </w:r>
                </w:p>
              </w:tc>
              <w:tc>
                <w:tcPr>
                  <w:tcW w:w="495" w:type="dxa"/>
                  <w:noWrap w:val="0"/>
                  <w:vAlign w:val="center"/>
                </w:tcPr>
                <w:p w14:paraId="25023765">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内径m</w:t>
                  </w:r>
                </w:p>
              </w:tc>
              <w:tc>
                <w:tcPr>
                  <w:tcW w:w="465" w:type="dxa"/>
                  <w:noWrap w:val="0"/>
                  <w:vAlign w:val="center"/>
                </w:tcPr>
                <w:p w14:paraId="2D91D312">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温度℃</w:t>
                  </w:r>
                </w:p>
              </w:tc>
              <w:tc>
                <w:tcPr>
                  <w:tcW w:w="585" w:type="dxa"/>
                  <w:noWrap w:val="0"/>
                  <w:vAlign w:val="center"/>
                </w:tcPr>
                <w:p w14:paraId="747FC07B">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X</w:t>
                  </w:r>
                </w:p>
              </w:tc>
              <w:tc>
                <w:tcPr>
                  <w:tcW w:w="629" w:type="dxa"/>
                  <w:noWrap w:val="0"/>
                  <w:vAlign w:val="center"/>
                </w:tcPr>
                <w:p w14:paraId="609B6CB7">
                  <w:pPr>
                    <w:pStyle w:val="11"/>
                    <w:tabs>
                      <w:tab w:val="left" w:pos="960"/>
                      <w:tab w:val="left" w:pos="8760"/>
                    </w:tabs>
                    <w:spacing w:line="240" w:lineRule="auto"/>
                    <w:ind w:firstLine="0" w:firstLineChars="0"/>
                    <w:jc w:val="center"/>
                    <w:rPr>
                      <w:rFonts w:ascii="Times New Roman"/>
                      <w:b/>
                      <w:bCs/>
                      <w:color w:val="auto"/>
                      <w:sz w:val="21"/>
                      <w:szCs w:val="21"/>
                    </w:rPr>
                  </w:pPr>
                  <w:r>
                    <w:rPr>
                      <w:rFonts w:hint="eastAsia" w:ascii="Times New Roman"/>
                      <w:b/>
                      <w:bCs/>
                      <w:color w:val="auto"/>
                      <w:sz w:val="21"/>
                      <w:szCs w:val="21"/>
                    </w:rPr>
                    <w:t>Y</w:t>
                  </w:r>
                </w:p>
              </w:tc>
            </w:tr>
            <w:tr w14:paraId="3F9725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5" w:type="dxa"/>
                  <w:vMerge w:val="restart"/>
                  <w:noWrap w:val="0"/>
                  <w:vAlign w:val="center"/>
                </w:tcPr>
                <w:p w14:paraId="7FC227D3">
                  <w:pPr>
                    <w:pStyle w:val="11"/>
                    <w:tabs>
                      <w:tab w:val="left" w:pos="960"/>
                      <w:tab w:val="left" w:pos="8760"/>
                    </w:tabs>
                    <w:spacing w:line="240" w:lineRule="auto"/>
                    <w:ind w:firstLine="0" w:firstLineChars="0"/>
                    <w:jc w:val="center"/>
                    <w:rPr>
                      <w:rFonts w:hint="default" w:ascii="Times New Roman"/>
                      <w:color w:val="auto"/>
                      <w:sz w:val="21"/>
                      <w:szCs w:val="21"/>
                      <w:lang w:val="en-US"/>
                    </w:rPr>
                  </w:pPr>
                  <w:r>
                    <w:rPr>
                      <w:rFonts w:hint="eastAsia"/>
                      <w:color w:val="auto"/>
                      <w:sz w:val="21"/>
                      <w:szCs w:val="21"/>
                      <w:lang w:val="en-US" w:eastAsia="zh-CN"/>
                    </w:rPr>
                    <w:t>DA001</w:t>
                  </w:r>
                </w:p>
              </w:tc>
              <w:tc>
                <w:tcPr>
                  <w:tcW w:w="345" w:type="dxa"/>
                  <w:noWrap w:val="0"/>
                  <w:vAlign w:val="center"/>
                </w:tcPr>
                <w:p w14:paraId="5626B16A">
                  <w:pPr>
                    <w:pStyle w:val="11"/>
                    <w:tabs>
                      <w:tab w:val="left" w:pos="960"/>
                      <w:tab w:val="left" w:pos="8760"/>
                    </w:tabs>
                    <w:spacing w:line="240" w:lineRule="auto"/>
                    <w:ind w:firstLine="0" w:firstLineChars="0"/>
                    <w:jc w:val="center"/>
                    <w:rPr>
                      <w:rFonts w:hint="eastAsia" w:ascii="Times New Roman" w:eastAsia="宋体"/>
                      <w:color w:val="auto"/>
                      <w:sz w:val="21"/>
                      <w:szCs w:val="21"/>
                      <w:lang w:val="en-US" w:eastAsia="zh-CN"/>
                    </w:rPr>
                  </w:pPr>
                  <w:r>
                    <w:rPr>
                      <w:rFonts w:hint="eastAsia"/>
                      <w:color w:val="auto"/>
                      <w:sz w:val="21"/>
                      <w:szCs w:val="21"/>
                      <w:lang w:val="en-US" w:eastAsia="zh-CN"/>
                    </w:rPr>
                    <w:t>颗粒物</w:t>
                  </w:r>
                </w:p>
              </w:tc>
              <w:tc>
                <w:tcPr>
                  <w:tcW w:w="720" w:type="dxa"/>
                  <w:noWrap w:val="0"/>
                  <w:vAlign w:val="center"/>
                </w:tcPr>
                <w:p w14:paraId="7B62099A">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667" w:type="dxa"/>
                  <w:noWrap w:val="0"/>
                  <w:vAlign w:val="center"/>
                </w:tcPr>
                <w:p w14:paraId="4DFA6792">
                  <w:pPr>
                    <w:pStyle w:val="11"/>
                    <w:tabs>
                      <w:tab w:val="left" w:pos="960"/>
                      <w:tab w:val="left" w:pos="8760"/>
                    </w:tabs>
                    <w:spacing w:line="240" w:lineRule="auto"/>
                    <w:ind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0.156</w:t>
                  </w:r>
                </w:p>
              </w:tc>
              <w:tc>
                <w:tcPr>
                  <w:tcW w:w="593" w:type="dxa"/>
                  <w:noWrap w:val="0"/>
                  <w:vAlign w:val="center"/>
                </w:tcPr>
                <w:p w14:paraId="5632AD26">
                  <w:pPr>
                    <w:pStyle w:val="11"/>
                    <w:tabs>
                      <w:tab w:val="left" w:pos="960"/>
                      <w:tab w:val="left" w:pos="8760"/>
                    </w:tabs>
                    <w:spacing w:line="240" w:lineRule="auto"/>
                    <w:ind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12.48</w:t>
                  </w:r>
                </w:p>
              </w:tc>
              <w:tc>
                <w:tcPr>
                  <w:tcW w:w="652" w:type="dxa"/>
                  <w:noWrap w:val="0"/>
                  <w:vAlign w:val="center"/>
                </w:tcPr>
                <w:p w14:paraId="11F1FD13">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690" w:type="dxa"/>
                  <w:noWrap w:val="0"/>
                  <w:vAlign w:val="center"/>
                </w:tcPr>
                <w:p w14:paraId="6F0CAC08">
                  <w:pPr>
                    <w:pStyle w:val="11"/>
                    <w:tabs>
                      <w:tab w:val="left" w:pos="960"/>
                      <w:tab w:val="left" w:pos="8760"/>
                    </w:tabs>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0.156</w:t>
                  </w:r>
                </w:p>
              </w:tc>
              <w:tc>
                <w:tcPr>
                  <w:tcW w:w="713" w:type="dxa"/>
                  <w:noWrap w:val="0"/>
                  <w:vAlign w:val="center"/>
                </w:tcPr>
                <w:p w14:paraId="7691B23E">
                  <w:pPr>
                    <w:pStyle w:val="11"/>
                    <w:tabs>
                      <w:tab w:val="left" w:pos="960"/>
                      <w:tab w:val="left" w:pos="8760"/>
                    </w:tabs>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12.48</w:t>
                  </w:r>
                </w:p>
              </w:tc>
              <w:tc>
                <w:tcPr>
                  <w:tcW w:w="570" w:type="dxa"/>
                  <w:vMerge w:val="restart"/>
                  <w:noWrap w:val="0"/>
                  <w:vAlign w:val="center"/>
                </w:tcPr>
                <w:p w14:paraId="4111BD66">
                  <w:pPr>
                    <w:pStyle w:val="11"/>
                    <w:tabs>
                      <w:tab w:val="left" w:pos="960"/>
                      <w:tab w:val="left" w:pos="8760"/>
                    </w:tabs>
                    <w:spacing w:line="240" w:lineRule="auto"/>
                    <w:ind w:firstLine="0" w:firstLineChars="0"/>
                    <w:jc w:val="center"/>
                    <w:rPr>
                      <w:rFonts w:hint="eastAsia" w:ascii="Times New Roman"/>
                      <w:color w:val="auto"/>
                      <w:sz w:val="21"/>
                      <w:szCs w:val="21"/>
                    </w:rPr>
                  </w:pPr>
                  <w:r>
                    <w:rPr>
                      <w:rFonts w:hint="eastAsia" w:ascii="Times New Roman"/>
                      <w:color w:val="auto"/>
                      <w:sz w:val="21"/>
                      <w:szCs w:val="21"/>
                    </w:rPr>
                    <w:t>DA</w:t>
                  </w:r>
                </w:p>
                <w:p w14:paraId="248F1BE6">
                  <w:pPr>
                    <w:pStyle w:val="11"/>
                    <w:tabs>
                      <w:tab w:val="left" w:pos="960"/>
                      <w:tab w:val="left" w:pos="8760"/>
                    </w:tabs>
                    <w:spacing w:line="240" w:lineRule="auto"/>
                    <w:ind w:firstLine="0" w:firstLineChars="0"/>
                    <w:jc w:val="center"/>
                    <w:rPr>
                      <w:rFonts w:hint="eastAsia" w:ascii="Times New Roman" w:eastAsia="宋体"/>
                      <w:color w:val="auto"/>
                      <w:sz w:val="21"/>
                      <w:szCs w:val="21"/>
                      <w:lang w:eastAsia="zh-CN"/>
                    </w:rPr>
                  </w:pPr>
                  <w:r>
                    <w:rPr>
                      <w:rFonts w:hint="eastAsia" w:ascii="Times New Roman"/>
                      <w:color w:val="auto"/>
                      <w:sz w:val="21"/>
                      <w:szCs w:val="21"/>
                    </w:rPr>
                    <w:t>00</w:t>
                  </w:r>
                  <w:r>
                    <w:rPr>
                      <w:rFonts w:hint="eastAsia"/>
                      <w:color w:val="auto"/>
                      <w:sz w:val="21"/>
                      <w:szCs w:val="21"/>
                      <w:lang w:val="en-US" w:eastAsia="zh-CN"/>
                    </w:rPr>
                    <w:t>1</w:t>
                  </w:r>
                </w:p>
              </w:tc>
              <w:tc>
                <w:tcPr>
                  <w:tcW w:w="585" w:type="dxa"/>
                  <w:vMerge w:val="restart"/>
                  <w:noWrap w:val="0"/>
                  <w:vAlign w:val="center"/>
                </w:tcPr>
                <w:p w14:paraId="6BFB4E85">
                  <w:pPr>
                    <w:pStyle w:val="11"/>
                    <w:tabs>
                      <w:tab w:val="left" w:pos="960"/>
                      <w:tab w:val="left" w:pos="8760"/>
                    </w:tabs>
                    <w:spacing w:line="240" w:lineRule="auto"/>
                    <w:ind w:firstLine="0" w:firstLineChars="0"/>
                    <w:jc w:val="center"/>
                    <w:rPr>
                      <w:rFonts w:hint="default" w:ascii="Times New Roman"/>
                      <w:color w:val="auto"/>
                      <w:sz w:val="21"/>
                      <w:szCs w:val="21"/>
                      <w:lang w:val="en-US"/>
                    </w:rPr>
                  </w:pPr>
                  <w:r>
                    <w:rPr>
                      <w:rFonts w:hint="eastAsia"/>
                      <w:color w:val="auto"/>
                      <w:sz w:val="21"/>
                      <w:szCs w:val="21"/>
                      <w:lang w:val="en-US" w:eastAsia="zh-CN"/>
                    </w:rPr>
                    <w:t>12500</w:t>
                  </w:r>
                </w:p>
              </w:tc>
              <w:tc>
                <w:tcPr>
                  <w:tcW w:w="435" w:type="dxa"/>
                  <w:vMerge w:val="restart"/>
                  <w:noWrap w:val="0"/>
                  <w:vAlign w:val="center"/>
                </w:tcPr>
                <w:p w14:paraId="22C8BF65">
                  <w:pPr>
                    <w:pStyle w:val="11"/>
                    <w:tabs>
                      <w:tab w:val="left" w:pos="960"/>
                      <w:tab w:val="left" w:pos="8760"/>
                    </w:tabs>
                    <w:spacing w:line="240" w:lineRule="auto"/>
                    <w:ind w:firstLine="0" w:firstLineChars="0"/>
                    <w:jc w:val="center"/>
                    <w:rPr>
                      <w:rFonts w:ascii="Times New Roman"/>
                      <w:color w:val="auto"/>
                      <w:sz w:val="21"/>
                      <w:szCs w:val="21"/>
                    </w:rPr>
                  </w:pPr>
                  <w:r>
                    <w:rPr>
                      <w:rFonts w:hint="eastAsia" w:ascii="Times New Roman"/>
                      <w:color w:val="auto"/>
                      <w:sz w:val="21"/>
                      <w:szCs w:val="21"/>
                    </w:rPr>
                    <w:t>15</w:t>
                  </w:r>
                </w:p>
              </w:tc>
              <w:tc>
                <w:tcPr>
                  <w:tcW w:w="495" w:type="dxa"/>
                  <w:vMerge w:val="restart"/>
                  <w:noWrap w:val="0"/>
                  <w:vAlign w:val="center"/>
                </w:tcPr>
                <w:p w14:paraId="2D597388">
                  <w:pPr>
                    <w:pStyle w:val="11"/>
                    <w:tabs>
                      <w:tab w:val="left" w:pos="960"/>
                      <w:tab w:val="left" w:pos="8760"/>
                    </w:tabs>
                    <w:spacing w:line="240" w:lineRule="auto"/>
                    <w:ind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1</w:t>
                  </w:r>
                </w:p>
              </w:tc>
              <w:tc>
                <w:tcPr>
                  <w:tcW w:w="465" w:type="dxa"/>
                  <w:vMerge w:val="restart"/>
                  <w:noWrap w:val="0"/>
                  <w:vAlign w:val="center"/>
                </w:tcPr>
                <w:p w14:paraId="35AEF248">
                  <w:pPr>
                    <w:pStyle w:val="11"/>
                    <w:tabs>
                      <w:tab w:val="left" w:pos="960"/>
                      <w:tab w:val="left" w:pos="8760"/>
                    </w:tabs>
                    <w:spacing w:line="240" w:lineRule="auto"/>
                    <w:ind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50</w:t>
                  </w:r>
                </w:p>
              </w:tc>
              <w:tc>
                <w:tcPr>
                  <w:tcW w:w="585" w:type="dxa"/>
                  <w:vMerge w:val="restart"/>
                  <w:noWrap w:val="0"/>
                  <w:vAlign w:val="center"/>
                </w:tcPr>
                <w:p w14:paraId="4AC665FF">
                  <w:pPr>
                    <w:pStyle w:val="11"/>
                    <w:tabs>
                      <w:tab w:val="left" w:pos="960"/>
                      <w:tab w:val="left" w:pos="8760"/>
                    </w:tabs>
                    <w:spacing w:line="240" w:lineRule="auto"/>
                    <w:ind w:firstLine="0" w:firstLineChars="0"/>
                    <w:rPr>
                      <w:rFonts w:ascii="Times New Roman"/>
                      <w:color w:val="auto"/>
                      <w:sz w:val="21"/>
                      <w:szCs w:val="21"/>
                    </w:rPr>
                  </w:pPr>
                  <w:r>
                    <w:rPr>
                      <w:rFonts w:hint="eastAsia" w:ascii="Times New Roman"/>
                      <w:color w:val="auto"/>
                      <w:sz w:val="21"/>
                      <w:szCs w:val="21"/>
                    </w:rPr>
                    <w:t>121.127199</w:t>
                  </w:r>
                </w:p>
              </w:tc>
              <w:tc>
                <w:tcPr>
                  <w:tcW w:w="629" w:type="dxa"/>
                  <w:vMerge w:val="restart"/>
                  <w:noWrap w:val="0"/>
                  <w:vAlign w:val="center"/>
                </w:tcPr>
                <w:p w14:paraId="0E840DDD">
                  <w:pPr>
                    <w:pStyle w:val="11"/>
                    <w:tabs>
                      <w:tab w:val="left" w:pos="960"/>
                      <w:tab w:val="left" w:pos="8760"/>
                    </w:tabs>
                    <w:spacing w:line="240" w:lineRule="auto"/>
                    <w:ind w:firstLine="0" w:firstLineChars="0"/>
                    <w:rPr>
                      <w:rFonts w:ascii="Times New Roman"/>
                      <w:color w:val="auto"/>
                      <w:sz w:val="21"/>
                      <w:szCs w:val="21"/>
                    </w:rPr>
                  </w:pPr>
                  <w:r>
                    <w:rPr>
                      <w:rFonts w:hint="eastAsia" w:ascii="Times New Roman"/>
                      <w:color w:val="auto"/>
                      <w:sz w:val="21"/>
                      <w:szCs w:val="21"/>
                    </w:rPr>
                    <w:t>31.814892</w:t>
                  </w:r>
                </w:p>
              </w:tc>
            </w:tr>
            <w:tr w14:paraId="7E7DBF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5" w:type="dxa"/>
                  <w:vMerge w:val="continue"/>
                  <w:noWrap w:val="0"/>
                  <w:vAlign w:val="center"/>
                </w:tcPr>
                <w:p w14:paraId="4CEDD4C1">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345" w:type="dxa"/>
                  <w:noWrap w:val="0"/>
                  <w:vAlign w:val="center"/>
                </w:tcPr>
                <w:p w14:paraId="2A2906C6">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二氧化硫</w:t>
                  </w:r>
                </w:p>
              </w:tc>
              <w:tc>
                <w:tcPr>
                  <w:tcW w:w="720" w:type="dxa"/>
                  <w:noWrap w:val="0"/>
                  <w:vAlign w:val="center"/>
                </w:tcPr>
                <w:p w14:paraId="72992675">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667" w:type="dxa"/>
                  <w:noWrap w:val="0"/>
                  <w:vAlign w:val="center"/>
                </w:tcPr>
                <w:p w14:paraId="0CFA8B81">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0.109</w:t>
                  </w:r>
                </w:p>
              </w:tc>
              <w:tc>
                <w:tcPr>
                  <w:tcW w:w="593" w:type="dxa"/>
                  <w:noWrap w:val="0"/>
                  <w:vAlign w:val="center"/>
                </w:tcPr>
                <w:p w14:paraId="055FF980">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8.72</w:t>
                  </w:r>
                </w:p>
              </w:tc>
              <w:tc>
                <w:tcPr>
                  <w:tcW w:w="652" w:type="dxa"/>
                  <w:noWrap w:val="0"/>
                  <w:vAlign w:val="center"/>
                </w:tcPr>
                <w:p w14:paraId="0069897A">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690" w:type="dxa"/>
                  <w:noWrap w:val="0"/>
                  <w:vAlign w:val="center"/>
                </w:tcPr>
                <w:p w14:paraId="6FFCCA9E">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0.109</w:t>
                  </w:r>
                </w:p>
              </w:tc>
              <w:tc>
                <w:tcPr>
                  <w:tcW w:w="713" w:type="dxa"/>
                  <w:noWrap w:val="0"/>
                  <w:vAlign w:val="center"/>
                </w:tcPr>
                <w:p w14:paraId="7BAC1F9D">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8.72</w:t>
                  </w:r>
                </w:p>
              </w:tc>
              <w:tc>
                <w:tcPr>
                  <w:tcW w:w="570" w:type="dxa"/>
                  <w:vMerge w:val="continue"/>
                  <w:noWrap w:val="0"/>
                  <w:vAlign w:val="center"/>
                </w:tcPr>
                <w:p w14:paraId="4FC02DF0">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585" w:type="dxa"/>
                  <w:vMerge w:val="continue"/>
                  <w:noWrap w:val="0"/>
                  <w:vAlign w:val="center"/>
                </w:tcPr>
                <w:p w14:paraId="722D53A7">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435" w:type="dxa"/>
                  <w:vMerge w:val="continue"/>
                  <w:noWrap w:val="0"/>
                  <w:vAlign w:val="center"/>
                </w:tcPr>
                <w:p w14:paraId="3CAB86B3">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495" w:type="dxa"/>
                  <w:vMerge w:val="continue"/>
                  <w:noWrap w:val="0"/>
                  <w:vAlign w:val="center"/>
                </w:tcPr>
                <w:p w14:paraId="32DFC848">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465" w:type="dxa"/>
                  <w:vMerge w:val="continue"/>
                  <w:noWrap w:val="0"/>
                  <w:vAlign w:val="center"/>
                </w:tcPr>
                <w:p w14:paraId="205FEE72">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585" w:type="dxa"/>
                  <w:vMerge w:val="continue"/>
                  <w:noWrap w:val="0"/>
                  <w:vAlign w:val="center"/>
                </w:tcPr>
                <w:p w14:paraId="17A3AE5C">
                  <w:pPr>
                    <w:pStyle w:val="11"/>
                    <w:tabs>
                      <w:tab w:val="left" w:pos="960"/>
                      <w:tab w:val="left" w:pos="8760"/>
                    </w:tabs>
                    <w:spacing w:line="240" w:lineRule="auto"/>
                    <w:ind w:firstLine="0" w:firstLineChars="0"/>
                    <w:rPr>
                      <w:rFonts w:hint="eastAsia" w:ascii="Times New Roman"/>
                      <w:color w:val="auto"/>
                      <w:sz w:val="21"/>
                      <w:szCs w:val="21"/>
                    </w:rPr>
                  </w:pPr>
                </w:p>
              </w:tc>
              <w:tc>
                <w:tcPr>
                  <w:tcW w:w="629" w:type="dxa"/>
                  <w:vMerge w:val="continue"/>
                  <w:noWrap w:val="0"/>
                  <w:vAlign w:val="center"/>
                </w:tcPr>
                <w:p w14:paraId="5E708C51">
                  <w:pPr>
                    <w:pStyle w:val="11"/>
                    <w:tabs>
                      <w:tab w:val="left" w:pos="960"/>
                      <w:tab w:val="left" w:pos="8760"/>
                    </w:tabs>
                    <w:spacing w:line="240" w:lineRule="auto"/>
                    <w:ind w:firstLine="0" w:firstLineChars="0"/>
                    <w:rPr>
                      <w:rFonts w:hint="eastAsia" w:ascii="Times New Roman"/>
                      <w:color w:val="auto"/>
                      <w:sz w:val="21"/>
                      <w:szCs w:val="21"/>
                    </w:rPr>
                  </w:pPr>
                </w:p>
              </w:tc>
            </w:tr>
            <w:tr w14:paraId="078BCA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5" w:type="dxa"/>
                  <w:vMerge w:val="continue"/>
                  <w:noWrap w:val="0"/>
                  <w:vAlign w:val="center"/>
                </w:tcPr>
                <w:p w14:paraId="63310D18">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345" w:type="dxa"/>
                  <w:noWrap w:val="0"/>
                  <w:vAlign w:val="center"/>
                </w:tcPr>
                <w:p w14:paraId="26788F0D">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氮氧化物</w:t>
                  </w:r>
                </w:p>
              </w:tc>
              <w:tc>
                <w:tcPr>
                  <w:tcW w:w="720" w:type="dxa"/>
                  <w:noWrap w:val="0"/>
                  <w:vAlign w:val="center"/>
                </w:tcPr>
                <w:p w14:paraId="18A875A1">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2.618</w:t>
                  </w:r>
                </w:p>
              </w:tc>
              <w:tc>
                <w:tcPr>
                  <w:tcW w:w="667" w:type="dxa"/>
                  <w:noWrap w:val="0"/>
                  <w:vAlign w:val="center"/>
                </w:tcPr>
                <w:p w14:paraId="25A0F589">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1.023</w:t>
                  </w:r>
                </w:p>
              </w:tc>
              <w:tc>
                <w:tcPr>
                  <w:tcW w:w="593" w:type="dxa"/>
                  <w:noWrap w:val="0"/>
                  <w:vAlign w:val="center"/>
                </w:tcPr>
                <w:p w14:paraId="6FD4C648">
                  <w:pPr>
                    <w:pStyle w:val="11"/>
                    <w:tabs>
                      <w:tab w:val="left" w:pos="960"/>
                      <w:tab w:val="left" w:pos="8760"/>
                    </w:tabs>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81.784</w:t>
                  </w:r>
                </w:p>
              </w:tc>
              <w:tc>
                <w:tcPr>
                  <w:tcW w:w="652" w:type="dxa"/>
                  <w:noWrap w:val="0"/>
                  <w:vAlign w:val="center"/>
                </w:tcPr>
                <w:p w14:paraId="34BC0490">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1.309</w:t>
                  </w:r>
                </w:p>
              </w:tc>
              <w:tc>
                <w:tcPr>
                  <w:tcW w:w="690" w:type="dxa"/>
                  <w:noWrap w:val="0"/>
                  <w:vAlign w:val="center"/>
                </w:tcPr>
                <w:p w14:paraId="6196405D">
                  <w:pPr>
                    <w:pStyle w:val="11"/>
                    <w:tabs>
                      <w:tab w:val="left" w:pos="960"/>
                      <w:tab w:val="left" w:pos="8760"/>
                    </w:tabs>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0.511</w:t>
                  </w:r>
                </w:p>
              </w:tc>
              <w:tc>
                <w:tcPr>
                  <w:tcW w:w="713" w:type="dxa"/>
                  <w:noWrap w:val="0"/>
                  <w:vAlign w:val="center"/>
                </w:tcPr>
                <w:p w14:paraId="539A7097">
                  <w:pPr>
                    <w:pStyle w:val="11"/>
                    <w:tabs>
                      <w:tab w:val="left" w:pos="960"/>
                      <w:tab w:val="left" w:pos="8760"/>
                    </w:tabs>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40.88</w:t>
                  </w:r>
                </w:p>
              </w:tc>
              <w:tc>
                <w:tcPr>
                  <w:tcW w:w="570" w:type="dxa"/>
                  <w:vMerge w:val="continue"/>
                  <w:noWrap w:val="0"/>
                  <w:vAlign w:val="center"/>
                </w:tcPr>
                <w:p w14:paraId="666216AC">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585" w:type="dxa"/>
                  <w:vMerge w:val="continue"/>
                  <w:noWrap w:val="0"/>
                  <w:vAlign w:val="center"/>
                </w:tcPr>
                <w:p w14:paraId="599C0F0F">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435" w:type="dxa"/>
                  <w:vMerge w:val="continue"/>
                  <w:noWrap w:val="0"/>
                  <w:vAlign w:val="center"/>
                </w:tcPr>
                <w:p w14:paraId="50B5AE99">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495" w:type="dxa"/>
                  <w:vMerge w:val="continue"/>
                  <w:noWrap w:val="0"/>
                  <w:vAlign w:val="center"/>
                </w:tcPr>
                <w:p w14:paraId="2B8C7A6C">
                  <w:pPr>
                    <w:pStyle w:val="11"/>
                    <w:tabs>
                      <w:tab w:val="left" w:pos="960"/>
                      <w:tab w:val="left" w:pos="8760"/>
                    </w:tabs>
                    <w:spacing w:line="240" w:lineRule="auto"/>
                    <w:ind w:firstLine="0" w:firstLineChars="0"/>
                    <w:jc w:val="center"/>
                    <w:rPr>
                      <w:rFonts w:hint="eastAsia"/>
                      <w:color w:val="auto"/>
                      <w:sz w:val="21"/>
                      <w:szCs w:val="21"/>
                      <w:lang w:val="en-US" w:eastAsia="zh-CN"/>
                    </w:rPr>
                  </w:pPr>
                </w:p>
              </w:tc>
              <w:tc>
                <w:tcPr>
                  <w:tcW w:w="465" w:type="dxa"/>
                  <w:vMerge w:val="continue"/>
                  <w:noWrap w:val="0"/>
                  <w:vAlign w:val="center"/>
                </w:tcPr>
                <w:p w14:paraId="49E67BDD">
                  <w:pPr>
                    <w:pStyle w:val="11"/>
                    <w:tabs>
                      <w:tab w:val="left" w:pos="960"/>
                      <w:tab w:val="left" w:pos="8760"/>
                    </w:tabs>
                    <w:spacing w:line="240" w:lineRule="auto"/>
                    <w:ind w:firstLine="0" w:firstLineChars="0"/>
                    <w:jc w:val="center"/>
                    <w:rPr>
                      <w:rFonts w:hint="eastAsia" w:ascii="Times New Roman"/>
                      <w:color w:val="auto"/>
                      <w:sz w:val="21"/>
                      <w:szCs w:val="21"/>
                    </w:rPr>
                  </w:pPr>
                </w:p>
              </w:tc>
              <w:tc>
                <w:tcPr>
                  <w:tcW w:w="585" w:type="dxa"/>
                  <w:vMerge w:val="continue"/>
                  <w:noWrap w:val="0"/>
                  <w:vAlign w:val="center"/>
                </w:tcPr>
                <w:p w14:paraId="5F3EF7AE">
                  <w:pPr>
                    <w:pStyle w:val="11"/>
                    <w:tabs>
                      <w:tab w:val="left" w:pos="960"/>
                      <w:tab w:val="left" w:pos="8760"/>
                    </w:tabs>
                    <w:spacing w:line="240" w:lineRule="auto"/>
                    <w:ind w:firstLine="0" w:firstLineChars="0"/>
                    <w:rPr>
                      <w:rFonts w:hint="eastAsia" w:ascii="Times New Roman"/>
                      <w:color w:val="auto"/>
                      <w:sz w:val="21"/>
                      <w:szCs w:val="21"/>
                    </w:rPr>
                  </w:pPr>
                </w:p>
              </w:tc>
              <w:tc>
                <w:tcPr>
                  <w:tcW w:w="629" w:type="dxa"/>
                  <w:vMerge w:val="continue"/>
                  <w:noWrap w:val="0"/>
                  <w:vAlign w:val="center"/>
                </w:tcPr>
                <w:p w14:paraId="1854E379">
                  <w:pPr>
                    <w:pStyle w:val="11"/>
                    <w:tabs>
                      <w:tab w:val="left" w:pos="960"/>
                      <w:tab w:val="left" w:pos="8760"/>
                    </w:tabs>
                    <w:spacing w:line="240" w:lineRule="auto"/>
                    <w:ind w:firstLine="0" w:firstLineChars="0"/>
                    <w:rPr>
                      <w:rFonts w:hint="eastAsia" w:ascii="Times New Roman"/>
                      <w:color w:val="auto"/>
                      <w:sz w:val="21"/>
                      <w:szCs w:val="21"/>
                    </w:rPr>
                  </w:pPr>
                </w:p>
              </w:tc>
            </w:tr>
          </w:tbl>
          <w:p w14:paraId="0868A4E3">
            <w:pPr>
              <w:pStyle w:val="16"/>
              <w:spacing w:line="240" w:lineRule="auto"/>
              <w:ind w:firstLine="422" w:firstLineChars="20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4</w:t>
            </w:r>
            <w:r>
              <w:rPr>
                <w:rFonts w:hint="eastAsia"/>
                <w:b/>
                <w:bCs/>
                <w:color w:val="auto"/>
                <w:sz w:val="21"/>
                <w:szCs w:val="21"/>
              </w:rPr>
              <w:t xml:space="preserve"> 无组织废气产生及排放情况</w:t>
            </w:r>
          </w:p>
          <w:tbl>
            <w:tblPr>
              <w:tblStyle w:val="42"/>
              <w:tblW w:w="82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095"/>
              <w:gridCol w:w="1155"/>
              <w:gridCol w:w="1065"/>
              <w:gridCol w:w="1200"/>
              <w:gridCol w:w="795"/>
              <w:gridCol w:w="885"/>
              <w:gridCol w:w="853"/>
            </w:tblGrid>
            <w:tr w14:paraId="05500F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noWrap w:val="0"/>
                  <w:vAlign w:val="top"/>
                </w:tcPr>
                <w:p w14:paraId="1A01E824">
                  <w:pPr>
                    <w:pStyle w:val="16"/>
                    <w:spacing w:line="240" w:lineRule="auto"/>
                    <w:jc w:val="center"/>
                    <w:rPr>
                      <w:rFonts w:hint="eastAsia"/>
                      <w:b/>
                      <w:bCs/>
                      <w:color w:val="auto"/>
                      <w:sz w:val="21"/>
                      <w:szCs w:val="21"/>
                    </w:rPr>
                  </w:pPr>
                  <w:r>
                    <w:rPr>
                      <w:rFonts w:hint="eastAsia"/>
                      <w:b/>
                      <w:bCs/>
                      <w:color w:val="auto"/>
                      <w:sz w:val="21"/>
                      <w:szCs w:val="21"/>
                    </w:rPr>
                    <w:t>污染物</w:t>
                  </w:r>
                </w:p>
                <w:p w14:paraId="1D2579BB">
                  <w:pPr>
                    <w:pStyle w:val="16"/>
                    <w:spacing w:line="240" w:lineRule="auto"/>
                    <w:jc w:val="center"/>
                    <w:rPr>
                      <w:b/>
                      <w:bCs/>
                      <w:color w:val="auto"/>
                      <w:sz w:val="21"/>
                      <w:szCs w:val="21"/>
                    </w:rPr>
                  </w:pPr>
                  <w:r>
                    <w:rPr>
                      <w:rFonts w:hint="eastAsia"/>
                      <w:b/>
                      <w:bCs/>
                      <w:color w:val="auto"/>
                      <w:sz w:val="21"/>
                      <w:szCs w:val="21"/>
                    </w:rPr>
                    <w:t>位置</w:t>
                  </w:r>
                </w:p>
              </w:tc>
              <w:tc>
                <w:tcPr>
                  <w:tcW w:w="1095" w:type="dxa"/>
                  <w:noWrap w:val="0"/>
                  <w:vAlign w:val="top"/>
                </w:tcPr>
                <w:p w14:paraId="4D49FD29">
                  <w:pPr>
                    <w:pStyle w:val="16"/>
                    <w:spacing w:line="240" w:lineRule="auto"/>
                    <w:jc w:val="center"/>
                    <w:rPr>
                      <w:rFonts w:hint="eastAsia"/>
                      <w:b/>
                      <w:bCs/>
                      <w:color w:val="auto"/>
                      <w:sz w:val="21"/>
                      <w:szCs w:val="21"/>
                    </w:rPr>
                  </w:pPr>
                  <w:r>
                    <w:rPr>
                      <w:rFonts w:hint="eastAsia"/>
                      <w:b/>
                      <w:bCs/>
                      <w:color w:val="auto"/>
                      <w:sz w:val="21"/>
                      <w:szCs w:val="21"/>
                    </w:rPr>
                    <w:t>污染物</w:t>
                  </w:r>
                </w:p>
                <w:p w14:paraId="2400880E">
                  <w:pPr>
                    <w:pStyle w:val="16"/>
                    <w:spacing w:line="240" w:lineRule="auto"/>
                    <w:jc w:val="center"/>
                    <w:rPr>
                      <w:b/>
                      <w:bCs/>
                      <w:color w:val="auto"/>
                      <w:sz w:val="21"/>
                      <w:szCs w:val="21"/>
                    </w:rPr>
                  </w:pPr>
                  <w:r>
                    <w:rPr>
                      <w:rFonts w:hint="eastAsia"/>
                      <w:b/>
                      <w:bCs/>
                      <w:color w:val="auto"/>
                      <w:sz w:val="21"/>
                      <w:szCs w:val="21"/>
                    </w:rPr>
                    <w:t>名称</w:t>
                  </w:r>
                </w:p>
              </w:tc>
              <w:tc>
                <w:tcPr>
                  <w:tcW w:w="1155" w:type="dxa"/>
                  <w:noWrap w:val="0"/>
                  <w:vAlign w:val="top"/>
                </w:tcPr>
                <w:p w14:paraId="7BB7E60F">
                  <w:pPr>
                    <w:pStyle w:val="16"/>
                    <w:spacing w:line="240" w:lineRule="auto"/>
                    <w:jc w:val="center"/>
                    <w:rPr>
                      <w:rFonts w:hint="eastAsia"/>
                      <w:b/>
                      <w:bCs/>
                      <w:color w:val="auto"/>
                      <w:sz w:val="21"/>
                      <w:szCs w:val="21"/>
                    </w:rPr>
                  </w:pPr>
                  <w:r>
                    <w:rPr>
                      <w:rFonts w:hint="eastAsia"/>
                      <w:b/>
                      <w:bCs/>
                      <w:color w:val="auto"/>
                      <w:sz w:val="21"/>
                      <w:szCs w:val="21"/>
                    </w:rPr>
                    <w:t>产生量</w:t>
                  </w:r>
                </w:p>
                <w:p w14:paraId="518ED11D">
                  <w:pPr>
                    <w:pStyle w:val="16"/>
                    <w:spacing w:line="240" w:lineRule="auto"/>
                    <w:jc w:val="center"/>
                    <w:rPr>
                      <w:b/>
                      <w:bCs/>
                      <w:color w:val="auto"/>
                      <w:sz w:val="21"/>
                      <w:szCs w:val="21"/>
                    </w:rPr>
                  </w:pPr>
                  <w:r>
                    <w:rPr>
                      <w:rFonts w:hint="eastAsia"/>
                      <w:b/>
                      <w:bCs/>
                      <w:color w:val="auto"/>
                      <w:sz w:val="21"/>
                      <w:szCs w:val="21"/>
                    </w:rPr>
                    <w:t>t/a</w:t>
                  </w:r>
                </w:p>
              </w:tc>
              <w:tc>
                <w:tcPr>
                  <w:tcW w:w="1065" w:type="dxa"/>
                  <w:noWrap w:val="0"/>
                  <w:vAlign w:val="top"/>
                </w:tcPr>
                <w:p w14:paraId="67B74825">
                  <w:pPr>
                    <w:pStyle w:val="16"/>
                    <w:spacing w:line="240" w:lineRule="auto"/>
                    <w:jc w:val="center"/>
                    <w:rPr>
                      <w:b/>
                      <w:bCs/>
                      <w:color w:val="auto"/>
                      <w:sz w:val="21"/>
                      <w:szCs w:val="21"/>
                    </w:rPr>
                  </w:pPr>
                  <w:r>
                    <w:rPr>
                      <w:rFonts w:hint="eastAsia"/>
                      <w:b/>
                      <w:bCs/>
                      <w:color w:val="auto"/>
                      <w:sz w:val="21"/>
                      <w:szCs w:val="21"/>
                    </w:rPr>
                    <w:t>污染物排放量t/a</w:t>
                  </w:r>
                </w:p>
              </w:tc>
              <w:tc>
                <w:tcPr>
                  <w:tcW w:w="1200" w:type="dxa"/>
                  <w:noWrap w:val="0"/>
                  <w:vAlign w:val="top"/>
                </w:tcPr>
                <w:p w14:paraId="0E8A9C85">
                  <w:pPr>
                    <w:pStyle w:val="16"/>
                    <w:spacing w:line="240" w:lineRule="auto"/>
                    <w:jc w:val="center"/>
                    <w:rPr>
                      <w:b/>
                      <w:bCs/>
                      <w:color w:val="auto"/>
                      <w:sz w:val="21"/>
                      <w:szCs w:val="21"/>
                    </w:rPr>
                  </w:pPr>
                  <w:r>
                    <w:rPr>
                      <w:rFonts w:hint="eastAsia"/>
                      <w:b/>
                      <w:bCs/>
                      <w:color w:val="auto"/>
                      <w:sz w:val="21"/>
                      <w:szCs w:val="21"/>
                    </w:rPr>
                    <w:t>污染物排放速率kg/h</w:t>
                  </w:r>
                </w:p>
              </w:tc>
              <w:tc>
                <w:tcPr>
                  <w:tcW w:w="795" w:type="dxa"/>
                  <w:noWrap w:val="0"/>
                  <w:vAlign w:val="top"/>
                </w:tcPr>
                <w:p w14:paraId="402C740B">
                  <w:pPr>
                    <w:pStyle w:val="16"/>
                    <w:spacing w:line="240" w:lineRule="auto"/>
                    <w:jc w:val="center"/>
                    <w:rPr>
                      <w:b/>
                      <w:bCs/>
                      <w:color w:val="auto"/>
                      <w:sz w:val="21"/>
                      <w:szCs w:val="21"/>
                    </w:rPr>
                  </w:pPr>
                  <w:r>
                    <w:rPr>
                      <w:rFonts w:hint="eastAsia"/>
                      <w:b/>
                      <w:bCs/>
                      <w:color w:val="auto"/>
                      <w:sz w:val="21"/>
                      <w:szCs w:val="21"/>
                    </w:rPr>
                    <w:t>面源长度m</w:t>
                  </w:r>
                </w:p>
              </w:tc>
              <w:tc>
                <w:tcPr>
                  <w:tcW w:w="885" w:type="dxa"/>
                  <w:noWrap w:val="0"/>
                  <w:vAlign w:val="top"/>
                </w:tcPr>
                <w:p w14:paraId="0DF3C6F2">
                  <w:pPr>
                    <w:pStyle w:val="16"/>
                    <w:spacing w:line="240" w:lineRule="auto"/>
                    <w:jc w:val="center"/>
                    <w:rPr>
                      <w:b/>
                      <w:bCs/>
                      <w:color w:val="auto"/>
                      <w:sz w:val="21"/>
                      <w:szCs w:val="21"/>
                    </w:rPr>
                  </w:pPr>
                  <w:r>
                    <w:rPr>
                      <w:rFonts w:hint="eastAsia"/>
                      <w:b/>
                      <w:bCs/>
                      <w:color w:val="auto"/>
                      <w:sz w:val="21"/>
                      <w:szCs w:val="21"/>
                    </w:rPr>
                    <w:t>面源宽度m</w:t>
                  </w:r>
                </w:p>
              </w:tc>
              <w:tc>
                <w:tcPr>
                  <w:tcW w:w="853" w:type="dxa"/>
                  <w:noWrap w:val="0"/>
                  <w:vAlign w:val="top"/>
                </w:tcPr>
                <w:p w14:paraId="11142CAA">
                  <w:pPr>
                    <w:pStyle w:val="16"/>
                    <w:spacing w:line="240" w:lineRule="auto"/>
                    <w:jc w:val="center"/>
                    <w:rPr>
                      <w:b/>
                      <w:bCs/>
                      <w:color w:val="auto"/>
                      <w:sz w:val="21"/>
                      <w:szCs w:val="21"/>
                    </w:rPr>
                  </w:pPr>
                  <w:r>
                    <w:rPr>
                      <w:rFonts w:hint="eastAsia"/>
                      <w:b/>
                      <w:bCs/>
                      <w:color w:val="auto"/>
                      <w:sz w:val="21"/>
                      <w:szCs w:val="21"/>
                    </w:rPr>
                    <w:t>面源高度m</w:t>
                  </w:r>
                </w:p>
              </w:tc>
            </w:tr>
            <w:tr w14:paraId="16B5E7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09" w:type="dxa"/>
                  <w:noWrap w:val="0"/>
                  <w:vAlign w:val="center"/>
                </w:tcPr>
                <w:p w14:paraId="28DC4DC8">
                  <w:pPr>
                    <w:pStyle w:val="16"/>
                    <w:spacing w:line="240" w:lineRule="auto"/>
                    <w:jc w:val="center"/>
                    <w:rPr>
                      <w:color w:val="auto"/>
                      <w:sz w:val="21"/>
                      <w:szCs w:val="21"/>
                    </w:rPr>
                  </w:pPr>
                  <w:r>
                    <w:rPr>
                      <w:rFonts w:hint="eastAsia"/>
                      <w:color w:val="auto"/>
                      <w:sz w:val="21"/>
                      <w:szCs w:val="21"/>
                    </w:rPr>
                    <w:t>生产车间</w:t>
                  </w:r>
                </w:p>
              </w:tc>
              <w:tc>
                <w:tcPr>
                  <w:tcW w:w="1095" w:type="dxa"/>
                  <w:noWrap w:val="0"/>
                  <w:vAlign w:val="top"/>
                </w:tcPr>
                <w:p w14:paraId="06FAA0C8">
                  <w:pPr>
                    <w:pStyle w:val="16"/>
                    <w:spacing w:line="240" w:lineRule="auto"/>
                    <w:ind w:right="113"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非甲烷总烃</w:t>
                  </w:r>
                </w:p>
              </w:tc>
              <w:tc>
                <w:tcPr>
                  <w:tcW w:w="1155" w:type="dxa"/>
                  <w:noWrap w:val="0"/>
                  <w:vAlign w:val="center"/>
                </w:tcPr>
                <w:p w14:paraId="4B70206B">
                  <w:pPr>
                    <w:pStyle w:val="16"/>
                    <w:spacing w:line="240" w:lineRule="auto"/>
                    <w:ind w:right="113" w:righ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1065" w:type="dxa"/>
                  <w:noWrap w:val="0"/>
                  <w:vAlign w:val="center"/>
                </w:tcPr>
                <w:p w14:paraId="66CF2FA1">
                  <w:pPr>
                    <w:pStyle w:val="16"/>
                    <w:spacing w:line="240" w:lineRule="auto"/>
                    <w:ind w:right="113" w:righ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1200" w:type="dxa"/>
                  <w:noWrap w:val="0"/>
                  <w:vAlign w:val="center"/>
                </w:tcPr>
                <w:p w14:paraId="02569C7F">
                  <w:pPr>
                    <w:pStyle w:val="16"/>
                    <w:spacing w:line="240" w:lineRule="auto"/>
                    <w:ind w:right="113" w:righ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0.014</w:t>
                  </w:r>
                </w:p>
              </w:tc>
              <w:tc>
                <w:tcPr>
                  <w:tcW w:w="795" w:type="dxa"/>
                  <w:noWrap w:val="0"/>
                  <w:vAlign w:val="center"/>
                </w:tcPr>
                <w:p w14:paraId="357B5514">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80</w:t>
                  </w:r>
                </w:p>
              </w:tc>
              <w:tc>
                <w:tcPr>
                  <w:tcW w:w="885" w:type="dxa"/>
                  <w:noWrap w:val="0"/>
                  <w:vAlign w:val="center"/>
                </w:tcPr>
                <w:p w14:paraId="19CEA77A">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40</w:t>
                  </w:r>
                </w:p>
              </w:tc>
              <w:tc>
                <w:tcPr>
                  <w:tcW w:w="853" w:type="dxa"/>
                  <w:noWrap w:val="0"/>
                  <w:vAlign w:val="center"/>
                </w:tcPr>
                <w:p w14:paraId="62F75584">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10</w:t>
                  </w:r>
                </w:p>
              </w:tc>
            </w:tr>
          </w:tbl>
          <w:p w14:paraId="3AE55A05">
            <w:pPr>
              <w:jc w:val="center"/>
              <w:rPr>
                <w:color w:val="auto"/>
                <w:sz w:val="21"/>
                <w:szCs w:val="21"/>
              </w:rPr>
            </w:pPr>
            <w:r>
              <w:rPr>
                <w:rFonts w:hint="eastAsia"/>
                <w:b/>
                <w:bCs/>
                <w:color w:val="auto"/>
                <w:sz w:val="21"/>
                <w:szCs w:val="21"/>
              </w:rPr>
              <w:t>表4</w:t>
            </w:r>
            <w:r>
              <w:rPr>
                <w:b/>
                <w:bCs/>
                <w:color w:val="auto"/>
                <w:sz w:val="21"/>
                <w:szCs w:val="21"/>
              </w:rPr>
              <w:t>-</w:t>
            </w:r>
            <w:r>
              <w:rPr>
                <w:rFonts w:hint="eastAsia"/>
                <w:b/>
                <w:bCs/>
                <w:color w:val="auto"/>
                <w:sz w:val="21"/>
                <w:szCs w:val="21"/>
                <w:lang w:val="en-US" w:eastAsia="zh-CN"/>
              </w:rPr>
              <w:t>5</w:t>
            </w:r>
            <w:r>
              <w:rPr>
                <w:rFonts w:hint="eastAsia"/>
                <w:b/>
                <w:bCs/>
                <w:color w:val="auto"/>
                <w:sz w:val="21"/>
                <w:szCs w:val="21"/>
              </w:rPr>
              <w:t xml:space="preserve">  本</w:t>
            </w:r>
            <w:r>
              <w:rPr>
                <w:b/>
                <w:bCs/>
                <w:color w:val="auto"/>
                <w:sz w:val="21"/>
                <w:szCs w:val="21"/>
              </w:rPr>
              <w:t>项目</w:t>
            </w:r>
            <w:r>
              <w:rPr>
                <w:rFonts w:hint="eastAsia"/>
                <w:b/>
                <w:bCs/>
                <w:color w:val="auto"/>
                <w:sz w:val="21"/>
                <w:szCs w:val="21"/>
              </w:rPr>
              <w:t>废气排放口基本情况一览表</w:t>
            </w:r>
          </w:p>
          <w:tbl>
            <w:tblPr>
              <w:tblStyle w:val="42"/>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35"/>
              <w:gridCol w:w="903"/>
              <w:gridCol w:w="904"/>
              <w:gridCol w:w="1808"/>
              <w:gridCol w:w="1066"/>
              <w:gridCol w:w="889"/>
              <w:gridCol w:w="961"/>
              <w:gridCol w:w="801"/>
            </w:tblGrid>
            <w:tr w14:paraId="1253F85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566" w:type="pct"/>
                  <w:vMerge w:val="restart"/>
                  <w:noWrap w:val="0"/>
                  <w:vAlign w:val="center"/>
                </w:tcPr>
                <w:p w14:paraId="1B54F4F8">
                  <w:pPr>
                    <w:jc w:val="center"/>
                    <w:rPr>
                      <w:b/>
                      <w:bCs/>
                      <w:color w:val="auto"/>
                      <w:sz w:val="21"/>
                      <w:szCs w:val="21"/>
                    </w:rPr>
                  </w:pPr>
                  <w:r>
                    <w:rPr>
                      <w:rFonts w:hint="eastAsia"/>
                      <w:b/>
                      <w:bCs/>
                      <w:color w:val="auto"/>
                      <w:sz w:val="21"/>
                      <w:szCs w:val="21"/>
                    </w:rPr>
                    <w:t>排放口编号</w:t>
                  </w:r>
                </w:p>
              </w:tc>
              <w:tc>
                <w:tcPr>
                  <w:tcW w:w="546" w:type="pct"/>
                  <w:vMerge w:val="restart"/>
                  <w:noWrap w:val="0"/>
                  <w:vAlign w:val="center"/>
                </w:tcPr>
                <w:p w14:paraId="67B6E3F2">
                  <w:pPr>
                    <w:jc w:val="center"/>
                    <w:rPr>
                      <w:rFonts w:hint="eastAsia"/>
                      <w:b/>
                      <w:bCs/>
                      <w:color w:val="auto"/>
                      <w:sz w:val="21"/>
                      <w:szCs w:val="21"/>
                    </w:rPr>
                  </w:pPr>
                  <w:r>
                    <w:rPr>
                      <w:rFonts w:hint="eastAsia"/>
                      <w:b/>
                      <w:bCs/>
                      <w:color w:val="auto"/>
                      <w:sz w:val="21"/>
                      <w:szCs w:val="21"/>
                    </w:rPr>
                    <w:t>排放口</w:t>
                  </w:r>
                </w:p>
                <w:p w14:paraId="37A76CC7">
                  <w:pPr>
                    <w:jc w:val="center"/>
                    <w:rPr>
                      <w:b/>
                      <w:bCs/>
                      <w:color w:val="auto"/>
                      <w:sz w:val="21"/>
                      <w:szCs w:val="21"/>
                    </w:rPr>
                  </w:pPr>
                  <w:r>
                    <w:rPr>
                      <w:rFonts w:hint="eastAsia"/>
                      <w:b/>
                      <w:bCs/>
                      <w:color w:val="auto"/>
                      <w:sz w:val="21"/>
                      <w:szCs w:val="21"/>
                    </w:rPr>
                    <w:t>名称</w:t>
                  </w:r>
                </w:p>
              </w:tc>
              <w:tc>
                <w:tcPr>
                  <w:tcW w:w="546" w:type="pct"/>
                  <w:vMerge w:val="restart"/>
                  <w:noWrap w:val="0"/>
                  <w:vAlign w:val="center"/>
                </w:tcPr>
                <w:p w14:paraId="76E00FA4">
                  <w:pPr>
                    <w:jc w:val="center"/>
                    <w:rPr>
                      <w:b/>
                      <w:bCs/>
                      <w:color w:val="auto"/>
                      <w:sz w:val="21"/>
                      <w:szCs w:val="21"/>
                    </w:rPr>
                  </w:pPr>
                  <w:r>
                    <w:rPr>
                      <w:rFonts w:hint="eastAsia"/>
                      <w:b/>
                      <w:bCs/>
                      <w:color w:val="auto"/>
                      <w:sz w:val="21"/>
                      <w:szCs w:val="21"/>
                    </w:rPr>
                    <w:t>排放口类型</w:t>
                  </w:r>
                </w:p>
              </w:tc>
              <w:tc>
                <w:tcPr>
                  <w:tcW w:w="1737" w:type="pct"/>
                  <w:gridSpan w:val="2"/>
                  <w:noWrap w:val="0"/>
                  <w:vAlign w:val="center"/>
                </w:tcPr>
                <w:p w14:paraId="2D518D70">
                  <w:pPr>
                    <w:jc w:val="center"/>
                    <w:rPr>
                      <w:b/>
                      <w:bCs/>
                      <w:color w:val="auto"/>
                      <w:sz w:val="21"/>
                      <w:szCs w:val="21"/>
                    </w:rPr>
                  </w:pPr>
                  <w:r>
                    <w:rPr>
                      <w:rFonts w:hint="eastAsia"/>
                      <w:b/>
                      <w:bCs/>
                      <w:color w:val="auto"/>
                      <w:sz w:val="21"/>
                      <w:szCs w:val="21"/>
                    </w:rPr>
                    <w:t>排放口地理坐标</w:t>
                  </w:r>
                </w:p>
              </w:tc>
              <w:tc>
                <w:tcPr>
                  <w:tcW w:w="537" w:type="pct"/>
                  <w:vMerge w:val="restart"/>
                  <w:noWrap w:val="0"/>
                  <w:vAlign w:val="center"/>
                </w:tcPr>
                <w:p w14:paraId="2BD87064">
                  <w:pPr>
                    <w:jc w:val="center"/>
                    <w:rPr>
                      <w:b/>
                      <w:bCs/>
                      <w:color w:val="auto"/>
                      <w:sz w:val="21"/>
                      <w:szCs w:val="21"/>
                    </w:rPr>
                  </w:pPr>
                  <w:r>
                    <w:rPr>
                      <w:rFonts w:hint="eastAsia"/>
                      <w:b/>
                      <w:bCs/>
                      <w:color w:val="auto"/>
                      <w:sz w:val="21"/>
                      <w:szCs w:val="21"/>
                    </w:rPr>
                    <w:t>排气筒高度（m）</w:t>
                  </w:r>
                </w:p>
              </w:tc>
              <w:tc>
                <w:tcPr>
                  <w:tcW w:w="581" w:type="pct"/>
                  <w:vMerge w:val="restart"/>
                  <w:noWrap w:val="0"/>
                  <w:vAlign w:val="center"/>
                </w:tcPr>
                <w:p w14:paraId="0F343E83">
                  <w:pPr>
                    <w:jc w:val="center"/>
                    <w:rPr>
                      <w:b/>
                      <w:bCs/>
                      <w:color w:val="auto"/>
                      <w:sz w:val="21"/>
                      <w:szCs w:val="21"/>
                    </w:rPr>
                  </w:pPr>
                  <w:r>
                    <w:rPr>
                      <w:rFonts w:hint="eastAsia"/>
                      <w:b/>
                      <w:bCs/>
                      <w:color w:val="auto"/>
                      <w:sz w:val="21"/>
                      <w:szCs w:val="21"/>
                    </w:rPr>
                    <w:t>排气筒出口内径（m）</w:t>
                  </w:r>
                </w:p>
              </w:tc>
              <w:tc>
                <w:tcPr>
                  <w:tcW w:w="484" w:type="pct"/>
                  <w:vMerge w:val="restart"/>
                  <w:noWrap w:val="0"/>
                  <w:vAlign w:val="center"/>
                </w:tcPr>
                <w:p w14:paraId="33855ED5">
                  <w:pPr>
                    <w:jc w:val="center"/>
                    <w:rPr>
                      <w:b/>
                      <w:bCs/>
                      <w:color w:val="auto"/>
                      <w:sz w:val="21"/>
                      <w:szCs w:val="21"/>
                    </w:rPr>
                  </w:pPr>
                  <w:r>
                    <w:rPr>
                      <w:rFonts w:hint="eastAsia"/>
                      <w:b/>
                      <w:bCs/>
                      <w:color w:val="auto"/>
                      <w:sz w:val="21"/>
                      <w:szCs w:val="21"/>
                    </w:rPr>
                    <w:t>排气温度（℃）</w:t>
                  </w:r>
                </w:p>
              </w:tc>
            </w:tr>
            <w:tr w14:paraId="593BF8D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566" w:type="pct"/>
                  <w:vMerge w:val="continue"/>
                  <w:noWrap w:val="0"/>
                  <w:vAlign w:val="center"/>
                </w:tcPr>
                <w:p w14:paraId="58E0F9DD">
                  <w:pPr>
                    <w:jc w:val="center"/>
                    <w:rPr>
                      <w:color w:val="auto"/>
                      <w:sz w:val="21"/>
                      <w:szCs w:val="21"/>
                    </w:rPr>
                  </w:pPr>
                </w:p>
              </w:tc>
              <w:tc>
                <w:tcPr>
                  <w:tcW w:w="546" w:type="pct"/>
                  <w:vMerge w:val="continue"/>
                  <w:noWrap w:val="0"/>
                  <w:vAlign w:val="center"/>
                </w:tcPr>
                <w:p w14:paraId="10B79488">
                  <w:pPr>
                    <w:jc w:val="center"/>
                    <w:rPr>
                      <w:color w:val="auto"/>
                      <w:sz w:val="21"/>
                      <w:szCs w:val="21"/>
                    </w:rPr>
                  </w:pPr>
                </w:p>
              </w:tc>
              <w:tc>
                <w:tcPr>
                  <w:tcW w:w="546" w:type="pct"/>
                  <w:vMerge w:val="continue"/>
                  <w:noWrap w:val="0"/>
                  <w:vAlign w:val="center"/>
                </w:tcPr>
                <w:p w14:paraId="7F01F615">
                  <w:pPr>
                    <w:jc w:val="center"/>
                    <w:rPr>
                      <w:color w:val="auto"/>
                      <w:sz w:val="21"/>
                      <w:szCs w:val="21"/>
                    </w:rPr>
                  </w:pPr>
                </w:p>
              </w:tc>
              <w:tc>
                <w:tcPr>
                  <w:tcW w:w="910" w:type="pct"/>
                  <w:noWrap w:val="0"/>
                  <w:vAlign w:val="center"/>
                </w:tcPr>
                <w:p w14:paraId="43250FAA">
                  <w:pPr>
                    <w:jc w:val="center"/>
                    <w:rPr>
                      <w:b/>
                      <w:bCs/>
                      <w:color w:val="auto"/>
                      <w:sz w:val="21"/>
                      <w:szCs w:val="21"/>
                    </w:rPr>
                  </w:pPr>
                  <w:r>
                    <w:rPr>
                      <w:rFonts w:hint="eastAsia"/>
                      <w:b/>
                      <w:bCs/>
                      <w:color w:val="auto"/>
                      <w:sz w:val="21"/>
                      <w:szCs w:val="21"/>
                    </w:rPr>
                    <w:t>经度E</w:t>
                  </w:r>
                </w:p>
              </w:tc>
              <w:tc>
                <w:tcPr>
                  <w:tcW w:w="827" w:type="pct"/>
                  <w:noWrap w:val="0"/>
                  <w:vAlign w:val="center"/>
                </w:tcPr>
                <w:p w14:paraId="17EA4D8E">
                  <w:pPr>
                    <w:jc w:val="center"/>
                    <w:rPr>
                      <w:b/>
                      <w:bCs/>
                      <w:color w:val="auto"/>
                      <w:sz w:val="21"/>
                      <w:szCs w:val="21"/>
                    </w:rPr>
                  </w:pPr>
                  <w:r>
                    <w:rPr>
                      <w:rFonts w:hint="eastAsia"/>
                      <w:b/>
                      <w:bCs/>
                      <w:color w:val="auto"/>
                      <w:sz w:val="21"/>
                      <w:szCs w:val="21"/>
                    </w:rPr>
                    <w:t>纬度N</w:t>
                  </w:r>
                </w:p>
              </w:tc>
              <w:tc>
                <w:tcPr>
                  <w:tcW w:w="537" w:type="pct"/>
                  <w:vMerge w:val="continue"/>
                  <w:noWrap w:val="0"/>
                  <w:vAlign w:val="center"/>
                </w:tcPr>
                <w:p w14:paraId="6BFB479D">
                  <w:pPr>
                    <w:jc w:val="center"/>
                    <w:rPr>
                      <w:rFonts w:hint="eastAsia"/>
                      <w:b/>
                      <w:bCs/>
                      <w:color w:val="auto"/>
                      <w:sz w:val="21"/>
                      <w:szCs w:val="21"/>
                    </w:rPr>
                  </w:pPr>
                </w:p>
              </w:tc>
              <w:tc>
                <w:tcPr>
                  <w:tcW w:w="581" w:type="pct"/>
                  <w:vMerge w:val="continue"/>
                  <w:noWrap w:val="0"/>
                  <w:vAlign w:val="center"/>
                </w:tcPr>
                <w:p w14:paraId="113AECA4">
                  <w:pPr>
                    <w:jc w:val="center"/>
                    <w:rPr>
                      <w:rFonts w:hint="eastAsia"/>
                      <w:b/>
                      <w:bCs/>
                      <w:color w:val="auto"/>
                      <w:sz w:val="21"/>
                      <w:szCs w:val="21"/>
                    </w:rPr>
                  </w:pPr>
                </w:p>
              </w:tc>
              <w:tc>
                <w:tcPr>
                  <w:tcW w:w="484" w:type="pct"/>
                  <w:vMerge w:val="continue"/>
                  <w:noWrap w:val="0"/>
                  <w:vAlign w:val="center"/>
                </w:tcPr>
                <w:p w14:paraId="29E85E54">
                  <w:pPr>
                    <w:jc w:val="center"/>
                    <w:rPr>
                      <w:b/>
                      <w:bCs/>
                      <w:color w:val="auto"/>
                      <w:sz w:val="21"/>
                      <w:szCs w:val="21"/>
                    </w:rPr>
                  </w:pPr>
                </w:p>
              </w:tc>
            </w:tr>
            <w:tr w14:paraId="6D7D994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566" w:type="pct"/>
                  <w:noWrap w:val="0"/>
                  <w:vAlign w:val="center"/>
                </w:tcPr>
                <w:p w14:paraId="7FAD643F">
                  <w:pPr>
                    <w:jc w:val="center"/>
                    <w:rPr>
                      <w:rFonts w:hint="default" w:eastAsia="宋体"/>
                      <w:color w:val="auto"/>
                      <w:sz w:val="21"/>
                      <w:szCs w:val="21"/>
                      <w:lang w:val="en-US" w:eastAsia="zh-CN"/>
                    </w:rPr>
                  </w:pPr>
                  <w:r>
                    <w:rPr>
                      <w:rFonts w:hint="eastAsia"/>
                      <w:color w:val="auto"/>
                      <w:sz w:val="21"/>
                      <w:szCs w:val="21"/>
                      <w:lang w:val="en-US" w:eastAsia="zh-CN"/>
                    </w:rPr>
                    <w:t>DA001</w:t>
                  </w:r>
                </w:p>
              </w:tc>
              <w:tc>
                <w:tcPr>
                  <w:tcW w:w="546" w:type="pct"/>
                  <w:noWrap w:val="0"/>
                  <w:vAlign w:val="center"/>
                </w:tcPr>
                <w:p w14:paraId="0EFE9D92">
                  <w:pPr>
                    <w:jc w:val="center"/>
                    <w:rPr>
                      <w:color w:val="auto"/>
                      <w:sz w:val="21"/>
                      <w:szCs w:val="21"/>
                    </w:rPr>
                  </w:pPr>
                  <w:r>
                    <w:rPr>
                      <w:rFonts w:hint="eastAsia"/>
                      <w:color w:val="auto"/>
                      <w:sz w:val="21"/>
                      <w:szCs w:val="21"/>
                    </w:rPr>
                    <w:t>排气筒</w:t>
                  </w:r>
                </w:p>
              </w:tc>
              <w:tc>
                <w:tcPr>
                  <w:tcW w:w="546" w:type="pct"/>
                  <w:noWrap w:val="0"/>
                  <w:vAlign w:val="center"/>
                </w:tcPr>
                <w:p w14:paraId="57B58483">
                  <w:pPr>
                    <w:jc w:val="center"/>
                    <w:rPr>
                      <w:color w:val="auto"/>
                      <w:sz w:val="21"/>
                      <w:szCs w:val="21"/>
                    </w:rPr>
                  </w:pPr>
                  <w:r>
                    <w:rPr>
                      <w:rFonts w:hint="eastAsia"/>
                      <w:color w:val="auto"/>
                      <w:sz w:val="21"/>
                      <w:szCs w:val="21"/>
                    </w:rPr>
                    <w:t>一般排放口</w:t>
                  </w:r>
                </w:p>
              </w:tc>
              <w:tc>
                <w:tcPr>
                  <w:tcW w:w="910" w:type="pct"/>
                  <w:noWrap w:val="0"/>
                  <w:vAlign w:val="center"/>
                </w:tcPr>
                <w:p w14:paraId="3F7CB493">
                  <w:pPr>
                    <w:jc w:val="center"/>
                    <w:rPr>
                      <w:color w:val="auto"/>
                      <w:sz w:val="21"/>
                      <w:szCs w:val="21"/>
                    </w:rPr>
                  </w:pPr>
                  <w:r>
                    <w:rPr>
                      <w:rFonts w:hint="eastAsia" w:ascii="Times New Roman"/>
                      <w:color w:val="auto"/>
                      <w:sz w:val="21"/>
                      <w:szCs w:val="21"/>
                    </w:rPr>
                    <w:t>121.127199</w:t>
                  </w:r>
                </w:p>
              </w:tc>
              <w:tc>
                <w:tcPr>
                  <w:tcW w:w="827" w:type="pct"/>
                  <w:noWrap w:val="0"/>
                  <w:vAlign w:val="center"/>
                </w:tcPr>
                <w:p w14:paraId="02B7BAC9">
                  <w:pPr>
                    <w:jc w:val="center"/>
                    <w:rPr>
                      <w:color w:val="auto"/>
                      <w:sz w:val="21"/>
                      <w:szCs w:val="21"/>
                    </w:rPr>
                  </w:pPr>
                  <w:r>
                    <w:rPr>
                      <w:rFonts w:hint="eastAsia" w:ascii="Times New Roman"/>
                      <w:color w:val="auto"/>
                      <w:sz w:val="21"/>
                      <w:szCs w:val="21"/>
                    </w:rPr>
                    <w:t>31.814892</w:t>
                  </w:r>
                </w:p>
              </w:tc>
              <w:tc>
                <w:tcPr>
                  <w:tcW w:w="537" w:type="pct"/>
                  <w:noWrap w:val="0"/>
                  <w:vAlign w:val="center"/>
                </w:tcPr>
                <w:p w14:paraId="5FF86C4A">
                  <w:pPr>
                    <w:jc w:val="center"/>
                    <w:rPr>
                      <w:color w:val="auto"/>
                      <w:sz w:val="21"/>
                      <w:szCs w:val="21"/>
                    </w:rPr>
                  </w:pPr>
                  <w:r>
                    <w:rPr>
                      <w:rFonts w:hint="eastAsia"/>
                      <w:color w:val="auto"/>
                      <w:sz w:val="21"/>
                      <w:szCs w:val="21"/>
                    </w:rPr>
                    <w:t>15</w:t>
                  </w:r>
                </w:p>
              </w:tc>
              <w:tc>
                <w:tcPr>
                  <w:tcW w:w="581" w:type="pct"/>
                  <w:noWrap w:val="0"/>
                  <w:vAlign w:val="center"/>
                </w:tcPr>
                <w:p w14:paraId="251A5FD5">
                  <w:pPr>
                    <w:jc w:val="center"/>
                    <w:rPr>
                      <w:rFonts w:hint="eastAsia" w:eastAsia="宋体"/>
                      <w:color w:val="auto"/>
                      <w:sz w:val="21"/>
                      <w:szCs w:val="21"/>
                      <w:lang w:eastAsia="zh-CN"/>
                    </w:rPr>
                  </w:pPr>
                  <w:r>
                    <w:rPr>
                      <w:rFonts w:hint="eastAsia"/>
                      <w:color w:val="auto"/>
                      <w:sz w:val="21"/>
                      <w:szCs w:val="21"/>
                      <w:lang w:val="en-US" w:eastAsia="zh-CN"/>
                    </w:rPr>
                    <w:t>1</w:t>
                  </w:r>
                </w:p>
              </w:tc>
              <w:tc>
                <w:tcPr>
                  <w:tcW w:w="484" w:type="pct"/>
                  <w:noWrap w:val="0"/>
                  <w:vAlign w:val="center"/>
                </w:tcPr>
                <w:p w14:paraId="47F76DB5">
                  <w:pPr>
                    <w:jc w:val="center"/>
                    <w:rPr>
                      <w:rFonts w:hint="default" w:eastAsia="宋体"/>
                      <w:color w:val="auto"/>
                      <w:sz w:val="21"/>
                      <w:szCs w:val="21"/>
                      <w:lang w:val="en-US" w:eastAsia="zh-CN"/>
                    </w:rPr>
                  </w:pPr>
                  <w:r>
                    <w:rPr>
                      <w:rFonts w:hint="eastAsia"/>
                      <w:color w:val="auto"/>
                      <w:sz w:val="21"/>
                      <w:szCs w:val="21"/>
                      <w:lang w:val="en-US" w:eastAsia="zh-CN"/>
                    </w:rPr>
                    <w:t>50</w:t>
                  </w:r>
                </w:p>
              </w:tc>
            </w:tr>
          </w:tbl>
          <w:p w14:paraId="30FBA06A">
            <w:pPr>
              <w:pStyle w:val="16"/>
              <w:spacing w:line="240" w:lineRule="auto"/>
              <w:jc w:val="center"/>
              <w:rPr>
                <w:rFonts w:hint="eastAsia"/>
                <w:b/>
                <w:bCs/>
                <w:color w:val="auto"/>
                <w:sz w:val="21"/>
                <w:szCs w:val="21"/>
              </w:rPr>
            </w:pPr>
            <w:r>
              <w:rPr>
                <w:color w:val="auto"/>
                <w:sz w:val="21"/>
              </w:rPr>
              <mc:AlternateContent>
                <mc:Choice Requires="wpc">
                  <w:drawing>
                    <wp:inline distT="0" distB="0" distL="114300" distR="114300">
                      <wp:extent cx="5398770" cy="1390015"/>
                      <wp:effectExtent l="0" t="0" r="0" b="0"/>
                      <wp:docPr id="214" name="画布 214"/>
                      <wp:cNvGraphicFramePr/>
                      <a:graphic xmlns:a="http://schemas.openxmlformats.org/drawingml/2006/main">
                        <a:graphicData uri="http://schemas.microsoft.com/office/word/2010/wordprocessingCanvas">
                          <wpc:wpc>
                            <wpc:bg/>
                            <wpc:whole/>
                            <wps:wsp>
                              <wps:cNvPr id="219" name="矩形 104"/>
                              <wps:cNvSpPr/>
                              <wps:spPr>
                                <a:xfrm>
                                  <a:off x="202565" y="347980"/>
                                  <a:ext cx="1169035" cy="5899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330E6">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天然气燃烧废气</w:t>
                                    </w:r>
                                  </w:p>
                                  <w:p w14:paraId="660C3BA9">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颗粒物、SO</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、NO</w:t>
                                    </w:r>
                                    <w:r>
                                      <w:rPr>
                                        <w:rFonts w:hint="eastAsia"/>
                                        <w:color w:val="000000" w:themeColor="text1"/>
                                        <w:sz w:val="18"/>
                                        <w:szCs w:val="18"/>
                                        <w:vertAlign w:val="subscript"/>
                                        <w:lang w:val="en-US" w:eastAsia="zh-CN"/>
                                        <w14:textFill>
                                          <w14:solidFill>
                                            <w14:schemeClr w14:val="tx1"/>
                                          </w14:solidFill>
                                        </w14:textFill>
                                      </w:rPr>
                                      <w:t>X</w:t>
                                    </w:r>
                                  </w:p>
                                  <w:p w14:paraId="7A7AEF2F">
                                    <w:pPr>
                                      <w:jc w:val="center"/>
                                      <w:rPr>
                                        <w:rFonts w:hint="default" w:eastAsia="宋体"/>
                                        <w:color w:val="000000" w:themeColor="text1"/>
                                        <w:sz w:val="18"/>
                                        <w:szCs w:val="18"/>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1" name="矩形 108"/>
                              <wps:cNvSpPr/>
                              <wps:spPr>
                                <a:xfrm>
                                  <a:off x="1706880" y="308610"/>
                                  <a:ext cx="1200785"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0BC3E">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低氮燃烧装置</w:t>
                                    </w:r>
                                  </w:p>
                                  <w:p w14:paraId="64765BB4">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（处理率50%）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7" name="直接箭头连接符 116"/>
                              <wps:cNvCnPr/>
                              <wps:spPr>
                                <a:xfrm>
                                  <a:off x="1416685" y="647700"/>
                                  <a:ext cx="233045"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直接箭头连接符 118"/>
                              <wps:cNvCnPr/>
                              <wps:spPr>
                                <a:xfrm>
                                  <a:off x="2974975" y="628650"/>
                                  <a:ext cx="2165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矩形 119"/>
                              <wps:cNvSpPr/>
                              <wps:spPr>
                                <a:xfrm>
                                  <a:off x="3235960" y="244475"/>
                                  <a:ext cx="92202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2C3F8">
                                    <w:pPr>
                                      <w:jc w:val="center"/>
                                      <w:rPr>
                                        <w:rFonts w:hint="default" w:eastAsia="宋体"/>
                                        <w:color w:val="FF0000"/>
                                        <w:lang w:val="en-US" w:eastAsia="zh-CN"/>
                                      </w:rPr>
                                    </w:pPr>
                                    <w:r>
                                      <w:rPr>
                                        <w:rFonts w:hint="eastAsia"/>
                                        <w:color w:val="000000" w:themeColor="text1"/>
                                        <w:lang w:val="en-US" w:eastAsia="zh-CN"/>
                                        <w14:textFill>
                                          <w14:solidFill>
                                            <w14:schemeClr w14:val="tx1"/>
                                          </w14:solidFill>
                                        </w14:textFill>
                                      </w:rPr>
                                      <w:t>排气筒DA001</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09.45pt;width:425.1pt;" coordsize="5398770,1390015" editas="canvas" o:gfxdata="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B2CHZS1gAAAAUBAAAPAAAAAAAAAAEAIAAAACIAAABkcnMv&#10;ZG93bnJldi54bWxQSwECFAAUAAAACACHTuJASyrOyAYEAACpDwAADgAAAAAAAAABACAAAAAlAQAA&#10;ZHJzL2Uyb0RvYy54bWxQSwUGAAAAAAYABgBZAQAAnQcAAAAA&#10;">
                      <o:lock v:ext="edit" aspectratio="f"/>
                      <v:shape id="_x0000_s1026" o:spid="_x0000_s1026" style="position:absolute;left:0;top:0;height:1390015;width:5398770;" filled="f" stroked="f" coordsize="21600,21600" o:gfxdata="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B2&#10;CHZS1gAAAAUBAAAPAAAAAAAAAAEAIAAAACIAAABkcnMvZG93bnJldi54bWxQSwECFAAUAAAACACH&#10;TuJAWLqv5LUDAADsDgAADgAAAAAAAAABACAAAAAlAQAAZHJzL2Uyb0RvYy54bWxQSwUGAAAAAAYA&#10;BgBZAQAATAcAAAAA&#10;">
                        <v:fill on="f" focussize="0,0"/>
                        <v:stroke on="f"/>
                        <v:imagedata o:title=""/>
                        <o:lock v:ext="edit" aspectratio="f"/>
                      </v:shape>
                      <v:rect id="矩形 104" o:spid="_x0000_s1026" o:spt="1" style="position:absolute;left:202565;top:347980;height:589915;width:1169035;v-text-anchor:middle;" filled="f" stroked="t" coordsize="21600,21600" o:gfxdata="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m/yETVAAAABQEAAA8AAAAAAAAAAQAgAAAAIgAAAGRycy9kb3ducmV2&#10;LnhtbFBLAQIUABQAAAAIAIdO4kAJ3Q2ccQIAAM0EAAAOAAAAAAAAAAEAIAAAACQBAABkcnMvZTJv&#10;RG9jLnhtbFBLBQYAAAAABgAGAFkBAAAHBgAAAAA=&#10;">
                        <v:fill on="f" focussize="0,0"/>
                        <v:stroke weight="1pt" color="#000000 [3213]" joinstyle="round"/>
                        <v:imagedata o:title=""/>
                        <o:lock v:ext="edit" aspectratio="f"/>
                        <v:textbox>
                          <w:txbxContent>
                            <w:p w14:paraId="120330E6">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天然气燃烧废气</w:t>
                              </w:r>
                            </w:p>
                            <w:p w14:paraId="660C3BA9">
                              <w:pPr>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颗粒物、SO</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、NO</w:t>
                              </w:r>
                              <w:r>
                                <w:rPr>
                                  <w:rFonts w:hint="eastAsia"/>
                                  <w:color w:val="000000" w:themeColor="text1"/>
                                  <w:sz w:val="18"/>
                                  <w:szCs w:val="18"/>
                                  <w:vertAlign w:val="subscript"/>
                                  <w:lang w:val="en-US" w:eastAsia="zh-CN"/>
                                  <w14:textFill>
                                    <w14:solidFill>
                                      <w14:schemeClr w14:val="tx1"/>
                                    </w14:solidFill>
                                  </w14:textFill>
                                </w:rPr>
                                <w:t>X</w:t>
                              </w:r>
                            </w:p>
                            <w:p w14:paraId="7A7AEF2F">
                              <w:pPr>
                                <w:jc w:val="center"/>
                                <w:rPr>
                                  <w:rFonts w:hint="default" w:eastAsia="宋体"/>
                                  <w:color w:val="000000" w:themeColor="text1"/>
                                  <w:sz w:val="18"/>
                                  <w:szCs w:val="18"/>
                                  <w:lang w:val="en-US" w:eastAsia="zh-CN"/>
                                  <w14:textFill>
                                    <w14:solidFill>
                                      <w14:schemeClr w14:val="tx1"/>
                                    </w14:solidFill>
                                  </w14:textFill>
                                </w:rPr>
                              </w:pPr>
                            </w:p>
                          </w:txbxContent>
                        </v:textbox>
                      </v:rect>
                      <v:rect id="矩形 108" o:spid="_x0000_s1026" o:spt="1" style="position:absolute;left:1706880;top:308610;height:769620;width:1200785;v-text-anchor:middle;" filled="f" stroked="t" coordsize="21600,21600" o:gfxdata="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Zv8hE1QAAAAUBAAAPAAAAAAAAAAEAIAAAACIAAABkcnMvZG93bnJldi54&#10;bWxQSwECFAAUAAAACACHTuJALoaS328CAADOBAAADgAAAAAAAAABACAAAAAkAQAAZHJzL2Uyb0Rv&#10;Yy54bWxQSwUGAAAAAAYABgBZAQAABQYAAAAA&#10;">
                        <v:fill on="f" focussize="0,0"/>
                        <v:stroke weight="1pt" color="#000000 [3213]" joinstyle="round"/>
                        <v:imagedata o:title=""/>
                        <o:lock v:ext="edit" aspectratio="f"/>
                        <v:textbox>
                          <w:txbxContent>
                            <w:p w14:paraId="2B40BC3E">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低氮燃烧装置</w:t>
                              </w:r>
                            </w:p>
                            <w:p w14:paraId="64765BB4">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（处理率50%）</w:t>
                              </w:r>
                            </w:p>
                          </w:txbxContent>
                        </v:textbox>
                      </v:rect>
                      <v:shape id="直接箭头连接符 116" o:spid="_x0000_s1026" o:spt="32" type="#_x0000_t32" style="position:absolute;left:1416685;top:647700;height:7620;width:233045;" filled="f" stroked="t" coordsize="21600,21600" o:gfxdata="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&#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lUZ1AAAAAUBAAAPAAAAAAAAAAEAIAAAACIAAABk&#10;cnMvZG93bnJldi54bWxQSwECFAAUAAAACACHTuJAgtxgJAoCAADYAwAADgAAAAAAAAABACAAAAAj&#10;AQAAZHJzL2Uyb0RvYy54bWxQSwUGAAAAAAYABgBZAQAAnwUAAAAA&#10;">
                        <v:fill on="f" focussize="0,0"/>
                        <v:stroke color="#000000 [3213]" joinstyle="round" endarrow="open"/>
                        <v:imagedata o:title=""/>
                        <o:lock v:ext="edit" aspectratio="f"/>
                      </v:shape>
                      <v:shape id="直接箭头连接符 118" o:spid="_x0000_s1026" o:spt="32" type="#_x0000_t32" style="position:absolute;left:2974975;top:628650;height:0;width:216535;" filled="f" stroked="t" coordsize="21600,21600" o:gfxdata="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P5VGdQAAAAFAQAADwAAAAAAAAABACAAAAAiAAAAZHJzL2Rv&#10;d25yZXYueG1sUEsBAhQAFAAAAAgAh07iQLO9po0FAgAA1QMAAA4AAAAAAAAAAQAgAAAAIwEAAGRy&#10;cy9lMm9Eb2MueG1sUEsFBgAAAAAGAAYAWQEAAJoFAAAAAA==&#10;">
                        <v:fill on="f" focussize="0,0"/>
                        <v:stroke color="#000000 [3213]" joinstyle="round" endarrow="open"/>
                        <v:imagedata o:title=""/>
                        <o:lock v:ext="edit" aspectratio="f"/>
                      </v:shape>
                      <v:rect id="矩形 119" o:spid="_x0000_s1026" o:spt="1" style="position:absolute;left:3235960;top:244475;height:704850;width:922020;v-text-anchor:middle;" filled="f" stroked="f" coordsize="21600,21600" o:gfxdata="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Lup91QAAAAUBAAAPAAAAAAAAAAEAIAAAACIAAABkcnMvZG93bnJldi54bWxQSwECFAAUAAAACACH&#10;TuJA29en3WACAACkBAAADgAAAAAAAAABACAAAAAkAQAAZHJzL2Uyb0RvYy54bWxQSwUGAAAAAAYA&#10;BgBZAQAA9gUAAAAA&#10;">
                        <v:fill on="f" focussize="0,0"/>
                        <v:stroke on="f" weight="2pt"/>
                        <v:imagedata o:title=""/>
                        <o:lock v:ext="edit" aspectratio="f"/>
                        <v:textbox>
                          <w:txbxContent>
                            <w:p w14:paraId="2162C3F8">
                              <w:pPr>
                                <w:jc w:val="center"/>
                                <w:rPr>
                                  <w:rFonts w:hint="default" w:eastAsia="宋体"/>
                                  <w:color w:val="FF0000"/>
                                  <w:lang w:val="en-US" w:eastAsia="zh-CN"/>
                                </w:rPr>
                              </w:pPr>
                              <w:r>
                                <w:rPr>
                                  <w:rFonts w:hint="eastAsia"/>
                                  <w:color w:val="000000" w:themeColor="text1"/>
                                  <w:lang w:val="en-US" w:eastAsia="zh-CN"/>
                                  <w14:textFill>
                                    <w14:solidFill>
                                      <w14:schemeClr w14:val="tx1"/>
                                    </w14:solidFill>
                                  </w14:textFill>
                                </w:rPr>
                                <w:t>排气筒DA001</w:t>
                              </w:r>
                            </w:p>
                          </w:txbxContent>
                        </v:textbox>
                      </v:rect>
                      <w10:wrap type="none"/>
                      <w10:anchorlock/>
                    </v:group>
                  </w:pict>
                </mc:Fallback>
              </mc:AlternateContent>
            </w:r>
            <w:r>
              <w:rPr>
                <w:rFonts w:hint="eastAsia"/>
                <w:b/>
                <w:bCs/>
                <w:color w:val="auto"/>
                <w:sz w:val="21"/>
                <w:szCs w:val="21"/>
              </w:rPr>
              <w:t>表4-</w:t>
            </w:r>
            <w:r>
              <w:rPr>
                <w:rFonts w:hint="eastAsia"/>
                <w:b/>
                <w:bCs/>
                <w:color w:val="auto"/>
                <w:sz w:val="21"/>
                <w:szCs w:val="21"/>
                <w:lang w:val="en-US" w:eastAsia="zh-CN"/>
              </w:rPr>
              <w:t>6</w:t>
            </w:r>
            <w:r>
              <w:rPr>
                <w:rFonts w:hint="eastAsia"/>
                <w:b/>
                <w:bCs/>
                <w:color w:val="auto"/>
                <w:sz w:val="21"/>
                <w:szCs w:val="21"/>
              </w:rPr>
              <w:t xml:space="preserve"> 废气非正常排放情况</w:t>
            </w:r>
          </w:p>
          <w:tbl>
            <w:tblPr>
              <w:tblStyle w:val="42"/>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53"/>
              <w:gridCol w:w="841"/>
              <w:gridCol w:w="841"/>
              <w:gridCol w:w="841"/>
              <w:gridCol w:w="1188"/>
              <w:gridCol w:w="975"/>
              <w:gridCol w:w="844"/>
              <w:gridCol w:w="942"/>
            </w:tblGrid>
            <w:tr w14:paraId="17B104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 w:type="dxa"/>
                  <w:tcBorders>
                    <w:tl2br w:val="nil"/>
                    <w:tr2bl w:val="nil"/>
                  </w:tcBorders>
                  <w:noWrap w:val="0"/>
                  <w:vAlign w:val="center"/>
                </w:tcPr>
                <w:p w14:paraId="409E886F">
                  <w:pPr>
                    <w:pStyle w:val="16"/>
                    <w:spacing w:line="240" w:lineRule="auto"/>
                    <w:jc w:val="center"/>
                    <w:rPr>
                      <w:b/>
                      <w:bCs/>
                      <w:color w:val="auto"/>
                      <w:sz w:val="21"/>
                      <w:szCs w:val="21"/>
                    </w:rPr>
                  </w:pPr>
                  <w:r>
                    <w:rPr>
                      <w:rFonts w:hint="eastAsia"/>
                      <w:b/>
                      <w:bCs/>
                      <w:color w:val="auto"/>
                      <w:sz w:val="21"/>
                      <w:szCs w:val="21"/>
                    </w:rPr>
                    <w:t>非正常排放源</w:t>
                  </w:r>
                </w:p>
              </w:tc>
              <w:tc>
                <w:tcPr>
                  <w:tcW w:w="953" w:type="dxa"/>
                  <w:tcBorders>
                    <w:tl2br w:val="nil"/>
                    <w:tr2bl w:val="nil"/>
                  </w:tcBorders>
                  <w:noWrap w:val="0"/>
                  <w:vAlign w:val="center"/>
                </w:tcPr>
                <w:p w14:paraId="4F3E8419">
                  <w:pPr>
                    <w:pStyle w:val="16"/>
                    <w:spacing w:line="240" w:lineRule="auto"/>
                    <w:jc w:val="center"/>
                    <w:rPr>
                      <w:b/>
                      <w:bCs/>
                      <w:color w:val="auto"/>
                      <w:sz w:val="21"/>
                      <w:szCs w:val="21"/>
                    </w:rPr>
                  </w:pPr>
                  <w:r>
                    <w:rPr>
                      <w:rFonts w:hint="eastAsia"/>
                      <w:b/>
                      <w:bCs/>
                      <w:color w:val="auto"/>
                      <w:sz w:val="21"/>
                      <w:szCs w:val="21"/>
                    </w:rPr>
                    <w:t>非正常排放原因</w:t>
                  </w:r>
                </w:p>
              </w:tc>
              <w:tc>
                <w:tcPr>
                  <w:tcW w:w="841" w:type="dxa"/>
                  <w:tcBorders>
                    <w:tl2br w:val="nil"/>
                    <w:tr2bl w:val="nil"/>
                  </w:tcBorders>
                  <w:noWrap w:val="0"/>
                  <w:vAlign w:val="center"/>
                </w:tcPr>
                <w:p w14:paraId="2C2D989F">
                  <w:pPr>
                    <w:pStyle w:val="16"/>
                    <w:spacing w:line="240" w:lineRule="auto"/>
                    <w:jc w:val="center"/>
                    <w:rPr>
                      <w:rFonts w:hint="eastAsia" w:eastAsia="宋体"/>
                      <w:b/>
                      <w:bCs/>
                      <w:color w:val="auto"/>
                      <w:sz w:val="21"/>
                      <w:szCs w:val="21"/>
                      <w:lang w:val="en-US" w:eastAsia="zh-CN"/>
                    </w:rPr>
                  </w:pPr>
                  <w:r>
                    <w:rPr>
                      <w:rFonts w:hint="eastAsia"/>
                      <w:b/>
                      <w:bCs/>
                      <w:color w:val="auto"/>
                      <w:sz w:val="21"/>
                      <w:szCs w:val="21"/>
                      <w:lang w:val="en-US" w:eastAsia="zh-CN"/>
                    </w:rPr>
                    <w:t>污染物</w:t>
                  </w:r>
                </w:p>
              </w:tc>
              <w:tc>
                <w:tcPr>
                  <w:tcW w:w="841" w:type="dxa"/>
                  <w:tcBorders>
                    <w:tl2br w:val="nil"/>
                    <w:tr2bl w:val="nil"/>
                  </w:tcBorders>
                  <w:noWrap w:val="0"/>
                  <w:vAlign w:val="center"/>
                </w:tcPr>
                <w:p w14:paraId="5266FB79">
                  <w:pPr>
                    <w:pStyle w:val="16"/>
                    <w:spacing w:line="240" w:lineRule="auto"/>
                    <w:jc w:val="center"/>
                    <w:rPr>
                      <w:rFonts w:hint="default"/>
                      <w:b/>
                      <w:bCs/>
                      <w:color w:val="auto"/>
                      <w:sz w:val="21"/>
                      <w:szCs w:val="21"/>
                      <w:lang w:val="en-US" w:eastAsia="zh-CN"/>
                    </w:rPr>
                  </w:pPr>
                  <w:r>
                    <w:rPr>
                      <w:rFonts w:hint="eastAsia"/>
                      <w:b/>
                      <w:bCs/>
                      <w:color w:val="auto"/>
                      <w:sz w:val="21"/>
                      <w:szCs w:val="21"/>
                      <w:lang w:val="en-US" w:eastAsia="zh-CN"/>
                    </w:rPr>
                    <w:t>产生量</w:t>
                  </w:r>
                </w:p>
              </w:tc>
              <w:tc>
                <w:tcPr>
                  <w:tcW w:w="841" w:type="dxa"/>
                  <w:tcBorders>
                    <w:tl2br w:val="nil"/>
                    <w:tr2bl w:val="nil"/>
                  </w:tcBorders>
                  <w:noWrap w:val="0"/>
                  <w:vAlign w:val="center"/>
                </w:tcPr>
                <w:p w14:paraId="1C23A22E">
                  <w:pPr>
                    <w:pStyle w:val="16"/>
                    <w:spacing w:line="240" w:lineRule="auto"/>
                    <w:jc w:val="center"/>
                    <w:rPr>
                      <w:rFonts w:hint="eastAsia" w:eastAsia="宋体"/>
                      <w:b/>
                      <w:bCs/>
                      <w:color w:val="auto"/>
                      <w:sz w:val="21"/>
                      <w:szCs w:val="21"/>
                      <w:lang w:eastAsia="zh-CN"/>
                    </w:rPr>
                  </w:pPr>
                  <w:r>
                    <w:rPr>
                      <w:rFonts w:hint="eastAsia"/>
                      <w:b/>
                      <w:bCs/>
                      <w:color w:val="auto"/>
                      <w:sz w:val="21"/>
                      <w:szCs w:val="21"/>
                      <w:lang w:val="en-US" w:eastAsia="zh-CN"/>
                    </w:rPr>
                    <w:t>排放量</w:t>
                  </w:r>
                </w:p>
              </w:tc>
              <w:tc>
                <w:tcPr>
                  <w:tcW w:w="1188" w:type="dxa"/>
                  <w:tcBorders>
                    <w:tl2br w:val="nil"/>
                    <w:tr2bl w:val="nil"/>
                  </w:tcBorders>
                  <w:noWrap w:val="0"/>
                  <w:vAlign w:val="center"/>
                </w:tcPr>
                <w:p w14:paraId="4221ABAA">
                  <w:pPr>
                    <w:pStyle w:val="16"/>
                    <w:spacing w:line="240" w:lineRule="auto"/>
                    <w:jc w:val="center"/>
                    <w:rPr>
                      <w:b/>
                      <w:bCs/>
                      <w:color w:val="auto"/>
                      <w:sz w:val="21"/>
                      <w:szCs w:val="21"/>
                    </w:rPr>
                  </w:pPr>
                  <w:r>
                    <w:rPr>
                      <w:rFonts w:hint="eastAsia"/>
                      <w:b/>
                      <w:bCs/>
                      <w:color w:val="auto"/>
                      <w:sz w:val="21"/>
                      <w:szCs w:val="21"/>
                    </w:rPr>
                    <w:t>非正常排放速率kg/h</w:t>
                  </w:r>
                </w:p>
              </w:tc>
              <w:tc>
                <w:tcPr>
                  <w:tcW w:w="975" w:type="dxa"/>
                  <w:tcBorders>
                    <w:tl2br w:val="nil"/>
                    <w:tr2bl w:val="nil"/>
                  </w:tcBorders>
                  <w:noWrap w:val="0"/>
                  <w:vAlign w:val="center"/>
                </w:tcPr>
                <w:p w14:paraId="77DDD69E">
                  <w:pPr>
                    <w:pStyle w:val="16"/>
                    <w:spacing w:line="240" w:lineRule="auto"/>
                    <w:jc w:val="center"/>
                    <w:rPr>
                      <w:b/>
                      <w:bCs/>
                      <w:color w:val="auto"/>
                      <w:sz w:val="21"/>
                      <w:szCs w:val="21"/>
                    </w:rPr>
                  </w:pPr>
                  <w:r>
                    <w:rPr>
                      <w:rFonts w:hint="eastAsia"/>
                      <w:b/>
                      <w:bCs/>
                      <w:color w:val="auto"/>
                      <w:sz w:val="21"/>
                      <w:szCs w:val="21"/>
                    </w:rPr>
                    <w:t>单次持续时间/h</w:t>
                  </w:r>
                </w:p>
              </w:tc>
              <w:tc>
                <w:tcPr>
                  <w:tcW w:w="844" w:type="dxa"/>
                  <w:tcBorders>
                    <w:tl2br w:val="nil"/>
                    <w:tr2bl w:val="nil"/>
                  </w:tcBorders>
                  <w:noWrap w:val="0"/>
                  <w:vAlign w:val="center"/>
                </w:tcPr>
                <w:p w14:paraId="58B69039">
                  <w:pPr>
                    <w:pStyle w:val="16"/>
                    <w:spacing w:line="240" w:lineRule="auto"/>
                    <w:jc w:val="center"/>
                    <w:rPr>
                      <w:b/>
                      <w:bCs/>
                      <w:color w:val="auto"/>
                      <w:sz w:val="21"/>
                      <w:szCs w:val="21"/>
                    </w:rPr>
                  </w:pPr>
                  <w:r>
                    <w:rPr>
                      <w:rFonts w:hint="eastAsia"/>
                      <w:b/>
                      <w:bCs/>
                      <w:color w:val="auto"/>
                      <w:sz w:val="21"/>
                      <w:szCs w:val="21"/>
                    </w:rPr>
                    <w:t>年发生频次/次</w:t>
                  </w:r>
                </w:p>
              </w:tc>
              <w:tc>
                <w:tcPr>
                  <w:tcW w:w="942" w:type="dxa"/>
                  <w:tcBorders>
                    <w:tl2br w:val="nil"/>
                    <w:tr2bl w:val="nil"/>
                  </w:tcBorders>
                  <w:noWrap w:val="0"/>
                  <w:vAlign w:val="center"/>
                </w:tcPr>
                <w:p w14:paraId="6E5D173E">
                  <w:pPr>
                    <w:pStyle w:val="16"/>
                    <w:spacing w:line="240" w:lineRule="auto"/>
                    <w:jc w:val="center"/>
                    <w:rPr>
                      <w:b/>
                      <w:bCs/>
                      <w:color w:val="auto"/>
                      <w:sz w:val="21"/>
                      <w:szCs w:val="21"/>
                    </w:rPr>
                  </w:pPr>
                  <w:r>
                    <w:rPr>
                      <w:rFonts w:hint="eastAsia"/>
                      <w:b/>
                      <w:bCs/>
                      <w:color w:val="auto"/>
                      <w:sz w:val="21"/>
                      <w:szCs w:val="21"/>
                    </w:rPr>
                    <w:t>应对措施</w:t>
                  </w:r>
                </w:p>
              </w:tc>
            </w:tr>
            <w:tr w14:paraId="6BFA2A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6" w:type="dxa"/>
                  <w:vMerge w:val="restart"/>
                  <w:tcBorders>
                    <w:tl2br w:val="nil"/>
                    <w:tr2bl w:val="nil"/>
                  </w:tcBorders>
                  <w:noWrap w:val="0"/>
                  <w:vAlign w:val="center"/>
                </w:tcPr>
                <w:p w14:paraId="73EAFDDB">
                  <w:pPr>
                    <w:pStyle w:val="16"/>
                    <w:spacing w:line="240" w:lineRule="auto"/>
                    <w:jc w:val="center"/>
                    <w:rPr>
                      <w:color w:val="auto"/>
                      <w:sz w:val="21"/>
                      <w:szCs w:val="21"/>
                    </w:rPr>
                  </w:pPr>
                  <w:r>
                    <w:rPr>
                      <w:rFonts w:hint="eastAsia"/>
                      <w:color w:val="auto"/>
                      <w:sz w:val="21"/>
                      <w:szCs w:val="21"/>
                    </w:rPr>
                    <w:t>车间</w:t>
                  </w:r>
                </w:p>
              </w:tc>
              <w:tc>
                <w:tcPr>
                  <w:tcW w:w="953" w:type="dxa"/>
                  <w:vMerge w:val="restart"/>
                  <w:tcBorders>
                    <w:tl2br w:val="nil"/>
                    <w:tr2bl w:val="nil"/>
                  </w:tcBorders>
                  <w:noWrap w:val="0"/>
                  <w:vAlign w:val="center"/>
                </w:tcPr>
                <w:p w14:paraId="064D3A80">
                  <w:pPr>
                    <w:pStyle w:val="16"/>
                    <w:spacing w:line="240" w:lineRule="auto"/>
                    <w:jc w:val="center"/>
                    <w:rPr>
                      <w:color w:val="auto"/>
                      <w:sz w:val="21"/>
                      <w:szCs w:val="21"/>
                    </w:rPr>
                  </w:pPr>
                  <w:r>
                    <w:rPr>
                      <w:rFonts w:hint="eastAsia"/>
                      <w:color w:val="auto"/>
                      <w:sz w:val="21"/>
                      <w:szCs w:val="21"/>
                    </w:rPr>
                    <w:t>废气处理装置处理效率降低</w:t>
                  </w:r>
                </w:p>
              </w:tc>
              <w:tc>
                <w:tcPr>
                  <w:tcW w:w="841" w:type="dxa"/>
                  <w:tcBorders>
                    <w:tl2br w:val="nil"/>
                    <w:tr2bl w:val="nil"/>
                  </w:tcBorders>
                  <w:noWrap w:val="0"/>
                  <w:vAlign w:val="center"/>
                </w:tcPr>
                <w:p w14:paraId="3813C1AD">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颗粒物</w:t>
                  </w:r>
                </w:p>
              </w:tc>
              <w:tc>
                <w:tcPr>
                  <w:tcW w:w="841" w:type="dxa"/>
                  <w:tcBorders>
                    <w:tl2br w:val="nil"/>
                    <w:tr2bl w:val="nil"/>
                  </w:tcBorders>
                  <w:noWrap w:val="0"/>
                  <w:vAlign w:val="center"/>
                </w:tcPr>
                <w:p w14:paraId="49550B8A">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841" w:type="dxa"/>
                  <w:tcBorders>
                    <w:tl2br w:val="nil"/>
                    <w:tr2bl w:val="nil"/>
                  </w:tcBorders>
                  <w:noWrap w:val="0"/>
                  <w:vAlign w:val="center"/>
                </w:tcPr>
                <w:p w14:paraId="495ECB49">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1188" w:type="dxa"/>
                  <w:tcBorders>
                    <w:tl2br w:val="nil"/>
                    <w:tr2bl w:val="nil"/>
                  </w:tcBorders>
                  <w:noWrap w:val="0"/>
                  <w:vAlign w:val="center"/>
                </w:tcPr>
                <w:p w14:paraId="296D9BBC">
                  <w:pPr>
                    <w:pStyle w:val="11"/>
                    <w:tabs>
                      <w:tab w:val="left" w:pos="960"/>
                      <w:tab w:val="left" w:pos="8760"/>
                    </w:tabs>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0.156</w:t>
                  </w:r>
                </w:p>
              </w:tc>
              <w:tc>
                <w:tcPr>
                  <w:tcW w:w="975" w:type="dxa"/>
                  <w:vMerge w:val="restart"/>
                  <w:tcBorders>
                    <w:tl2br w:val="nil"/>
                    <w:tr2bl w:val="nil"/>
                  </w:tcBorders>
                  <w:noWrap w:val="0"/>
                  <w:vAlign w:val="center"/>
                </w:tcPr>
                <w:p w14:paraId="0D1D0C13">
                  <w:pPr>
                    <w:pStyle w:val="16"/>
                    <w:spacing w:line="240" w:lineRule="auto"/>
                    <w:jc w:val="center"/>
                    <w:rPr>
                      <w:color w:val="auto"/>
                      <w:sz w:val="21"/>
                      <w:szCs w:val="21"/>
                    </w:rPr>
                  </w:pPr>
                  <w:r>
                    <w:rPr>
                      <w:rFonts w:hint="eastAsia"/>
                      <w:color w:val="auto"/>
                      <w:sz w:val="21"/>
                      <w:szCs w:val="21"/>
                    </w:rPr>
                    <w:t>0.2</w:t>
                  </w:r>
                </w:p>
              </w:tc>
              <w:tc>
                <w:tcPr>
                  <w:tcW w:w="844" w:type="dxa"/>
                  <w:vMerge w:val="restart"/>
                  <w:tcBorders>
                    <w:tl2br w:val="nil"/>
                    <w:tr2bl w:val="nil"/>
                  </w:tcBorders>
                  <w:noWrap w:val="0"/>
                  <w:vAlign w:val="center"/>
                </w:tcPr>
                <w:p w14:paraId="64156C56">
                  <w:pPr>
                    <w:pStyle w:val="16"/>
                    <w:spacing w:line="240" w:lineRule="auto"/>
                    <w:jc w:val="center"/>
                    <w:rPr>
                      <w:color w:val="auto"/>
                      <w:sz w:val="21"/>
                      <w:szCs w:val="21"/>
                    </w:rPr>
                  </w:pPr>
                  <w:r>
                    <w:rPr>
                      <w:rFonts w:hint="eastAsia"/>
                      <w:color w:val="auto"/>
                      <w:sz w:val="21"/>
                      <w:szCs w:val="21"/>
                    </w:rPr>
                    <w:t>1</w:t>
                  </w:r>
                </w:p>
              </w:tc>
              <w:tc>
                <w:tcPr>
                  <w:tcW w:w="942" w:type="dxa"/>
                  <w:vMerge w:val="restart"/>
                  <w:tcBorders>
                    <w:tl2br w:val="nil"/>
                    <w:tr2bl w:val="nil"/>
                  </w:tcBorders>
                  <w:noWrap w:val="0"/>
                  <w:vAlign w:val="center"/>
                </w:tcPr>
                <w:p w14:paraId="60052344">
                  <w:pPr>
                    <w:pStyle w:val="16"/>
                    <w:spacing w:line="240" w:lineRule="auto"/>
                    <w:jc w:val="center"/>
                    <w:rPr>
                      <w:color w:val="auto"/>
                      <w:sz w:val="21"/>
                      <w:szCs w:val="21"/>
                    </w:rPr>
                  </w:pPr>
                  <w:r>
                    <w:rPr>
                      <w:rFonts w:hint="eastAsia"/>
                      <w:color w:val="auto"/>
                      <w:sz w:val="21"/>
                      <w:szCs w:val="21"/>
                    </w:rPr>
                    <w:t>设施停止工作，对设备进行维修</w:t>
                  </w:r>
                </w:p>
              </w:tc>
            </w:tr>
            <w:tr w14:paraId="6E84EC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6" w:type="dxa"/>
                  <w:vMerge w:val="continue"/>
                  <w:tcBorders>
                    <w:tl2br w:val="nil"/>
                    <w:tr2bl w:val="nil"/>
                  </w:tcBorders>
                  <w:noWrap w:val="0"/>
                  <w:vAlign w:val="center"/>
                </w:tcPr>
                <w:p w14:paraId="5B129F46">
                  <w:pPr>
                    <w:pStyle w:val="16"/>
                    <w:spacing w:line="240" w:lineRule="auto"/>
                    <w:jc w:val="center"/>
                    <w:rPr>
                      <w:rFonts w:hint="eastAsia"/>
                      <w:color w:val="auto"/>
                      <w:sz w:val="21"/>
                      <w:szCs w:val="21"/>
                    </w:rPr>
                  </w:pPr>
                </w:p>
              </w:tc>
              <w:tc>
                <w:tcPr>
                  <w:tcW w:w="953" w:type="dxa"/>
                  <w:vMerge w:val="continue"/>
                  <w:tcBorders>
                    <w:tl2br w:val="nil"/>
                    <w:tr2bl w:val="nil"/>
                  </w:tcBorders>
                  <w:noWrap w:val="0"/>
                  <w:vAlign w:val="center"/>
                </w:tcPr>
                <w:p w14:paraId="53E79639">
                  <w:pPr>
                    <w:pStyle w:val="16"/>
                    <w:spacing w:line="240" w:lineRule="auto"/>
                    <w:jc w:val="center"/>
                    <w:rPr>
                      <w:rFonts w:hint="eastAsia"/>
                      <w:color w:val="auto"/>
                      <w:sz w:val="21"/>
                      <w:szCs w:val="21"/>
                    </w:rPr>
                  </w:pPr>
                </w:p>
              </w:tc>
              <w:tc>
                <w:tcPr>
                  <w:tcW w:w="841" w:type="dxa"/>
                  <w:tcBorders>
                    <w:tl2br w:val="nil"/>
                    <w:tr2bl w:val="nil"/>
                  </w:tcBorders>
                  <w:noWrap w:val="0"/>
                  <w:vAlign w:val="center"/>
                </w:tcPr>
                <w:p w14:paraId="60DB5259">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二氧化硫</w:t>
                  </w:r>
                </w:p>
              </w:tc>
              <w:tc>
                <w:tcPr>
                  <w:tcW w:w="841" w:type="dxa"/>
                  <w:tcBorders>
                    <w:tl2br w:val="nil"/>
                    <w:tr2bl w:val="nil"/>
                  </w:tcBorders>
                  <w:noWrap w:val="0"/>
                  <w:vAlign w:val="center"/>
                </w:tcPr>
                <w:p w14:paraId="321C35C9">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841" w:type="dxa"/>
                  <w:tcBorders>
                    <w:tl2br w:val="nil"/>
                    <w:tr2bl w:val="nil"/>
                  </w:tcBorders>
                  <w:noWrap w:val="0"/>
                  <w:vAlign w:val="center"/>
                </w:tcPr>
                <w:p w14:paraId="6689466D">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1188" w:type="dxa"/>
                  <w:tcBorders>
                    <w:tl2br w:val="nil"/>
                    <w:tr2bl w:val="nil"/>
                  </w:tcBorders>
                  <w:noWrap w:val="0"/>
                  <w:vAlign w:val="center"/>
                </w:tcPr>
                <w:p w14:paraId="0BDFE54E">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0.109</w:t>
                  </w:r>
                </w:p>
              </w:tc>
              <w:tc>
                <w:tcPr>
                  <w:tcW w:w="975" w:type="dxa"/>
                  <w:vMerge w:val="continue"/>
                  <w:tcBorders>
                    <w:tl2br w:val="nil"/>
                    <w:tr2bl w:val="nil"/>
                  </w:tcBorders>
                  <w:noWrap w:val="0"/>
                  <w:vAlign w:val="center"/>
                </w:tcPr>
                <w:p w14:paraId="7C48F17D">
                  <w:pPr>
                    <w:pStyle w:val="16"/>
                    <w:spacing w:line="240" w:lineRule="auto"/>
                    <w:jc w:val="center"/>
                    <w:rPr>
                      <w:rFonts w:hint="eastAsia"/>
                      <w:color w:val="auto"/>
                      <w:sz w:val="21"/>
                      <w:szCs w:val="21"/>
                    </w:rPr>
                  </w:pPr>
                </w:p>
              </w:tc>
              <w:tc>
                <w:tcPr>
                  <w:tcW w:w="844" w:type="dxa"/>
                  <w:vMerge w:val="continue"/>
                  <w:tcBorders>
                    <w:tl2br w:val="nil"/>
                    <w:tr2bl w:val="nil"/>
                  </w:tcBorders>
                  <w:noWrap w:val="0"/>
                  <w:vAlign w:val="center"/>
                </w:tcPr>
                <w:p w14:paraId="78C7D67A">
                  <w:pPr>
                    <w:pStyle w:val="16"/>
                    <w:spacing w:line="240" w:lineRule="auto"/>
                    <w:jc w:val="center"/>
                    <w:rPr>
                      <w:rFonts w:hint="eastAsia"/>
                      <w:color w:val="auto"/>
                      <w:sz w:val="21"/>
                      <w:szCs w:val="21"/>
                    </w:rPr>
                  </w:pPr>
                </w:p>
              </w:tc>
              <w:tc>
                <w:tcPr>
                  <w:tcW w:w="942" w:type="dxa"/>
                  <w:vMerge w:val="continue"/>
                  <w:tcBorders>
                    <w:tl2br w:val="nil"/>
                    <w:tr2bl w:val="nil"/>
                  </w:tcBorders>
                  <w:noWrap w:val="0"/>
                  <w:vAlign w:val="center"/>
                </w:tcPr>
                <w:p w14:paraId="36A07EA5">
                  <w:pPr>
                    <w:pStyle w:val="16"/>
                    <w:spacing w:line="240" w:lineRule="auto"/>
                    <w:jc w:val="center"/>
                    <w:rPr>
                      <w:rFonts w:hint="eastAsia"/>
                      <w:color w:val="auto"/>
                      <w:sz w:val="21"/>
                      <w:szCs w:val="21"/>
                    </w:rPr>
                  </w:pPr>
                </w:p>
              </w:tc>
            </w:tr>
            <w:tr w14:paraId="488378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6" w:type="dxa"/>
                  <w:vMerge w:val="continue"/>
                  <w:tcBorders>
                    <w:tl2br w:val="nil"/>
                    <w:tr2bl w:val="nil"/>
                  </w:tcBorders>
                  <w:noWrap w:val="0"/>
                  <w:vAlign w:val="center"/>
                </w:tcPr>
                <w:p w14:paraId="6F7315DE">
                  <w:pPr>
                    <w:pStyle w:val="16"/>
                    <w:spacing w:line="240" w:lineRule="auto"/>
                    <w:jc w:val="center"/>
                    <w:rPr>
                      <w:rFonts w:hint="eastAsia"/>
                      <w:color w:val="auto"/>
                      <w:sz w:val="21"/>
                      <w:szCs w:val="21"/>
                    </w:rPr>
                  </w:pPr>
                </w:p>
              </w:tc>
              <w:tc>
                <w:tcPr>
                  <w:tcW w:w="953" w:type="dxa"/>
                  <w:vMerge w:val="continue"/>
                  <w:tcBorders>
                    <w:tl2br w:val="nil"/>
                    <w:tr2bl w:val="nil"/>
                  </w:tcBorders>
                  <w:noWrap w:val="0"/>
                  <w:vAlign w:val="center"/>
                </w:tcPr>
                <w:p w14:paraId="29CA88E3">
                  <w:pPr>
                    <w:pStyle w:val="16"/>
                    <w:spacing w:line="240" w:lineRule="auto"/>
                    <w:jc w:val="center"/>
                    <w:rPr>
                      <w:rFonts w:hint="eastAsia"/>
                      <w:color w:val="auto"/>
                      <w:sz w:val="21"/>
                      <w:szCs w:val="21"/>
                    </w:rPr>
                  </w:pPr>
                </w:p>
              </w:tc>
              <w:tc>
                <w:tcPr>
                  <w:tcW w:w="841" w:type="dxa"/>
                  <w:tcBorders>
                    <w:tl2br w:val="nil"/>
                    <w:tr2bl w:val="nil"/>
                  </w:tcBorders>
                  <w:noWrap w:val="0"/>
                  <w:vAlign w:val="center"/>
                </w:tcPr>
                <w:p w14:paraId="132FFA86">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氮氧化物</w:t>
                  </w:r>
                </w:p>
              </w:tc>
              <w:tc>
                <w:tcPr>
                  <w:tcW w:w="841" w:type="dxa"/>
                  <w:tcBorders>
                    <w:tl2br w:val="nil"/>
                    <w:tr2bl w:val="nil"/>
                  </w:tcBorders>
                  <w:noWrap w:val="0"/>
                  <w:vAlign w:val="center"/>
                </w:tcPr>
                <w:p w14:paraId="7AA672F1">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2.618</w:t>
                  </w:r>
                </w:p>
              </w:tc>
              <w:tc>
                <w:tcPr>
                  <w:tcW w:w="841" w:type="dxa"/>
                  <w:tcBorders>
                    <w:tl2br w:val="nil"/>
                    <w:tr2bl w:val="nil"/>
                  </w:tcBorders>
                  <w:noWrap w:val="0"/>
                  <w:vAlign w:val="center"/>
                </w:tcPr>
                <w:p w14:paraId="1AE6D5DC">
                  <w:pPr>
                    <w:pStyle w:val="16"/>
                    <w:spacing w:line="240" w:lineRule="auto"/>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2.618</w:t>
                  </w:r>
                </w:p>
              </w:tc>
              <w:tc>
                <w:tcPr>
                  <w:tcW w:w="1188" w:type="dxa"/>
                  <w:tcBorders>
                    <w:tl2br w:val="nil"/>
                    <w:tr2bl w:val="nil"/>
                  </w:tcBorders>
                  <w:noWrap w:val="0"/>
                  <w:vAlign w:val="center"/>
                </w:tcPr>
                <w:p w14:paraId="526CA1F9">
                  <w:pPr>
                    <w:pStyle w:val="11"/>
                    <w:tabs>
                      <w:tab w:val="left" w:pos="960"/>
                      <w:tab w:val="left" w:pos="8760"/>
                    </w:tabs>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1.023</w:t>
                  </w:r>
                </w:p>
              </w:tc>
              <w:tc>
                <w:tcPr>
                  <w:tcW w:w="975" w:type="dxa"/>
                  <w:vMerge w:val="continue"/>
                  <w:tcBorders>
                    <w:tl2br w:val="nil"/>
                    <w:tr2bl w:val="nil"/>
                  </w:tcBorders>
                  <w:noWrap w:val="0"/>
                  <w:vAlign w:val="center"/>
                </w:tcPr>
                <w:p w14:paraId="1A3CCF56">
                  <w:pPr>
                    <w:pStyle w:val="16"/>
                    <w:spacing w:line="240" w:lineRule="auto"/>
                    <w:jc w:val="center"/>
                    <w:rPr>
                      <w:rFonts w:hint="eastAsia"/>
                      <w:color w:val="auto"/>
                      <w:sz w:val="21"/>
                      <w:szCs w:val="21"/>
                    </w:rPr>
                  </w:pPr>
                </w:p>
              </w:tc>
              <w:tc>
                <w:tcPr>
                  <w:tcW w:w="844" w:type="dxa"/>
                  <w:vMerge w:val="continue"/>
                  <w:tcBorders>
                    <w:tl2br w:val="nil"/>
                    <w:tr2bl w:val="nil"/>
                  </w:tcBorders>
                  <w:noWrap w:val="0"/>
                  <w:vAlign w:val="center"/>
                </w:tcPr>
                <w:p w14:paraId="453AD9C6">
                  <w:pPr>
                    <w:pStyle w:val="16"/>
                    <w:spacing w:line="240" w:lineRule="auto"/>
                    <w:jc w:val="center"/>
                    <w:rPr>
                      <w:rFonts w:hint="eastAsia"/>
                      <w:color w:val="auto"/>
                      <w:sz w:val="21"/>
                      <w:szCs w:val="21"/>
                    </w:rPr>
                  </w:pPr>
                </w:p>
              </w:tc>
              <w:tc>
                <w:tcPr>
                  <w:tcW w:w="942" w:type="dxa"/>
                  <w:vMerge w:val="continue"/>
                  <w:tcBorders>
                    <w:tl2br w:val="nil"/>
                    <w:tr2bl w:val="nil"/>
                  </w:tcBorders>
                  <w:noWrap w:val="0"/>
                  <w:vAlign w:val="center"/>
                </w:tcPr>
                <w:p w14:paraId="560DB7AE">
                  <w:pPr>
                    <w:pStyle w:val="16"/>
                    <w:spacing w:line="240" w:lineRule="auto"/>
                    <w:jc w:val="center"/>
                    <w:rPr>
                      <w:rFonts w:hint="eastAsia"/>
                      <w:color w:val="auto"/>
                      <w:sz w:val="21"/>
                      <w:szCs w:val="21"/>
                    </w:rPr>
                  </w:pPr>
                </w:p>
              </w:tc>
            </w:tr>
          </w:tbl>
          <w:p w14:paraId="375BE6E9">
            <w:pPr>
              <w:pStyle w:val="4"/>
              <w:spacing w:before="0" w:after="0" w:line="360" w:lineRule="auto"/>
              <w:ind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14:paraId="6541041A">
            <w:pPr>
              <w:pStyle w:val="4"/>
              <w:spacing w:before="0" w:after="0" w:line="360" w:lineRule="auto"/>
              <w:ind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①安排专人负责环保设备的日常维护和管理，每隔固定时间检查、汇报情况，及时发现废气处理设备的隐患，确保废气处理系统正常运行；</w:t>
            </w:r>
          </w:p>
          <w:p w14:paraId="2B71664B">
            <w:pPr>
              <w:pStyle w:val="4"/>
              <w:spacing w:before="0" w:after="0" w:line="360" w:lineRule="auto"/>
              <w:ind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②建立健全的环保管理机构，对环保管理人员和技术人员进行岗位培训，委托具有专业资质的环境检测单位对项目排放的各类污染物进行定期检测；</w:t>
            </w:r>
          </w:p>
          <w:p w14:paraId="5083D585">
            <w:pPr>
              <w:pStyle w:val="4"/>
              <w:spacing w:before="0" w:after="0" w:line="360" w:lineRule="auto"/>
              <w:ind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③应定期维护、检修废气净化装置，以保持废气处理装置的净化能力和净化容量。</w:t>
            </w:r>
          </w:p>
          <w:p w14:paraId="39EA355E">
            <w:pPr>
              <w:pStyle w:val="16"/>
              <w:spacing w:line="240" w:lineRule="auto"/>
              <w:ind w:firstLine="420" w:firstLineChars="200"/>
              <w:rPr>
                <w:rFonts w:hint="eastAsia"/>
                <w:color w:val="auto"/>
                <w:sz w:val="21"/>
                <w:szCs w:val="21"/>
              </w:rPr>
            </w:pPr>
            <w:r>
              <w:rPr>
                <w:rFonts w:hint="eastAsia"/>
                <w:color w:val="auto"/>
                <w:sz w:val="21"/>
                <w:szCs w:val="21"/>
              </w:rPr>
              <w:t xml:space="preserve">（2）大气污染源监测计划 </w:t>
            </w:r>
          </w:p>
          <w:p w14:paraId="320DB1E5">
            <w:pPr>
              <w:pStyle w:val="16"/>
              <w:spacing w:line="240" w:lineRule="auto"/>
              <w:ind w:firstLine="420" w:firstLineChars="200"/>
              <w:rPr>
                <w:color w:val="auto"/>
                <w:sz w:val="21"/>
                <w:szCs w:val="21"/>
              </w:rPr>
            </w:pPr>
            <w:r>
              <w:rPr>
                <w:rFonts w:hint="eastAsia"/>
                <w:color w:val="auto"/>
                <w:sz w:val="21"/>
                <w:szCs w:val="21"/>
              </w:rPr>
              <w:t>①污染源自行监测方案</w:t>
            </w:r>
          </w:p>
          <w:p w14:paraId="42FE97CA">
            <w:pPr>
              <w:pStyle w:val="16"/>
              <w:spacing w:line="360" w:lineRule="auto"/>
              <w:ind w:firstLine="420" w:firstLineChars="200"/>
              <w:rPr>
                <w:rFonts w:hint="eastAsia"/>
                <w:color w:val="auto"/>
                <w:sz w:val="21"/>
                <w:szCs w:val="21"/>
              </w:rPr>
            </w:pPr>
            <w:r>
              <w:rPr>
                <w:rFonts w:hint="eastAsia"/>
                <w:color w:val="auto"/>
                <w:sz w:val="21"/>
                <w:szCs w:val="21"/>
              </w:rPr>
              <w:t>企业应按照《排污单位自行监测技术指南总则》（HJ819-2017）、</w:t>
            </w:r>
            <w:r>
              <w:rPr>
                <w:rFonts w:hint="eastAsia" w:ascii="Times New Roman" w:hAnsi="Times New Roman"/>
                <w:b w:val="0"/>
                <w:bCs w:val="0"/>
                <w:color w:val="auto"/>
                <w:sz w:val="21"/>
                <w:szCs w:val="21"/>
                <w:lang w:val="en-US" w:eastAsia="zh-CN"/>
              </w:rPr>
              <w:t>《排污许可证申请与核发技术规范 工业炉窑》（HJ1121—2020）、</w:t>
            </w:r>
            <w:r>
              <w:rPr>
                <w:rFonts w:hint="eastAsia"/>
                <w:color w:val="auto"/>
                <w:sz w:val="21"/>
                <w:szCs w:val="21"/>
              </w:rPr>
              <w:t>《固定污染物排污许可分类管理名录》相关要求，开展大气污染物监测，大气污染源监测计划见表4-</w:t>
            </w:r>
            <w:r>
              <w:rPr>
                <w:rFonts w:hint="eastAsia"/>
                <w:color w:val="auto"/>
                <w:sz w:val="21"/>
                <w:szCs w:val="21"/>
                <w:lang w:val="en-US" w:eastAsia="zh-CN"/>
              </w:rPr>
              <w:t>7</w:t>
            </w:r>
            <w:r>
              <w:rPr>
                <w:rFonts w:hint="eastAsia"/>
                <w:color w:val="auto"/>
                <w:sz w:val="21"/>
                <w:szCs w:val="21"/>
              </w:rPr>
              <w:t xml:space="preserve">。 </w:t>
            </w:r>
          </w:p>
          <w:p w14:paraId="751AD776">
            <w:pPr>
              <w:pStyle w:val="16"/>
              <w:spacing w:line="240" w:lineRule="auto"/>
              <w:ind w:firstLine="422" w:firstLineChars="20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7</w:t>
            </w:r>
            <w:r>
              <w:rPr>
                <w:rFonts w:hint="eastAsia"/>
                <w:b/>
                <w:bCs/>
                <w:color w:val="auto"/>
                <w:sz w:val="21"/>
                <w:szCs w:val="21"/>
              </w:rPr>
              <w:t xml:space="preserve"> 大气污染源监测计划</w:t>
            </w:r>
          </w:p>
          <w:tbl>
            <w:tblPr>
              <w:tblStyle w:val="42"/>
              <w:tblW w:w="82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60"/>
              <w:gridCol w:w="1073"/>
              <w:gridCol w:w="2049"/>
              <w:gridCol w:w="3403"/>
            </w:tblGrid>
            <w:tr w14:paraId="1692A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72" w:type="dxa"/>
                  <w:noWrap w:val="0"/>
                  <w:vAlign w:val="center"/>
                </w:tcPr>
                <w:p w14:paraId="17D5AEA7">
                  <w:pPr>
                    <w:pStyle w:val="16"/>
                    <w:spacing w:line="240" w:lineRule="auto"/>
                    <w:jc w:val="center"/>
                    <w:rPr>
                      <w:b/>
                      <w:bCs/>
                      <w:color w:val="auto"/>
                      <w:sz w:val="21"/>
                      <w:szCs w:val="21"/>
                    </w:rPr>
                  </w:pPr>
                  <w:r>
                    <w:rPr>
                      <w:rFonts w:hint="eastAsia"/>
                      <w:b/>
                      <w:bCs/>
                      <w:color w:val="auto"/>
                      <w:sz w:val="21"/>
                      <w:szCs w:val="21"/>
                    </w:rPr>
                    <w:t>类别</w:t>
                  </w:r>
                </w:p>
              </w:tc>
              <w:tc>
                <w:tcPr>
                  <w:tcW w:w="2033" w:type="dxa"/>
                  <w:gridSpan w:val="2"/>
                  <w:noWrap w:val="0"/>
                  <w:vAlign w:val="center"/>
                </w:tcPr>
                <w:p w14:paraId="2FB9CD5C">
                  <w:pPr>
                    <w:pStyle w:val="16"/>
                    <w:spacing w:line="240" w:lineRule="auto"/>
                    <w:jc w:val="center"/>
                    <w:rPr>
                      <w:b/>
                      <w:bCs/>
                      <w:color w:val="auto"/>
                      <w:sz w:val="21"/>
                      <w:szCs w:val="21"/>
                    </w:rPr>
                  </w:pPr>
                  <w:r>
                    <w:rPr>
                      <w:rFonts w:hint="eastAsia"/>
                      <w:b/>
                      <w:bCs/>
                      <w:color w:val="auto"/>
                      <w:sz w:val="21"/>
                      <w:szCs w:val="21"/>
                    </w:rPr>
                    <w:t>监测位置</w:t>
                  </w:r>
                </w:p>
              </w:tc>
              <w:tc>
                <w:tcPr>
                  <w:tcW w:w="2049" w:type="dxa"/>
                  <w:noWrap w:val="0"/>
                  <w:vAlign w:val="center"/>
                </w:tcPr>
                <w:p w14:paraId="0259BE2E">
                  <w:pPr>
                    <w:pStyle w:val="16"/>
                    <w:spacing w:line="240" w:lineRule="auto"/>
                    <w:jc w:val="center"/>
                    <w:rPr>
                      <w:b/>
                      <w:bCs/>
                      <w:color w:val="auto"/>
                      <w:sz w:val="21"/>
                      <w:szCs w:val="21"/>
                    </w:rPr>
                  </w:pPr>
                  <w:r>
                    <w:rPr>
                      <w:rFonts w:hint="eastAsia"/>
                      <w:b/>
                      <w:bCs/>
                      <w:color w:val="auto"/>
                      <w:sz w:val="21"/>
                      <w:szCs w:val="21"/>
                    </w:rPr>
                    <w:t>监测项目</w:t>
                  </w:r>
                </w:p>
              </w:tc>
              <w:tc>
                <w:tcPr>
                  <w:tcW w:w="3403" w:type="dxa"/>
                  <w:noWrap w:val="0"/>
                  <w:vAlign w:val="center"/>
                </w:tcPr>
                <w:p w14:paraId="7B5805DF">
                  <w:pPr>
                    <w:pStyle w:val="16"/>
                    <w:spacing w:line="240" w:lineRule="auto"/>
                    <w:jc w:val="center"/>
                    <w:rPr>
                      <w:b/>
                      <w:bCs/>
                      <w:color w:val="auto"/>
                      <w:sz w:val="21"/>
                      <w:szCs w:val="21"/>
                    </w:rPr>
                  </w:pPr>
                  <w:r>
                    <w:rPr>
                      <w:rFonts w:hint="eastAsia"/>
                      <w:b/>
                      <w:bCs/>
                      <w:color w:val="auto"/>
                      <w:sz w:val="21"/>
                      <w:szCs w:val="21"/>
                    </w:rPr>
                    <w:t>监测频次</w:t>
                  </w:r>
                </w:p>
              </w:tc>
            </w:tr>
            <w:tr w14:paraId="10A77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center"/>
                </w:tcPr>
                <w:p w14:paraId="29858B3B">
                  <w:pPr>
                    <w:pStyle w:val="16"/>
                    <w:spacing w:line="240" w:lineRule="auto"/>
                    <w:jc w:val="center"/>
                    <w:rPr>
                      <w:rFonts w:hint="eastAsia" w:eastAsia="宋体"/>
                      <w:color w:val="auto"/>
                      <w:sz w:val="21"/>
                      <w:szCs w:val="21"/>
                      <w:lang w:val="en-US" w:eastAsia="zh-CN"/>
                    </w:rPr>
                  </w:pPr>
                  <w:r>
                    <w:rPr>
                      <w:rFonts w:hint="eastAsia"/>
                      <w:color w:val="auto"/>
                      <w:sz w:val="21"/>
                      <w:szCs w:val="21"/>
                      <w:lang w:val="en-US" w:eastAsia="zh-CN"/>
                    </w:rPr>
                    <w:t>废气</w:t>
                  </w:r>
                </w:p>
              </w:tc>
              <w:tc>
                <w:tcPr>
                  <w:tcW w:w="960" w:type="dxa"/>
                  <w:noWrap w:val="0"/>
                  <w:vAlign w:val="center"/>
                </w:tcPr>
                <w:p w14:paraId="55131888">
                  <w:pPr>
                    <w:pStyle w:val="16"/>
                    <w:spacing w:line="240" w:lineRule="auto"/>
                    <w:jc w:val="center"/>
                    <w:rPr>
                      <w:color w:val="auto"/>
                      <w:sz w:val="21"/>
                      <w:szCs w:val="21"/>
                    </w:rPr>
                  </w:pPr>
                  <w:r>
                    <w:rPr>
                      <w:rFonts w:hint="eastAsia"/>
                      <w:color w:val="auto"/>
                      <w:sz w:val="21"/>
                      <w:szCs w:val="21"/>
                    </w:rPr>
                    <w:t>有组织</w:t>
                  </w:r>
                </w:p>
              </w:tc>
              <w:tc>
                <w:tcPr>
                  <w:tcW w:w="1073" w:type="dxa"/>
                  <w:noWrap w:val="0"/>
                  <w:vAlign w:val="center"/>
                </w:tcPr>
                <w:p w14:paraId="0A07EB13">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DA001</w:t>
                  </w:r>
                </w:p>
              </w:tc>
              <w:tc>
                <w:tcPr>
                  <w:tcW w:w="2049" w:type="dxa"/>
                  <w:noWrap w:val="0"/>
                  <w:vAlign w:val="center"/>
                </w:tcPr>
                <w:p w14:paraId="75066696">
                  <w:pPr>
                    <w:jc w:val="center"/>
                    <w:rPr>
                      <w:rFonts w:hint="default" w:eastAsia="宋体"/>
                      <w:bCs/>
                      <w:color w:val="auto"/>
                      <w:szCs w:val="21"/>
                      <w:lang w:val="en-US" w:eastAsia="zh-CN"/>
                    </w:rPr>
                  </w:pPr>
                  <w:r>
                    <w:rPr>
                      <w:rFonts w:hint="eastAsia"/>
                      <w:bCs/>
                      <w:color w:val="auto"/>
                      <w:szCs w:val="21"/>
                      <w:lang w:val="en-US" w:eastAsia="zh-CN"/>
                    </w:rPr>
                    <w:t>颗粒物、二氧化硫、氮氧化物、林格曼黑度、氧含量</w:t>
                  </w:r>
                </w:p>
              </w:tc>
              <w:tc>
                <w:tcPr>
                  <w:tcW w:w="3403" w:type="dxa"/>
                  <w:noWrap w:val="0"/>
                  <w:vAlign w:val="center"/>
                </w:tcPr>
                <w:p w14:paraId="60E0094D">
                  <w:pPr>
                    <w:jc w:val="center"/>
                    <w:rPr>
                      <w:rFonts w:hint="eastAsia"/>
                      <w:color w:val="auto"/>
                      <w:kern w:val="0"/>
                      <w:szCs w:val="21"/>
                    </w:rPr>
                  </w:pPr>
                  <w:r>
                    <w:rPr>
                      <w:rFonts w:hint="eastAsia"/>
                      <w:color w:val="auto"/>
                      <w:kern w:val="0"/>
                      <w:szCs w:val="21"/>
                    </w:rPr>
                    <w:t>1</w:t>
                  </w:r>
                  <w:r>
                    <w:rPr>
                      <w:color w:val="auto"/>
                      <w:kern w:val="0"/>
                      <w:szCs w:val="21"/>
                    </w:rPr>
                    <w:t>次</w:t>
                  </w:r>
                  <w:r>
                    <w:rPr>
                      <w:rFonts w:hint="eastAsia"/>
                      <w:color w:val="auto"/>
                      <w:kern w:val="0"/>
                      <w:szCs w:val="21"/>
                    </w:rPr>
                    <w:t>/</w:t>
                  </w:r>
                  <w:r>
                    <w:rPr>
                      <w:rFonts w:hint="eastAsia"/>
                      <w:color w:val="auto"/>
                      <w:kern w:val="0"/>
                      <w:szCs w:val="21"/>
                      <w:lang w:val="en-US" w:eastAsia="zh-CN"/>
                    </w:rPr>
                    <w:t>半</w:t>
                  </w:r>
                  <w:r>
                    <w:rPr>
                      <w:rFonts w:hint="eastAsia"/>
                      <w:color w:val="auto"/>
                      <w:kern w:val="0"/>
                      <w:szCs w:val="21"/>
                    </w:rPr>
                    <w:t>年；1</w:t>
                  </w:r>
                  <w:r>
                    <w:rPr>
                      <w:color w:val="auto"/>
                      <w:szCs w:val="21"/>
                    </w:rPr>
                    <w:t>天（</w:t>
                  </w:r>
                  <w:r>
                    <w:rPr>
                      <w:rFonts w:hint="eastAsia"/>
                      <w:color w:val="auto"/>
                      <w:szCs w:val="21"/>
                    </w:rPr>
                    <w:t>3</w:t>
                  </w:r>
                  <w:r>
                    <w:rPr>
                      <w:color w:val="auto"/>
                      <w:szCs w:val="21"/>
                    </w:rPr>
                    <w:t>次/点·天）</w:t>
                  </w:r>
                </w:p>
              </w:tc>
            </w:tr>
            <w:tr w14:paraId="4D75F2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center"/>
                </w:tcPr>
                <w:p w14:paraId="753D25FE">
                  <w:pPr>
                    <w:pStyle w:val="16"/>
                    <w:spacing w:line="240" w:lineRule="auto"/>
                    <w:jc w:val="center"/>
                    <w:rPr>
                      <w:rFonts w:hint="eastAsia"/>
                      <w:color w:val="auto"/>
                      <w:sz w:val="21"/>
                      <w:szCs w:val="21"/>
                      <w:lang w:val="en-US" w:eastAsia="zh-CN"/>
                    </w:rPr>
                  </w:pPr>
                </w:p>
              </w:tc>
              <w:tc>
                <w:tcPr>
                  <w:tcW w:w="960" w:type="dxa"/>
                  <w:vMerge w:val="restart"/>
                  <w:noWrap w:val="0"/>
                  <w:vAlign w:val="center"/>
                </w:tcPr>
                <w:p w14:paraId="0650760B">
                  <w:pPr>
                    <w:pStyle w:val="16"/>
                    <w:spacing w:line="240" w:lineRule="auto"/>
                    <w:jc w:val="center"/>
                    <w:rPr>
                      <w:rFonts w:hint="default" w:eastAsia="宋体"/>
                      <w:color w:val="auto"/>
                      <w:sz w:val="21"/>
                      <w:szCs w:val="21"/>
                      <w:lang w:val="en-US" w:eastAsia="zh-CN"/>
                    </w:rPr>
                  </w:pPr>
                  <w:r>
                    <w:rPr>
                      <w:rFonts w:hint="eastAsia"/>
                      <w:color w:val="auto"/>
                      <w:sz w:val="21"/>
                      <w:szCs w:val="21"/>
                      <w:lang w:val="en-US" w:eastAsia="zh-CN"/>
                    </w:rPr>
                    <w:t>无组织</w:t>
                  </w:r>
                </w:p>
              </w:tc>
              <w:tc>
                <w:tcPr>
                  <w:tcW w:w="1073" w:type="dxa"/>
                  <w:noWrap w:val="0"/>
                  <w:vAlign w:val="center"/>
                </w:tcPr>
                <w:p w14:paraId="37A45FA3">
                  <w:pPr>
                    <w:pStyle w:val="16"/>
                    <w:spacing w:line="240" w:lineRule="auto"/>
                    <w:jc w:val="center"/>
                    <w:rPr>
                      <w:rFonts w:hint="default"/>
                      <w:color w:val="auto"/>
                      <w:sz w:val="21"/>
                      <w:szCs w:val="21"/>
                      <w:lang w:val="en-US" w:eastAsia="zh-CN"/>
                    </w:rPr>
                  </w:pPr>
                  <w:r>
                    <w:rPr>
                      <w:rFonts w:hint="eastAsia"/>
                      <w:color w:val="auto"/>
                      <w:sz w:val="21"/>
                      <w:szCs w:val="21"/>
                      <w:lang w:val="en-US" w:eastAsia="zh-CN"/>
                    </w:rPr>
                    <w:t>厂界</w:t>
                  </w:r>
                </w:p>
              </w:tc>
              <w:tc>
                <w:tcPr>
                  <w:tcW w:w="2049" w:type="dxa"/>
                  <w:noWrap w:val="0"/>
                  <w:vAlign w:val="center"/>
                </w:tcPr>
                <w:p w14:paraId="0EB24FF8">
                  <w:pPr>
                    <w:jc w:val="center"/>
                    <w:rPr>
                      <w:rFonts w:hint="default"/>
                      <w:bCs/>
                      <w:color w:val="auto"/>
                      <w:szCs w:val="21"/>
                      <w:lang w:val="en-US" w:eastAsia="zh-CN"/>
                    </w:rPr>
                  </w:pPr>
                  <w:r>
                    <w:rPr>
                      <w:rFonts w:hint="eastAsia"/>
                      <w:bCs/>
                      <w:color w:val="auto"/>
                      <w:szCs w:val="21"/>
                      <w:lang w:val="en-US" w:eastAsia="zh-CN"/>
                    </w:rPr>
                    <w:t>非甲烷总烃</w:t>
                  </w:r>
                </w:p>
              </w:tc>
              <w:tc>
                <w:tcPr>
                  <w:tcW w:w="3403" w:type="dxa"/>
                  <w:noWrap w:val="0"/>
                  <w:vAlign w:val="center"/>
                </w:tcPr>
                <w:p w14:paraId="4547BBC9">
                  <w:pPr>
                    <w:jc w:val="center"/>
                    <w:rPr>
                      <w:rFonts w:hint="eastAsia"/>
                      <w:color w:val="auto"/>
                      <w:kern w:val="0"/>
                      <w:szCs w:val="21"/>
                    </w:rPr>
                  </w:pPr>
                  <w:r>
                    <w:rPr>
                      <w:rFonts w:hint="eastAsia"/>
                      <w:color w:val="auto"/>
                      <w:kern w:val="0"/>
                      <w:szCs w:val="21"/>
                    </w:rPr>
                    <w:t>1</w:t>
                  </w:r>
                  <w:r>
                    <w:rPr>
                      <w:color w:val="auto"/>
                      <w:kern w:val="0"/>
                      <w:szCs w:val="21"/>
                    </w:rPr>
                    <w:t>次</w:t>
                  </w:r>
                  <w:r>
                    <w:rPr>
                      <w:rFonts w:hint="eastAsia"/>
                      <w:color w:val="auto"/>
                      <w:kern w:val="0"/>
                      <w:szCs w:val="21"/>
                    </w:rPr>
                    <w:t>/年；1</w:t>
                  </w:r>
                  <w:r>
                    <w:rPr>
                      <w:color w:val="auto"/>
                      <w:szCs w:val="21"/>
                    </w:rPr>
                    <w:t>天（</w:t>
                  </w:r>
                  <w:r>
                    <w:rPr>
                      <w:rFonts w:hint="eastAsia"/>
                      <w:color w:val="auto"/>
                      <w:szCs w:val="21"/>
                    </w:rPr>
                    <w:t>3</w:t>
                  </w:r>
                  <w:r>
                    <w:rPr>
                      <w:color w:val="auto"/>
                      <w:szCs w:val="21"/>
                    </w:rPr>
                    <w:t>次/点·天）</w:t>
                  </w:r>
                </w:p>
              </w:tc>
            </w:tr>
            <w:tr w14:paraId="5AB42B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center"/>
                </w:tcPr>
                <w:p w14:paraId="18DC0015">
                  <w:pPr>
                    <w:pStyle w:val="16"/>
                    <w:spacing w:line="240" w:lineRule="auto"/>
                    <w:jc w:val="center"/>
                    <w:rPr>
                      <w:rFonts w:hint="eastAsia"/>
                      <w:color w:val="auto"/>
                      <w:sz w:val="21"/>
                      <w:szCs w:val="21"/>
                      <w:lang w:val="en-US" w:eastAsia="zh-CN"/>
                    </w:rPr>
                  </w:pPr>
                </w:p>
              </w:tc>
              <w:tc>
                <w:tcPr>
                  <w:tcW w:w="960" w:type="dxa"/>
                  <w:vMerge w:val="continue"/>
                  <w:noWrap w:val="0"/>
                  <w:vAlign w:val="center"/>
                </w:tcPr>
                <w:p w14:paraId="63EB7705">
                  <w:pPr>
                    <w:pStyle w:val="16"/>
                    <w:spacing w:line="240" w:lineRule="auto"/>
                    <w:jc w:val="center"/>
                    <w:rPr>
                      <w:rFonts w:hint="eastAsia"/>
                      <w:color w:val="auto"/>
                      <w:sz w:val="21"/>
                      <w:szCs w:val="21"/>
                      <w:lang w:val="en-US" w:eastAsia="zh-CN"/>
                    </w:rPr>
                  </w:pPr>
                </w:p>
              </w:tc>
              <w:tc>
                <w:tcPr>
                  <w:tcW w:w="1073" w:type="dxa"/>
                  <w:noWrap w:val="0"/>
                  <w:vAlign w:val="center"/>
                </w:tcPr>
                <w:p w14:paraId="5BE7BC2F">
                  <w:pPr>
                    <w:pStyle w:val="16"/>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车间内</w:t>
                  </w:r>
                </w:p>
              </w:tc>
              <w:tc>
                <w:tcPr>
                  <w:tcW w:w="2049" w:type="dxa"/>
                  <w:noWrap w:val="0"/>
                  <w:vAlign w:val="center"/>
                </w:tcPr>
                <w:p w14:paraId="7F3828D4">
                  <w:pPr>
                    <w:pStyle w:val="16"/>
                    <w:spacing w:line="24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总悬浮颗粒物</w:t>
                  </w:r>
                </w:p>
              </w:tc>
              <w:tc>
                <w:tcPr>
                  <w:tcW w:w="3403" w:type="dxa"/>
                  <w:noWrap w:val="0"/>
                  <w:vAlign w:val="center"/>
                </w:tcPr>
                <w:p w14:paraId="3A3F612E">
                  <w:pPr>
                    <w:pStyle w:val="16"/>
                    <w:spacing w:line="240" w:lineRule="auto"/>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次</w:t>
                  </w:r>
                  <w:r>
                    <w:rPr>
                      <w:rFonts w:hint="eastAsia" w:ascii="Times New Roman" w:hAnsi="Times New Roman" w:eastAsia="宋体" w:cs="Times New Roman"/>
                      <w:b w:val="0"/>
                      <w:bCs w:val="0"/>
                      <w:color w:val="auto"/>
                      <w:sz w:val="21"/>
                      <w:szCs w:val="21"/>
                      <w:lang w:val="en-US" w:eastAsia="zh-CN"/>
                    </w:rPr>
                    <w:t>/年；1</w:t>
                  </w:r>
                  <w:r>
                    <w:rPr>
                      <w:rFonts w:hint="default" w:ascii="Times New Roman" w:hAnsi="Times New Roman" w:eastAsia="宋体" w:cs="Times New Roman"/>
                      <w:b w:val="0"/>
                      <w:bCs w:val="0"/>
                      <w:color w:val="auto"/>
                      <w:sz w:val="21"/>
                      <w:szCs w:val="21"/>
                      <w:lang w:val="en-US" w:eastAsia="zh-CN"/>
                    </w:rPr>
                    <w:t>天（</w:t>
                  </w:r>
                  <w:r>
                    <w:rPr>
                      <w:rFonts w:hint="eastAsia" w:ascii="Times New Roman" w:hAnsi="Times New Roman" w:eastAsia="宋体"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lang w:val="en-US" w:eastAsia="zh-CN"/>
                    </w:rPr>
                    <w:t>次/点·天）</w:t>
                  </w:r>
                </w:p>
              </w:tc>
            </w:tr>
            <w:tr w14:paraId="4FA867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center"/>
                </w:tcPr>
                <w:p w14:paraId="4793D459">
                  <w:pPr>
                    <w:pStyle w:val="16"/>
                    <w:spacing w:line="240" w:lineRule="auto"/>
                    <w:jc w:val="center"/>
                    <w:rPr>
                      <w:rFonts w:hint="eastAsia"/>
                      <w:color w:val="auto"/>
                      <w:sz w:val="21"/>
                      <w:szCs w:val="21"/>
                      <w:lang w:val="en-US" w:eastAsia="zh-CN"/>
                    </w:rPr>
                  </w:pPr>
                </w:p>
              </w:tc>
              <w:tc>
                <w:tcPr>
                  <w:tcW w:w="960" w:type="dxa"/>
                  <w:vMerge w:val="continue"/>
                  <w:noWrap w:val="0"/>
                  <w:vAlign w:val="center"/>
                </w:tcPr>
                <w:p w14:paraId="22245748">
                  <w:pPr>
                    <w:pStyle w:val="16"/>
                    <w:spacing w:line="240" w:lineRule="auto"/>
                    <w:jc w:val="center"/>
                    <w:rPr>
                      <w:rFonts w:hint="default"/>
                      <w:color w:val="auto"/>
                      <w:sz w:val="21"/>
                      <w:szCs w:val="21"/>
                      <w:lang w:val="en-US" w:eastAsia="zh-CN"/>
                    </w:rPr>
                  </w:pPr>
                </w:p>
              </w:tc>
              <w:tc>
                <w:tcPr>
                  <w:tcW w:w="1073" w:type="dxa"/>
                  <w:noWrap w:val="0"/>
                  <w:vAlign w:val="center"/>
                </w:tcPr>
                <w:p w14:paraId="38CAB6CD">
                  <w:pPr>
                    <w:pStyle w:val="16"/>
                    <w:spacing w:line="240" w:lineRule="auto"/>
                    <w:jc w:val="center"/>
                    <w:rPr>
                      <w:rFonts w:hint="default"/>
                      <w:color w:val="auto"/>
                      <w:sz w:val="21"/>
                      <w:szCs w:val="21"/>
                      <w:lang w:val="en-US" w:eastAsia="zh-CN"/>
                    </w:rPr>
                  </w:pPr>
                  <w:r>
                    <w:rPr>
                      <w:rFonts w:hint="eastAsia"/>
                      <w:color w:val="auto"/>
                      <w:sz w:val="21"/>
                      <w:szCs w:val="21"/>
                      <w:lang w:val="en-US" w:eastAsia="zh-CN"/>
                    </w:rPr>
                    <w:t>厂区内</w:t>
                  </w:r>
                </w:p>
              </w:tc>
              <w:tc>
                <w:tcPr>
                  <w:tcW w:w="2049" w:type="dxa"/>
                  <w:noWrap w:val="0"/>
                  <w:vAlign w:val="center"/>
                </w:tcPr>
                <w:p w14:paraId="2EBEDE3A">
                  <w:pPr>
                    <w:jc w:val="center"/>
                    <w:rPr>
                      <w:rFonts w:hint="eastAsia"/>
                      <w:bCs/>
                      <w:color w:val="auto"/>
                      <w:szCs w:val="21"/>
                      <w:lang w:val="en-US" w:eastAsia="zh-CN"/>
                    </w:rPr>
                  </w:pPr>
                  <w:r>
                    <w:rPr>
                      <w:rFonts w:hint="eastAsia"/>
                      <w:bCs/>
                      <w:color w:val="auto"/>
                      <w:szCs w:val="21"/>
                      <w:lang w:val="en-US" w:eastAsia="zh-CN"/>
                    </w:rPr>
                    <w:t>非甲烷总烃</w:t>
                  </w:r>
                </w:p>
              </w:tc>
              <w:tc>
                <w:tcPr>
                  <w:tcW w:w="3403" w:type="dxa"/>
                  <w:noWrap w:val="0"/>
                  <w:vAlign w:val="center"/>
                </w:tcPr>
                <w:p w14:paraId="69065FDB">
                  <w:pPr>
                    <w:jc w:val="center"/>
                    <w:rPr>
                      <w:rFonts w:hint="eastAsia"/>
                      <w:color w:val="auto"/>
                      <w:kern w:val="0"/>
                      <w:szCs w:val="21"/>
                    </w:rPr>
                  </w:pPr>
                  <w:r>
                    <w:rPr>
                      <w:rFonts w:hint="eastAsia"/>
                      <w:color w:val="auto"/>
                      <w:kern w:val="0"/>
                      <w:szCs w:val="21"/>
                    </w:rPr>
                    <w:t>1</w:t>
                  </w:r>
                  <w:r>
                    <w:rPr>
                      <w:color w:val="auto"/>
                      <w:kern w:val="0"/>
                      <w:szCs w:val="21"/>
                    </w:rPr>
                    <w:t>次</w:t>
                  </w:r>
                  <w:r>
                    <w:rPr>
                      <w:rFonts w:hint="eastAsia"/>
                      <w:color w:val="auto"/>
                      <w:kern w:val="0"/>
                      <w:szCs w:val="21"/>
                    </w:rPr>
                    <w:t>/年；1</w:t>
                  </w:r>
                  <w:r>
                    <w:rPr>
                      <w:color w:val="auto"/>
                      <w:szCs w:val="21"/>
                    </w:rPr>
                    <w:t>天（</w:t>
                  </w:r>
                  <w:r>
                    <w:rPr>
                      <w:rFonts w:hint="eastAsia"/>
                      <w:color w:val="auto"/>
                      <w:szCs w:val="21"/>
                    </w:rPr>
                    <w:t>3</w:t>
                  </w:r>
                  <w:r>
                    <w:rPr>
                      <w:color w:val="auto"/>
                      <w:szCs w:val="21"/>
                    </w:rPr>
                    <w:t>次/点·天）</w:t>
                  </w:r>
                </w:p>
              </w:tc>
            </w:tr>
          </w:tbl>
          <w:p w14:paraId="3865AF22">
            <w:pPr>
              <w:spacing w:line="360" w:lineRule="auto"/>
              <w:ind w:firstLine="420" w:firstLineChars="200"/>
              <w:rPr>
                <w:rFonts w:hint="eastAsia"/>
                <w:color w:val="auto"/>
                <w:szCs w:val="21"/>
              </w:rPr>
            </w:pPr>
            <w:r>
              <w:rPr>
                <w:rFonts w:hint="eastAsia"/>
                <w:color w:val="auto"/>
                <w:szCs w:val="21"/>
              </w:rPr>
              <w:t>②三同时验收监测计划</w:t>
            </w:r>
          </w:p>
          <w:p w14:paraId="08FE1495">
            <w:pPr>
              <w:spacing w:line="360" w:lineRule="auto"/>
              <w:ind w:firstLine="420" w:firstLineChars="200"/>
              <w:rPr>
                <w:color w:val="auto"/>
                <w:szCs w:val="21"/>
              </w:rPr>
            </w:pPr>
            <w:r>
              <w:rPr>
                <w:color w:val="auto"/>
                <w:szCs w:val="21"/>
              </w:rPr>
              <w:t>本项目竣工验收废</w:t>
            </w:r>
            <w:r>
              <w:rPr>
                <w:rFonts w:hint="eastAsia"/>
                <w:color w:val="auto"/>
                <w:szCs w:val="21"/>
              </w:rPr>
              <w:t>气</w:t>
            </w:r>
            <w:r>
              <w:rPr>
                <w:color w:val="auto"/>
                <w:szCs w:val="21"/>
              </w:rPr>
              <w:t>监测计划如下。</w:t>
            </w:r>
          </w:p>
          <w:p w14:paraId="641F081B">
            <w:pPr>
              <w:adjustRightInd w:val="0"/>
              <w:snapToGrid w:val="0"/>
              <w:spacing w:line="360" w:lineRule="auto"/>
              <w:ind w:firstLine="1897" w:firstLineChars="900"/>
              <w:rPr>
                <w:b/>
                <w:color w:val="auto"/>
                <w:szCs w:val="21"/>
              </w:rPr>
            </w:pPr>
            <w:r>
              <w:rPr>
                <w:rFonts w:hint="eastAsia"/>
                <w:b/>
                <w:bCs/>
                <w:snapToGrid w:val="0"/>
                <w:color w:val="auto"/>
                <w:szCs w:val="21"/>
              </w:rPr>
              <w:t>表4-</w:t>
            </w:r>
            <w:r>
              <w:rPr>
                <w:rFonts w:hint="eastAsia"/>
                <w:b/>
                <w:bCs/>
                <w:snapToGrid w:val="0"/>
                <w:color w:val="auto"/>
                <w:szCs w:val="21"/>
                <w:lang w:val="en-US" w:eastAsia="zh-CN"/>
              </w:rPr>
              <w:t>8</w:t>
            </w:r>
            <w:r>
              <w:rPr>
                <w:rFonts w:hint="eastAsia"/>
                <w:b/>
                <w:bCs/>
                <w:snapToGrid w:val="0"/>
                <w:color w:val="auto"/>
                <w:szCs w:val="21"/>
              </w:rPr>
              <w:t xml:space="preserve"> 本项目大气环保验收监测计划</w:t>
            </w:r>
          </w:p>
          <w:tbl>
            <w:tblPr>
              <w:tblStyle w:val="42"/>
              <w:tblW w:w="850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45"/>
              <w:gridCol w:w="750"/>
              <w:gridCol w:w="1802"/>
              <w:gridCol w:w="3106"/>
              <w:gridCol w:w="1901"/>
            </w:tblGrid>
            <w:tr w14:paraId="124801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695" w:type="dxa"/>
                  <w:gridSpan w:val="2"/>
                  <w:noWrap w:val="0"/>
                  <w:vAlign w:val="center"/>
                </w:tcPr>
                <w:p w14:paraId="4E1273A6">
                  <w:pPr>
                    <w:pStyle w:val="67"/>
                    <w:spacing w:line="240" w:lineRule="auto"/>
                    <w:jc w:val="center"/>
                    <w:rPr>
                      <w:rFonts w:ascii="Times New Roman" w:hAnsi="Times New Roman" w:eastAsia="宋体"/>
                      <w:b/>
                      <w:color w:val="auto"/>
                      <w:szCs w:val="21"/>
                    </w:rPr>
                  </w:pPr>
                  <w:r>
                    <w:rPr>
                      <w:rFonts w:ascii="Times New Roman" w:hAnsi="Times New Roman" w:eastAsia="宋体"/>
                      <w:b/>
                      <w:color w:val="auto"/>
                      <w:szCs w:val="21"/>
                    </w:rPr>
                    <w:t>类别</w:t>
                  </w:r>
                </w:p>
              </w:tc>
              <w:tc>
                <w:tcPr>
                  <w:tcW w:w="1802" w:type="dxa"/>
                  <w:noWrap w:val="0"/>
                  <w:vAlign w:val="center"/>
                </w:tcPr>
                <w:p w14:paraId="30629317">
                  <w:pPr>
                    <w:pStyle w:val="67"/>
                    <w:spacing w:line="240" w:lineRule="auto"/>
                    <w:jc w:val="center"/>
                    <w:rPr>
                      <w:rFonts w:ascii="Times New Roman" w:hAnsi="Times New Roman" w:eastAsia="宋体"/>
                      <w:b/>
                      <w:color w:val="auto"/>
                      <w:szCs w:val="21"/>
                    </w:rPr>
                  </w:pPr>
                  <w:r>
                    <w:rPr>
                      <w:rFonts w:ascii="Times New Roman" w:hAnsi="Times New Roman" w:eastAsia="宋体"/>
                      <w:b/>
                      <w:color w:val="auto"/>
                      <w:szCs w:val="21"/>
                    </w:rPr>
                    <w:t>监测点位</w:t>
                  </w:r>
                </w:p>
              </w:tc>
              <w:tc>
                <w:tcPr>
                  <w:tcW w:w="3106" w:type="dxa"/>
                  <w:noWrap w:val="0"/>
                  <w:vAlign w:val="center"/>
                </w:tcPr>
                <w:p w14:paraId="73A510F4">
                  <w:pPr>
                    <w:pStyle w:val="67"/>
                    <w:spacing w:line="240" w:lineRule="auto"/>
                    <w:jc w:val="center"/>
                    <w:rPr>
                      <w:rFonts w:ascii="Times New Roman" w:hAnsi="Times New Roman" w:eastAsia="宋体"/>
                      <w:b/>
                      <w:color w:val="auto"/>
                      <w:szCs w:val="21"/>
                    </w:rPr>
                  </w:pPr>
                  <w:r>
                    <w:rPr>
                      <w:rFonts w:ascii="Times New Roman" w:hAnsi="Times New Roman" w:eastAsia="宋体"/>
                      <w:b/>
                      <w:color w:val="auto"/>
                      <w:szCs w:val="21"/>
                    </w:rPr>
                    <w:t>监测项目</w:t>
                  </w:r>
                </w:p>
              </w:tc>
              <w:tc>
                <w:tcPr>
                  <w:tcW w:w="1901" w:type="dxa"/>
                  <w:noWrap w:val="0"/>
                  <w:vAlign w:val="center"/>
                </w:tcPr>
                <w:p w14:paraId="46896AE3">
                  <w:pPr>
                    <w:spacing w:line="240" w:lineRule="auto"/>
                    <w:jc w:val="center"/>
                    <w:rPr>
                      <w:b/>
                      <w:color w:val="auto"/>
                      <w:szCs w:val="21"/>
                    </w:rPr>
                  </w:pPr>
                  <w:r>
                    <w:rPr>
                      <w:b/>
                      <w:color w:val="auto"/>
                      <w:szCs w:val="21"/>
                    </w:rPr>
                    <w:t>监测频次</w:t>
                  </w:r>
                </w:p>
              </w:tc>
            </w:tr>
            <w:tr w14:paraId="3753263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945" w:type="dxa"/>
                  <w:vMerge w:val="restart"/>
                  <w:noWrap w:val="0"/>
                  <w:vAlign w:val="center"/>
                </w:tcPr>
                <w:p w14:paraId="588C50D6">
                  <w:pPr>
                    <w:pStyle w:val="67"/>
                    <w:spacing w:line="240" w:lineRule="auto"/>
                    <w:jc w:val="center"/>
                    <w:rPr>
                      <w:rFonts w:ascii="Times New Roman" w:hAnsi="Times New Roman" w:eastAsia="宋体"/>
                      <w:color w:val="auto"/>
                      <w:szCs w:val="21"/>
                    </w:rPr>
                  </w:pPr>
                  <w:r>
                    <w:rPr>
                      <w:rFonts w:ascii="Times New Roman" w:hAnsi="Times New Roman" w:eastAsia="宋体"/>
                      <w:color w:val="auto"/>
                      <w:szCs w:val="21"/>
                    </w:rPr>
                    <w:t>运营期</w:t>
                  </w:r>
                </w:p>
              </w:tc>
              <w:tc>
                <w:tcPr>
                  <w:tcW w:w="750" w:type="dxa"/>
                  <w:vMerge w:val="restart"/>
                  <w:noWrap w:val="0"/>
                  <w:vAlign w:val="center"/>
                </w:tcPr>
                <w:p w14:paraId="46562A5A">
                  <w:pPr>
                    <w:pStyle w:val="67"/>
                    <w:spacing w:line="240" w:lineRule="auto"/>
                    <w:jc w:val="center"/>
                    <w:rPr>
                      <w:rFonts w:ascii="Times New Roman" w:hAnsi="Times New Roman" w:eastAsia="宋体"/>
                      <w:color w:val="auto"/>
                      <w:szCs w:val="21"/>
                    </w:rPr>
                  </w:pPr>
                  <w:r>
                    <w:rPr>
                      <w:rFonts w:ascii="Times New Roman" w:hAnsi="Times New Roman" w:eastAsia="宋体"/>
                      <w:color w:val="auto"/>
                      <w:szCs w:val="21"/>
                    </w:rPr>
                    <w:t>废气</w:t>
                  </w:r>
                </w:p>
              </w:tc>
              <w:tc>
                <w:tcPr>
                  <w:tcW w:w="1802" w:type="dxa"/>
                  <w:noWrap w:val="0"/>
                  <w:vAlign w:val="center"/>
                </w:tcPr>
                <w:p w14:paraId="6F902ABA">
                  <w:pPr>
                    <w:spacing w:line="240" w:lineRule="auto"/>
                    <w:jc w:val="center"/>
                    <w:rPr>
                      <w:rFonts w:hint="default" w:eastAsia="宋体"/>
                      <w:color w:val="auto"/>
                      <w:kern w:val="2"/>
                      <w:sz w:val="21"/>
                      <w:szCs w:val="21"/>
                      <w:lang w:val="en-US" w:eastAsia="zh-CN" w:bidi="ar-SA"/>
                    </w:rPr>
                  </w:pPr>
                  <w:r>
                    <w:rPr>
                      <w:rFonts w:hint="eastAsia" w:eastAsia="宋体"/>
                      <w:color w:val="auto"/>
                      <w:szCs w:val="21"/>
                      <w:lang w:val="en-US" w:eastAsia="zh-CN"/>
                    </w:rPr>
                    <w:t>DA001</w:t>
                  </w:r>
                </w:p>
              </w:tc>
              <w:tc>
                <w:tcPr>
                  <w:tcW w:w="3106" w:type="dxa"/>
                  <w:noWrap w:val="0"/>
                  <w:vAlign w:val="center"/>
                </w:tcPr>
                <w:p w14:paraId="2C2B1756">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颗粒物、二氧化硫、氮氧化物、林格曼黑度、</w:t>
                  </w:r>
                  <w:r>
                    <w:rPr>
                      <w:rFonts w:hint="eastAsia" w:eastAsia="宋体" w:cs="Times New Roman"/>
                      <w:color w:val="auto"/>
                      <w:kern w:val="0"/>
                      <w:sz w:val="21"/>
                      <w:szCs w:val="21"/>
                      <w:lang w:val="en-US" w:eastAsia="zh-CN"/>
                    </w:rPr>
                    <w:t>氧含</w:t>
                  </w:r>
                  <w:r>
                    <w:rPr>
                      <w:rFonts w:hint="eastAsia" w:ascii="Times New Roman" w:hAnsi="Times New Roman" w:eastAsia="宋体" w:cs="Times New Roman"/>
                      <w:color w:val="auto"/>
                      <w:kern w:val="0"/>
                      <w:sz w:val="21"/>
                      <w:szCs w:val="21"/>
                      <w:lang w:val="en-US" w:eastAsia="zh-CN"/>
                    </w:rPr>
                    <w:t>量、低氮燃烧装置进出口效果监测</w:t>
                  </w:r>
                </w:p>
              </w:tc>
              <w:tc>
                <w:tcPr>
                  <w:tcW w:w="1901" w:type="dxa"/>
                  <w:noWrap w:val="0"/>
                  <w:vAlign w:val="center"/>
                </w:tcPr>
                <w:p w14:paraId="2FDB0B62">
                  <w:pPr>
                    <w:spacing w:line="240" w:lineRule="auto"/>
                    <w:jc w:val="center"/>
                    <w:textAlignment w:val="center"/>
                    <w:rPr>
                      <w:color w:val="auto"/>
                      <w:szCs w:val="21"/>
                      <w:lang w:bidi="ar"/>
                    </w:rPr>
                  </w:pPr>
                  <w:r>
                    <w:rPr>
                      <w:rFonts w:hint="eastAsia"/>
                      <w:color w:val="auto"/>
                      <w:szCs w:val="21"/>
                      <w:lang w:val="en-US" w:eastAsia="zh-CN" w:bidi="ar"/>
                    </w:rPr>
                    <w:t>4</w:t>
                  </w:r>
                  <w:r>
                    <w:rPr>
                      <w:color w:val="auto"/>
                      <w:szCs w:val="21"/>
                      <w:lang w:bidi="ar"/>
                    </w:rPr>
                    <w:t>次/天，2天</w:t>
                  </w:r>
                </w:p>
              </w:tc>
            </w:tr>
            <w:tr w14:paraId="6DA3454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945" w:type="dxa"/>
                  <w:vMerge w:val="continue"/>
                  <w:noWrap w:val="0"/>
                  <w:vAlign w:val="center"/>
                </w:tcPr>
                <w:p w14:paraId="1F1B609D">
                  <w:pPr>
                    <w:pStyle w:val="67"/>
                    <w:spacing w:line="240" w:lineRule="auto"/>
                    <w:jc w:val="center"/>
                    <w:rPr>
                      <w:rFonts w:ascii="Times New Roman" w:hAnsi="Times New Roman" w:eastAsia="宋体"/>
                      <w:color w:val="auto"/>
                      <w:szCs w:val="21"/>
                    </w:rPr>
                  </w:pPr>
                </w:p>
              </w:tc>
              <w:tc>
                <w:tcPr>
                  <w:tcW w:w="750" w:type="dxa"/>
                  <w:vMerge w:val="continue"/>
                  <w:noWrap w:val="0"/>
                  <w:vAlign w:val="center"/>
                </w:tcPr>
                <w:p w14:paraId="70D7EEBA">
                  <w:pPr>
                    <w:pStyle w:val="67"/>
                    <w:spacing w:line="240" w:lineRule="auto"/>
                    <w:jc w:val="center"/>
                    <w:rPr>
                      <w:rFonts w:ascii="Times New Roman" w:hAnsi="Times New Roman" w:eastAsia="宋体"/>
                      <w:color w:val="auto"/>
                      <w:szCs w:val="21"/>
                    </w:rPr>
                  </w:pPr>
                </w:p>
              </w:tc>
              <w:tc>
                <w:tcPr>
                  <w:tcW w:w="1802" w:type="dxa"/>
                  <w:noWrap w:val="0"/>
                  <w:vAlign w:val="center"/>
                </w:tcPr>
                <w:p w14:paraId="6759BBAB">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厂界</w:t>
                  </w:r>
                </w:p>
              </w:tc>
              <w:tc>
                <w:tcPr>
                  <w:tcW w:w="3106" w:type="dxa"/>
                  <w:noWrap w:val="0"/>
                  <w:vAlign w:val="center"/>
                </w:tcPr>
                <w:p w14:paraId="0B5CB494">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非甲烷总烃</w:t>
                  </w:r>
                </w:p>
              </w:tc>
              <w:tc>
                <w:tcPr>
                  <w:tcW w:w="1901" w:type="dxa"/>
                  <w:noWrap w:val="0"/>
                  <w:vAlign w:val="center"/>
                </w:tcPr>
                <w:p w14:paraId="0939AC11">
                  <w:pPr>
                    <w:adjustRightInd w:val="0"/>
                    <w:snapToGrid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4次/天，2天</w:t>
                  </w:r>
                </w:p>
              </w:tc>
            </w:tr>
            <w:tr w14:paraId="601AF1C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945" w:type="dxa"/>
                  <w:vMerge w:val="continue"/>
                  <w:noWrap w:val="0"/>
                  <w:vAlign w:val="center"/>
                </w:tcPr>
                <w:p w14:paraId="4172437E">
                  <w:pPr>
                    <w:pStyle w:val="67"/>
                    <w:spacing w:line="240" w:lineRule="auto"/>
                    <w:jc w:val="center"/>
                    <w:rPr>
                      <w:rFonts w:ascii="Times New Roman" w:hAnsi="Times New Roman" w:eastAsia="宋体"/>
                      <w:color w:val="auto"/>
                      <w:szCs w:val="21"/>
                    </w:rPr>
                  </w:pPr>
                </w:p>
              </w:tc>
              <w:tc>
                <w:tcPr>
                  <w:tcW w:w="750" w:type="dxa"/>
                  <w:vMerge w:val="continue"/>
                  <w:noWrap w:val="0"/>
                  <w:vAlign w:val="center"/>
                </w:tcPr>
                <w:p w14:paraId="47A2086F">
                  <w:pPr>
                    <w:pStyle w:val="67"/>
                    <w:spacing w:line="240" w:lineRule="auto"/>
                    <w:jc w:val="center"/>
                    <w:rPr>
                      <w:rFonts w:ascii="Times New Roman" w:hAnsi="Times New Roman" w:eastAsia="宋体"/>
                      <w:color w:val="auto"/>
                      <w:szCs w:val="21"/>
                    </w:rPr>
                  </w:pPr>
                </w:p>
              </w:tc>
              <w:tc>
                <w:tcPr>
                  <w:tcW w:w="1802" w:type="dxa"/>
                  <w:noWrap w:val="0"/>
                  <w:vAlign w:val="center"/>
                </w:tcPr>
                <w:p w14:paraId="537DEA63">
                  <w:pPr>
                    <w:adjustRightInd w:val="0"/>
                    <w:snapToGrid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车间内</w:t>
                  </w:r>
                </w:p>
              </w:tc>
              <w:tc>
                <w:tcPr>
                  <w:tcW w:w="3106" w:type="dxa"/>
                  <w:noWrap w:val="0"/>
                  <w:vAlign w:val="center"/>
                </w:tcPr>
                <w:p w14:paraId="40252E1C">
                  <w:pPr>
                    <w:adjustRightInd w:val="0"/>
                    <w:snapToGrid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总悬浮颗粒物</w:t>
                  </w:r>
                </w:p>
              </w:tc>
              <w:tc>
                <w:tcPr>
                  <w:tcW w:w="1901" w:type="dxa"/>
                  <w:noWrap w:val="0"/>
                  <w:vAlign w:val="center"/>
                </w:tcPr>
                <w:p w14:paraId="15A023AD">
                  <w:pPr>
                    <w:adjustRightInd w:val="0"/>
                    <w:snapToGrid w:val="0"/>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4次/天，2天</w:t>
                  </w:r>
                </w:p>
              </w:tc>
            </w:tr>
            <w:tr w14:paraId="29615BB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945" w:type="dxa"/>
                  <w:vMerge w:val="continue"/>
                  <w:noWrap w:val="0"/>
                  <w:vAlign w:val="center"/>
                </w:tcPr>
                <w:p w14:paraId="6DDAC66E">
                  <w:pPr>
                    <w:pStyle w:val="67"/>
                    <w:spacing w:line="240" w:lineRule="auto"/>
                    <w:jc w:val="center"/>
                    <w:rPr>
                      <w:rFonts w:ascii="Times New Roman" w:hAnsi="Times New Roman" w:eastAsia="宋体"/>
                      <w:color w:val="auto"/>
                      <w:szCs w:val="21"/>
                    </w:rPr>
                  </w:pPr>
                </w:p>
              </w:tc>
              <w:tc>
                <w:tcPr>
                  <w:tcW w:w="750" w:type="dxa"/>
                  <w:vMerge w:val="continue"/>
                  <w:noWrap w:val="0"/>
                  <w:vAlign w:val="center"/>
                </w:tcPr>
                <w:p w14:paraId="73F24D6B">
                  <w:pPr>
                    <w:pStyle w:val="67"/>
                    <w:spacing w:line="240" w:lineRule="auto"/>
                    <w:jc w:val="center"/>
                    <w:rPr>
                      <w:rFonts w:ascii="Times New Roman" w:hAnsi="Times New Roman" w:eastAsia="宋体"/>
                      <w:color w:val="auto"/>
                      <w:szCs w:val="21"/>
                    </w:rPr>
                  </w:pPr>
                </w:p>
              </w:tc>
              <w:tc>
                <w:tcPr>
                  <w:tcW w:w="1802" w:type="dxa"/>
                  <w:noWrap w:val="0"/>
                  <w:vAlign w:val="center"/>
                </w:tcPr>
                <w:p w14:paraId="45788ABF">
                  <w:pPr>
                    <w:adjustRightInd w:val="0"/>
                    <w:snapToGrid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厂区内</w:t>
                  </w:r>
                </w:p>
              </w:tc>
              <w:tc>
                <w:tcPr>
                  <w:tcW w:w="3106" w:type="dxa"/>
                  <w:noWrap w:val="0"/>
                  <w:vAlign w:val="center"/>
                </w:tcPr>
                <w:p w14:paraId="1F478853">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非甲烷总烃</w:t>
                  </w:r>
                </w:p>
              </w:tc>
              <w:tc>
                <w:tcPr>
                  <w:tcW w:w="1901" w:type="dxa"/>
                  <w:noWrap w:val="0"/>
                  <w:vAlign w:val="center"/>
                </w:tcPr>
                <w:p w14:paraId="3407B501">
                  <w:pPr>
                    <w:ind w:left="0" w:leftChars="0" w:firstLine="0" w:firstLineChars="0"/>
                    <w:jc w:val="center"/>
                    <w:textAlignment w:val="center"/>
                    <w:rPr>
                      <w:rFonts w:hint="eastAsia"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 w:val="21"/>
                      <w:szCs w:val="21"/>
                      <w:lang w:val="en-US" w:eastAsia="zh-CN" w:bidi="ar"/>
                    </w:rPr>
                    <w:t>3</w:t>
                  </w:r>
                  <w:r>
                    <w:rPr>
                      <w:rFonts w:hint="default" w:ascii="Times New Roman" w:hAnsi="Times New Roman" w:cs="Times New Roman"/>
                      <w:color w:val="auto"/>
                      <w:sz w:val="21"/>
                      <w:szCs w:val="21"/>
                      <w:lang w:bidi="ar"/>
                    </w:rPr>
                    <w:t>次/天，2天</w:t>
                  </w:r>
                </w:p>
              </w:tc>
            </w:tr>
          </w:tbl>
          <w:p w14:paraId="0185A1CF">
            <w:pPr>
              <w:pStyle w:val="16"/>
              <w:spacing w:line="240" w:lineRule="auto"/>
              <w:ind w:left="420" w:leftChars="200"/>
              <w:rPr>
                <w:color w:val="auto"/>
                <w:sz w:val="21"/>
                <w:szCs w:val="21"/>
              </w:rPr>
            </w:pPr>
            <w:r>
              <w:rPr>
                <w:rFonts w:hint="eastAsia"/>
                <w:color w:val="auto"/>
                <w:sz w:val="21"/>
                <w:szCs w:val="21"/>
              </w:rPr>
              <w:t>③大气环境应急监测方案</w:t>
            </w:r>
          </w:p>
          <w:p w14:paraId="24AD55ED">
            <w:pPr>
              <w:spacing w:line="360" w:lineRule="auto"/>
              <w:ind w:firstLine="420" w:firstLineChars="200"/>
              <w:rPr>
                <w:color w:val="auto"/>
                <w:szCs w:val="21"/>
              </w:rPr>
            </w:pPr>
            <w:r>
              <w:rPr>
                <w:color w:val="auto"/>
                <w:szCs w:val="21"/>
              </w:rPr>
              <w:t>监测因子：</w:t>
            </w:r>
            <w:r>
              <w:rPr>
                <w:rFonts w:hint="eastAsia"/>
                <w:color w:val="auto"/>
                <w:szCs w:val="21"/>
                <w:lang w:val="en-US" w:eastAsia="zh-CN"/>
              </w:rPr>
              <w:t>颗粒物、二氧化硫、氮氧化物、非甲烷总烃</w:t>
            </w:r>
            <w:r>
              <w:rPr>
                <w:color w:val="auto"/>
                <w:szCs w:val="21"/>
              </w:rPr>
              <w:t>。</w:t>
            </w:r>
          </w:p>
          <w:p w14:paraId="13E0EF92">
            <w:pPr>
              <w:spacing w:line="360" w:lineRule="auto"/>
              <w:ind w:firstLine="420" w:firstLineChars="200"/>
              <w:rPr>
                <w:color w:val="auto"/>
                <w:szCs w:val="21"/>
              </w:rPr>
            </w:pPr>
            <w:r>
              <w:rPr>
                <w:color w:val="auto"/>
                <w:szCs w:val="21"/>
              </w:rPr>
              <w:t>监测时间和频次：按照事故持续时间决定监测时间，根据事故严重性决定监测频次。一般情况下每小时取样一次。随事故控制减弱，适当减少监测频次。</w:t>
            </w:r>
          </w:p>
          <w:p w14:paraId="6D58B5D6">
            <w:pPr>
              <w:spacing w:line="360" w:lineRule="auto"/>
              <w:ind w:firstLine="420" w:firstLineChars="200"/>
              <w:rPr>
                <w:color w:val="auto"/>
                <w:szCs w:val="21"/>
              </w:rPr>
            </w:pPr>
            <w:r>
              <w:rPr>
                <w:color w:val="auto"/>
                <w:szCs w:val="21"/>
              </w:rPr>
              <w:t>监测布点：按事故发生时的主导风向的下风向，考虑区域功能设置1个测点，厂界设监控点。</w:t>
            </w:r>
          </w:p>
          <w:p w14:paraId="1DEA514D">
            <w:pPr>
              <w:spacing w:line="360" w:lineRule="auto"/>
              <w:ind w:firstLine="420" w:firstLineChars="200"/>
              <w:rPr>
                <w:rFonts w:hint="default" w:eastAsia="宋体"/>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3）</w:t>
            </w:r>
            <w:r>
              <w:rPr>
                <w:rFonts w:ascii="Times New Roman" w:hAnsi="Times New Roman"/>
                <w:b w:val="0"/>
                <w:bCs w:val="0"/>
                <w:color w:val="auto"/>
                <w:sz w:val="21"/>
                <w:szCs w:val="21"/>
                <w:lang w:val="en-US" w:eastAsia="zh-CN"/>
              </w:rPr>
              <w:t>防治措施可行性分析</w:t>
            </w:r>
          </w:p>
          <w:p w14:paraId="3B5D3424">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低氮燃烧：</w:t>
            </w:r>
            <w:r>
              <w:rPr>
                <w:rFonts w:hint="default" w:ascii="Times New Roman" w:hAnsi="Times New Roman" w:cs="Times New Roman"/>
                <w:color w:val="auto"/>
                <w:kern w:val="0"/>
                <w:sz w:val="21"/>
                <w:szCs w:val="21"/>
                <w:lang w:val="en-US" w:eastAsia="zh-CN" w:bidi="ar"/>
              </w:rPr>
              <w:t>本项目</w:t>
            </w:r>
            <w:r>
              <w:rPr>
                <w:rFonts w:hint="eastAsia" w:ascii="Times New Roman" w:hAnsi="Times New Roman" w:cs="Times New Roman"/>
                <w:color w:val="auto"/>
                <w:kern w:val="0"/>
                <w:sz w:val="21"/>
                <w:szCs w:val="21"/>
                <w:lang w:val="en-US" w:eastAsia="zh-CN" w:bidi="ar"/>
              </w:rPr>
              <w:t>加热炉</w:t>
            </w:r>
            <w:r>
              <w:rPr>
                <w:rFonts w:hint="default" w:ascii="Times New Roman" w:hAnsi="Times New Roman" w:cs="Times New Roman"/>
                <w:color w:val="auto"/>
                <w:kern w:val="0"/>
                <w:sz w:val="21"/>
                <w:szCs w:val="21"/>
                <w:lang w:val="en-US" w:eastAsia="zh-CN" w:bidi="ar"/>
              </w:rPr>
              <w:t>以清洁能源天然气为燃料，并在</w:t>
            </w:r>
            <w:r>
              <w:rPr>
                <w:rFonts w:hint="eastAsia" w:ascii="Times New Roman" w:hAnsi="Times New Roman" w:cs="Times New Roman"/>
                <w:color w:val="auto"/>
                <w:kern w:val="0"/>
                <w:sz w:val="21"/>
                <w:szCs w:val="21"/>
                <w:lang w:val="en-US" w:eastAsia="zh-CN" w:bidi="ar"/>
              </w:rPr>
              <w:t>加热炉</w:t>
            </w:r>
            <w:r>
              <w:rPr>
                <w:rFonts w:hint="default" w:ascii="Times New Roman" w:hAnsi="Times New Roman" w:cs="Times New Roman"/>
                <w:color w:val="auto"/>
                <w:kern w:val="0"/>
                <w:sz w:val="21"/>
                <w:szCs w:val="21"/>
                <w:lang w:val="en-US" w:eastAsia="zh-CN" w:bidi="ar"/>
              </w:rPr>
              <w:t>内部安装有专用的低氮燃烧装置，全预混金属表面燃烧技术是结合了贫燃预混燃烧技术和无焰燃烧技术各自优点的一种低氮燃气燃烧技术，在燃料混合物点燃之前，燃料与氧化剂在分子层面上完全混合。由于预混燃烧没有扩散燃烧，燃料混合物过量空气系统分布均匀，燃尽速度快，通过控制过量空气，可以实现对燃烧温度的控制，从而降低热力型NOx 生成速率。而且无焰燃烧的烟气回流都是发生在燃烧之前，甚至可能在燃烧器当中，这样再循环的烟气加热了预混的燃料，降低了炉膛温度，扩大了反应区域，无焰燃烧火焰分布均匀，燃烧温度低，同时羟基生成少，这使得 NOx产生更少，低氮燃烧</w:t>
            </w:r>
            <w:r>
              <w:rPr>
                <w:rFonts w:hint="eastAsia" w:ascii="Times New Roman" w:hAnsi="Times New Roman" w:cs="Times New Roman"/>
                <w:color w:val="auto"/>
                <w:kern w:val="0"/>
                <w:sz w:val="21"/>
                <w:szCs w:val="21"/>
                <w:lang w:val="en-US" w:eastAsia="zh-CN" w:bidi="ar"/>
              </w:rPr>
              <w:t>在《排污许可证申请与核发技术规范 工业炉窑》（HJ1121—2020）中可行。</w:t>
            </w:r>
          </w:p>
          <w:p w14:paraId="06DB8D7D">
            <w:pPr>
              <w:pStyle w:val="16"/>
              <w:spacing w:line="240" w:lineRule="auto"/>
              <w:ind w:firstLine="420" w:firstLineChars="200"/>
              <w:rPr>
                <w:color w:val="auto"/>
                <w:sz w:val="21"/>
                <w:szCs w:val="21"/>
              </w:rPr>
            </w:pPr>
            <w:r>
              <w:rPr>
                <w:rFonts w:hint="eastAsia"/>
                <w:color w:val="auto"/>
                <w:sz w:val="21"/>
                <w:szCs w:val="21"/>
              </w:rPr>
              <w:t>（4）废气环境影响分析</w:t>
            </w:r>
          </w:p>
          <w:p w14:paraId="0F5199E5">
            <w:pPr>
              <w:pStyle w:val="16"/>
              <w:keepNext w:val="0"/>
              <w:keepLines w:val="0"/>
              <w:pageBreakBefore w:val="0"/>
              <w:kinsoku/>
              <w:wordWrap/>
              <w:overflowPunct/>
              <w:topLinePunct w:val="0"/>
              <w:autoSpaceDE/>
              <w:autoSpaceDN/>
              <w:bidi w:val="0"/>
              <w:adjustRightInd/>
              <w:snapToGrid/>
              <w:spacing w:before="0" w:after="0" w:line="360" w:lineRule="auto"/>
              <w:ind w:right="0" w:firstLine="420" w:firstLineChars="200"/>
              <w:textAlignment w:val="auto"/>
              <w:rPr>
                <w:rFonts w:hint="eastAsia"/>
                <w:color w:val="auto"/>
                <w:sz w:val="21"/>
                <w:szCs w:val="21"/>
              </w:rPr>
            </w:pPr>
            <w:r>
              <w:rPr>
                <w:rFonts w:hint="eastAsia"/>
                <w:color w:val="auto"/>
                <w:sz w:val="21"/>
                <w:szCs w:val="21"/>
                <w:lang w:val="en-US" w:eastAsia="zh-CN"/>
              </w:rPr>
              <w:t>颗粒物、二氧化硫、氮氧化物、非甲烷总烃：</w:t>
            </w:r>
            <w:r>
              <w:rPr>
                <w:rFonts w:hint="eastAsia"/>
                <w:color w:val="auto"/>
                <w:sz w:val="21"/>
                <w:szCs w:val="21"/>
              </w:rPr>
              <w:t>建设项目位于江苏省南通市海门经济技术开发区福州路123号，周边五百米范围内无大气环境保护目标。项目污染物经废气处理装置处理后，排放浓度满足《工业炉窑大气污染物排放标准》（DB32/ 3728-2020）</w:t>
            </w:r>
            <w:r>
              <w:rPr>
                <w:rFonts w:hint="eastAsia"/>
                <w:color w:val="auto"/>
                <w:sz w:val="21"/>
                <w:szCs w:val="21"/>
                <w:lang w:val="en-US" w:eastAsia="zh-CN"/>
              </w:rPr>
              <w:t>和</w:t>
            </w:r>
            <w:r>
              <w:rPr>
                <w:rFonts w:hint="eastAsia" w:ascii="Times New Roman" w:hAnsi="Times New Roman" w:eastAsia="宋体" w:cs="Times New Roman"/>
                <w:color w:val="auto"/>
                <w:sz w:val="21"/>
                <w:szCs w:val="21"/>
              </w:rPr>
              <w:t>《大气污染物综合排放标准》（DB32/4041-2021）</w:t>
            </w:r>
            <w:r>
              <w:rPr>
                <w:rFonts w:hint="eastAsia"/>
                <w:color w:val="auto"/>
                <w:sz w:val="21"/>
                <w:szCs w:val="21"/>
              </w:rPr>
              <w:t>中标准要求，对周围大气环境影响较小，不会改变区域环境空气质量等级，可接受。</w:t>
            </w:r>
          </w:p>
          <w:p w14:paraId="186F5B0C">
            <w:pPr>
              <w:pStyle w:val="16"/>
              <w:keepNext w:val="0"/>
              <w:keepLines w:val="0"/>
              <w:pageBreakBefore w:val="0"/>
              <w:kinsoku/>
              <w:wordWrap/>
              <w:overflowPunct/>
              <w:topLinePunct w:val="0"/>
              <w:autoSpaceDE/>
              <w:autoSpaceDN/>
              <w:bidi w:val="0"/>
              <w:adjustRightInd/>
              <w:snapToGrid/>
              <w:spacing w:before="0" w:after="0" w:line="360" w:lineRule="auto"/>
              <w:ind w:right="0" w:firstLine="422" w:firstLineChars="200"/>
              <w:textAlignment w:val="auto"/>
              <w:rPr>
                <w:b/>
                <w:color w:val="auto"/>
                <w:sz w:val="21"/>
                <w:szCs w:val="21"/>
              </w:rPr>
            </w:pPr>
            <w:r>
              <w:rPr>
                <w:rFonts w:hint="eastAsia"/>
                <w:b/>
                <w:color w:val="auto"/>
                <w:sz w:val="21"/>
                <w:szCs w:val="21"/>
              </w:rPr>
              <w:t>2</w:t>
            </w:r>
            <w:r>
              <w:rPr>
                <w:b/>
                <w:color w:val="auto"/>
                <w:sz w:val="21"/>
                <w:szCs w:val="21"/>
              </w:rPr>
              <w:t>、</w:t>
            </w:r>
            <w:r>
              <w:rPr>
                <w:rFonts w:hint="eastAsia"/>
                <w:b/>
                <w:color w:val="auto"/>
                <w:sz w:val="21"/>
                <w:szCs w:val="21"/>
              </w:rPr>
              <w:t>废水</w:t>
            </w:r>
          </w:p>
          <w:p w14:paraId="72854596">
            <w:pPr>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color w:val="auto"/>
                <w:sz w:val="21"/>
                <w:szCs w:val="21"/>
              </w:rPr>
            </w:pPr>
            <w:r>
              <w:rPr>
                <w:rFonts w:hint="eastAsia"/>
                <w:color w:val="auto"/>
                <w:sz w:val="21"/>
                <w:szCs w:val="21"/>
              </w:rPr>
              <w:t>（1）</w:t>
            </w:r>
            <w:r>
              <w:rPr>
                <w:color w:val="auto"/>
                <w:sz w:val="21"/>
                <w:szCs w:val="21"/>
              </w:rPr>
              <w:t>污染工序及源强分析</w:t>
            </w:r>
          </w:p>
          <w:p w14:paraId="2CF4A7C5">
            <w:pPr>
              <w:adjustRightInd w:val="0"/>
              <w:snapToGrid w:val="0"/>
              <w:spacing w:line="360" w:lineRule="auto"/>
              <w:ind w:firstLine="420" w:firstLineChars="200"/>
              <w:rPr>
                <w:color w:val="auto"/>
                <w:sz w:val="21"/>
                <w:szCs w:val="21"/>
              </w:rPr>
            </w:pPr>
            <w:r>
              <w:rPr>
                <w:rFonts w:hint="default" w:ascii="Times New Roman" w:hAnsi="Times New Roman" w:eastAsia="宋体" w:cs="Times New Roman"/>
                <w:b w:val="0"/>
                <w:bCs w:val="0"/>
                <w:color w:val="auto"/>
                <w:sz w:val="21"/>
                <w:szCs w:val="21"/>
                <w:lang w:val="en-US" w:eastAsia="zh-CN"/>
              </w:rPr>
              <w:t>本项目</w:t>
            </w:r>
            <w:r>
              <w:rPr>
                <w:rFonts w:hint="eastAsia" w:cs="Times New Roman"/>
                <w:b w:val="0"/>
                <w:bCs w:val="0"/>
                <w:color w:val="auto"/>
                <w:sz w:val="21"/>
                <w:szCs w:val="21"/>
                <w:lang w:val="en-US" w:eastAsia="zh-CN"/>
              </w:rPr>
              <w:t>未新增员工</w:t>
            </w:r>
            <w:r>
              <w:rPr>
                <w:rFonts w:hint="eastAsia"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故未新增生活污水，</w:t>
            </w:r>
            <w:r>
              <w:rPr>
                <w:rFonts w:hint="default" w:ascii="Times New Roman" w:hAnsi="Times New Roman" w:eastAsia="宋体" w:cs="Times New Roman"/>
                <w:b w:val="0"/>
                <w:bCs w:val="0"/>
                <w:color w:val="auto"/>
                <w:sz w:val="21"/>
                <w:szCs w:val="21"/>
                <w:lang w:val="en-US" w:eastAsia="zh-CN"/>
              </w:rPr>
              <w:t>设备均不清洗；本项目地面平时采用扫把清扫，不用水进行冲洗，无车间清洗用排水。</w:t>
            </w:r>
          </w:p>
          <w:p w14:paraId="2F9C2AE9">
            <w:pPr>
              <w:pStyle w:val="4"/>
              <w:spacing w:before="0" w:after="0" w:line="360" w:lineRule="auto"/>
              <w:ind w:left="420" w:leftChars="200"/>
              <w:rPr>
                <w:rFonts w:hint="default" w:ascii="Times New Roman" w:hAnsi="Times New Roman"/>
                <w:b w:val="0"/>
                <w:bCs w:val="0"/>
                <w:color w:val="auto"/>
                <w:sz w:val="21"/>
                <w:szCs w:val="21"/>
                <w:lang w:val="en-US" w:eastAsia="zh-CN"/>
              </w:rPr>
            </w:pPr>
            <w:r>
              <w:rPr>
                <w:rFonts w:ascii="Times New Roman" w:hAnsi="Times New Roman"/>
                <w:b w:val="0"/>
                <w:bCs w:val="0"/>
                <w:color w:val="auto"/>
                <w:sz w:val="21"/>
                <w:szCs w:val="21"/>
                <w:lang w:val="en-US" w:eastAsia="zh-CN"/>
              </w:rPr>
              <w:t>1、</w:t>
            </w:r>
            <w:r>
              <w:rPr>
                <w:rFonts w:hint="eastAsia" w:ascii="Times New Roman" w:hAnsi="Times New Roman"/>
                <w:b w:val="0"/>
                <w:bCs w:val="0"/>
                <w:color w:val="auto"/>
                <w:sz w:val="21"/>
                <w:szCs w:val="21"/>
                <w:lang w:val="en-US" w:eastAsia="zh-CN"/>
              </w:rPr>
              <w:t>冷却水</w:t>
            </w:r>
          </w:p>
          <w:p w14:paraId="2332BFA0">
            <w:pPr>
              <w:adjustRightInd w:val="0"/>
              <w:snapToGrid w:val="0"/>
              <w:spacing w:line="360" w:lineRule="auto"/>
              <w:ind w:firstLine="420" w:firstLineChars="200"/>
              <w:jc w:val="left"/>
              <w:rPr>
                <w:rFonts w:hint="eastAsia"/>
                <w:color w:val="auto"/>
                <w:sz w:val="21"/>
                <w:szCs w:val="21"/>
                <w:vertAlign w:val="baseline"/>
                <w:lang w:val="en-US" w:eastAsia="zh-CN"/>
              </w:rPr>
            </w:pPr>
            <w:r>
              <w:rPr>
                <w:rFonts w:hint="eastAsia"/>
                <w:color w:val="auto"/>
                <w:sz w:val="21"/>
                <w:szCs w:val="21"/>
                <w:lang w:val="en-US" w:eastAsia="zh-CN"/>
              </w:rPr>
              <w:t>本项目部分产品锻造后需要放入冷却水池中进行冷却，本项目冷却水池30m</w:t>
            </w:r>
            <w:r>
              <w:rPr>
                <w:rFonts w:hint="eastAsia"/>
                <w:color w:val="auto"/>
                <w:sz w:val="21"/>
                <w:szCs w:val="21"/>
                <w:vertAlign w:val="superscript"/>
                <w:lang w:val="en-US" w:eastAsia="zh-CN"/>
              </w:rPr>
              <w:t>3</w:t>
            </w:r>
            <w:r>
              <w:rPr>
                <w:rFonts w:hint="eastAsia"/>
                <w:color w:val="auto"/>
                <w:sz w:val="21"/>
                <w:szCs w:val="21"/>
                <w:vertAlign w:val="baseline"/>
                <w:lang w:val="en-US" w:eastAsia="zh-CN"/>
              </w:rPr>
              <w:t>，由于锻件在锻造过程中温度在1180-1240℃，下水冷却后，冷却水基本蒸发，冷却过程中需不断补充冷却水，根据业主提供的资料，年用水量约5000吨。</w:t>
            </w:r>
          </w:p>
          <w:p w14:paraId="3E751211">
            <w:pPr>
              <w:numPr>
                <w:ilvl w:val="0"/>
                <w:numId w:val="0"/>
              </w:numPr>
              <w:adjustRightInd w:val="0"/>
              <w:snapToGrid w:val="0"/>
              <w:spacing w:line="360" w:lineRule="auto"/>
              <w:ind w:left="0" w:leftChars="0" w:firstLine="420" w:firstLineChars="200"/>
              <w:jc w:val="left"/>
              <w:rPr>
                <w:rFonts w:hint="eastAsia"/>
                <w:color w:val="auto"/>
                <w:sz w:val="21"/>
                <w:szCs w:val="21"/>
                <w:vertAlign w:val="baseline"/>
                <w:lang w:val="en-US" w:eastAsia="zh-CN"/>
              </w:rPr>
            </w:pPr>
            <w:r>
              <w:rPr>
                <w:rFonts w:hint="eastAsia" w:cs="Times New Roman"/>
                <w:color w:val="auto"/>
                <w:kern w:val="2"/>
                <w:sz w:val="21"/>
                <w:szCs w:val="21"/>
                <w:vertAlign w:val="baseline"/>
                <w:lang w:val="en-US" w:eastAsia="zh-CN" w:bidi="ar-SA"/>
              </w:rPr>
              <w:t>2</w:t>
            </w:r>
            <w:r>
              <w:rPr>
                <w:rFonts w:hint="eastAsia" w:ascii="Times New Roman" w:hAnsi="Times New Roman" w:eastAsia="宋体" w:cs="Times New Roman"/>
                <w:color w:val="auto"/>
                <w:kern w:val="2"/>
                <w:sz w:val="21"/>
                <w:szCs w:val="21"/>
                <w:vertAlign w:val="baseline"/>
                <w:lang w:val="en-US" w:eastAsia="zh-CN" w:bidi="ar-SA"/>
              </w:rPr>
              <w:t>、</w:t>
            </w:r>
            <w:r>
              <w:rPr>
                <w:rFonts w:hint="eastAsia"/>
                <w:color w:val="auto"/>
                <w:sz w:val="21"/>
                <w:szCs w:val="21"/>
                <w:vertAlign w:val="baseline"/>
                <w:lang w:val="en-US" w:eastAsia="zh-CN"/>
              </w:rPr>
              <w:t xml:space="preserve">切削液配置用水 </w:t>
            </w:r>
          </w:p>
          <w:p w14:paraId="44F4532B">
            <w:pPr>
              <w:numPr>
                <w:ilvl w:val="0"/>
                <w:numId w:val="0"/>
              </w:numPr>
              <w:adjustRightInd w:val="0"/>
              <w:snapToGrid w:val="0"/>
              <w:spacing w:line="360" w:lineRule="auto"/>
              <w:ind w:leftChars="200"/>
              <w:jc w:val="left"/>
              <w:rPr>
                <w:rFonts w:hint="eastAsia"/>
                <w:color w:val="auto"/>
                <w:sz w:val="21"/>
                <w:szCs w:val="21"/>
                <w:lang w:val="en-US" w:eastAsia="zh-CN"/>
              </w:rPr>
            </w:pPr>
            <w:r>
              <w:rPr>
                <w:rFonts w:hint="eastAsia"/>
                <w:color w:val="auto"/>
                <w:sz w:val="21"/>
                <w:szCs w:val="21"/>
                <w:lang w:val="en-US" w:eastAsia="zh-CN"/>
              </w:rPr>
              <w:t>根据业主提供的资料，本项目年使用切削液0.5t，使用时原液与水1:50稀释后使用，</w:t>
            </w:r>
          </w:p>
          <w:p w14:paraId="0896B6B6">
            <w:pPr>
              <w:numPr>
                <w:ilvl w:val="0"/>
                <w:numId w:val="0"/>
              </w:numPr>
              <w:adjustRightInd w:val="0"/>
              <w:snapToGrid w:val="0"/>
              <w:spacing w:line="360" w:lineRule="auto"/>
              <w:jc w:val="left"/>
              <w:rPr>
                <w:rFonts w:hint="default" w:ascii="Times New Roman" w:hAnsi="Times New Roman" w:cs="Times New Roman"/>
                <w:b/>
                <w:bCs/>
                <w:color w:val="auto"/>
                <w:sz w:val="21"/>
                <w:szCs w:val="21"/>
                <w:lang w:val="en-US" w:eastAsia="zh-CN"/>
              </w:rPr>
            </w:pPr>
            <w:r>
              <w:rPr>
                <w:rFonts w:hint="eastAsia"/>
                <w:color w:val="auto"/>
                <w:sz w:val="21"/>
                <w:szCs w:val="21"/>
                <w:lang w:val="en-US" w:eastAsia="zh-CN"/>
              </w:rPr>
              <w:t>稀释用水为25t/a，使用过程中约99%的水受热挥发。</w:t>
            </w:r>
          </w:p>
          <w:p w14:paraId="094B54A5">
            <w:pPr>
              <w:pStyle w:val="2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bCs w:val="0"/>
                <w:color w:val="auto"/>
                <w:kern w:val="2"/>
                <w:sz w:val="21"/>
                <w:szCs w:val="21"/>
                <w:lang w:val="en-US" w:eastAsia="zh-CN" w:bidi="ar-SA"/>
              </w:rPr>
              <w:t>3、</w:t>
            </w:r>
            <w:r>
              <w:rPr>
                <w:rFonts w:hint="default" w:ascii="Times New Roman" w:hAnsi="Times New Roman" w:eastAsia="宋体" w:cs="Times New Roman"/>
                <w:b w:val="0"/>
                <w:color w:val="auto"/>
                <w:sz w:val="21"/>
                <w:szCs w:val="21"/>
              </w:rPr>
              <w:t>初期雨水</w:t>
            </w:r>
          </w:p>
          <w:p w14:paraId="49A543E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default" w:ascii="Times New Roman" w:hAnsi="Times New Roman" w:eastAsia="宋体" w:cs="Times New Roman"/>
                <w:color w:val="auto"/>
                <w:sz w:val="21"/>
                <w:szCs w:val="21"/>
              </w:rPr>
            </w:pPr>
            <w:r>
              <w:rPr>
                <w:rFonts w:hint="eastAsia"/>
                <w:color w:val="auto"/>
                <w:sz w:val="22"/>
                <w:szCs w:val="22"/>
              </w:rPr>
              <w:t>设</w:t>
            </w:r>
            <w:r>
              <w:rPr>
                <w:rFonts w:hint="eastAsia" w:ascii="Times New Roman" w:hAnsi="Times New Roman" w:eastAsia="宋体" w:cs="Times New Roman"/>
                <w:color w:val="auto"/>
                <w:sz w:val="21"/>
                <w:szCs w:val="21"/>
              </w:rPr>
              <w:t>计暴雨强度</w:t>
            </w:r>
          </w:p>
          <w:p w14:paraId="25D5CB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设计暴雨强度，按</w:t>
            </w:r>
            <w:r>
              <w:rPr>
                <w:rFonts w:hint="default" w:ascii="Times New Roman" w:hAnsi="Times New Roman" w:eastAsia="宋体" w:cs="Times New Roman"/>
                <w:color w:val="auto"/>
                <w:sz w:val="21"/>
                <w:szCs w:val="21"/>
              </w:rPr>
              <w:t>南通地区暴雨强度公式</w:t>
            </w:r>
            <w:r>
              <w:rPr>
                <w:rFonts w:hint="eastAsia" w:ascii="Times New Roman" w:hAnsi="Times New Roman" w:eastAsia="宋体" w:cs="Times New Roman"/>
                <w:color w:val="auto"/>
                <w:sz w:val="21"/>
                <w:szCs w:val="21"/>
              </w:rPr>
              <w:t>及计算</w:t>
            </w:r>
            <w:r>
              <w:rPr>
                <w:rFonts w:hint="default" w:ascii="Times New Roman" w:hAnsi="Times New Roman" w:eastAsia="宋体" w:cs="Times New Roman"/>
                <w:color w:val="auto"/>
                <w:sz w:val="21"/>
                <w:szCs w:val="21"/>
              </w:rPr>
              <w:t>（通政复（20</w:t>
            </w:r>
            <w:r>
              <w:rPr>
                <w:rFonts w:hint="eastAsia"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186</w:t>
            </w:r>
            <w:r>
              <w:rPr>
                <w:rFonts w:hint="default" w:ascii="Times New Roman" w:hAnsi="Times New Roman" w:eastAsia="宋体" w:cs="Times New Roman"/>
                <w:color w:val="auto"/>
                <w:sz w:val="21"/>
                <w:szCs w:val="21"/>
              </w:rPr>
              <w:t>号文）：</w:t>
            </w:r>
          </w:p>
          <w:p w14:paraId="6818CD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1466850" cy="428625"/>
                  <wp:effectExtent l="0" t="0" r="0" b="9525"/>
                  <wp:docPr id="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
                          <pic:cNvPicPr>
                            <a:picLocks noChangeAspect="1"/>
                          </pic:cNvPicPr>
                        </pic:nvPicPr>
                        <pic:blipFill>
                          <a:blip r:embed="rId9"/>
                          <a:stretch>
                            <a:fillRect/>
                          </a:stretch>
                        </pic:blipFill>
                        <pic:spPr>
                          <a:xfrm>
                            <a:off x="0" y="0"/>
                            <a:ext cx="1466850" cy="428625"/>
                          </a:xfrm>
                          <a:prstGeom prst="rect">
                            <a:avLst/>
                          </a:prstGeom>
                          <a:noFill/>
                          <a:ln>
                            <a:noFill/>
                          </a:ln>
                        </pic:spPr>
                      </pic:pic>
                    </a:graphicData>
                  </a:graphic>
                </wp:inline>
              </w:drawing>
            </w:r>
          </w:p>
          <w:p w14:paraId="72BCF5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式中：i为降雨强度（</w:t>
            </w:r>
            <w:r>
              <w:rPr>
                <w:rFonts w:hint="default" w:ascii="Times New Roman" w:hAnsi="Times New Roman" w:eastAsia="宋体" w:cs="Times New Roman"/>
                <w:color w:val="auto"/>
                <w:sz w:val="21"/>
                <w:szCs w:val="21"/>
              </w:rPr>
              <w:t>mm/min</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rPr>
              <w:t>为降雨历时，取值</w:t>
            </w:r>
            <w:r>
              <w:rPr>
                <w:rFonts w:hint="eastAsia" w:ascii="Times New Roman" w:hAnsi="Times New Roman" w:cs="Times New Roman"/>
                <w:color w:val="auto"/>
                <w:sz w:val="21"/>
                <w:szCs w:val="21"/>
                <w:lang w:val="en-US" w:eastAsia="zh-CN"/>
              </w:rPr>
              <w:t>180</w:t>
            </w:r>
            <w:r>
              <w:rPr>
                <w:rFonts w:hint="default" w:ascii="Times New Roman" w:hAnsi="Times New Roman" w:eastAsia="宋体" w:cs="Times New Roman"/>
                <w:color w:val="auto"/>
                <w:sz w:val="21"/>
                <w:szCs w:val="21"/>
              </w:rPr>
              <w:t>min</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TM</w:t>
            </w:r>
            <w:r>
              <w:rPr>
                <w:rFonts w:hint="eastAsia" w:ascii="Times New Roman" w:hAnsi="Times New Roman" w:eastAsia="宋体" w:cs="Times New Roman"/>
                <w:color w:val="auto"/>
                <w:sz w:val="21"/>
                <w:szCs w:val="21"/>
              </w:rPr>
              <w:t>为重现期（年），</w:t>
            </w:r>
            <w:r>
              <w:rPr>
                <w:rFonts w:hint="default" w:ascii="Times New Roman" w:hAnsi="Times New Roman" w:eastAsia="宋体" w:cs="Times New Roman"/>
                <w:color w:val="auto"/>
                <w:sz w:val="21"/>
                <w:szCs w:val="21"/>
              </w:rPr>
              <w:t>取</w:t>
            </w:r>
            <w:r>
              <w:rPr>
                <w:rFonts w:hint="eastAsia" w:ascii="Times New Roman" w:hAnsi="Times New Roman" w:eastAsia="宋体" w:cs="Times New Roman"/>
                <w:color w:val="auto"/>
                <w:sz w:val="21"/>
                <w:szCs w:val="21"/>
              </w:rPr>
              <w:t>值</w:t>
            </w:r>
            <w:r>
              <w:rPr>
                <w:rFonts w:hint="default" w:ascii="Times New Roman" w:hAnsi="Times New Roman" w:eastAsia="宋体" w:cs="Times New Roman"/>
                <w:color w:val="auto"/>
                <w:sz w:val="21"/>
                <w:szCs w:val="21"/>
              </w:rPr>
              <w:t>3年。</w:t>
            </w:r>
          </w:p>
          <w:p w14:paraId="6AAA16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设计雨水量根据《室外排水设计规范》(GB50014-2006）（2016年版)提供的计算公式计算，计算公式如下：</w:t>
            </w:r>
          </w:p>
          <w:p w14:paraId="5D0F8B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drawing>
                <wp:inline distT="0" distB="0" distL="114300" distR="114300">
                  <wp:extent cx="3807460" cy="1117600"/>
                  <wp:effectExtent l="0" t="0" r="2540" b="6350"/>
                  <wp:docPr id="1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
                          <pic:cNvPicPr>
                            <a:picLocks noChangeAspect="1"/>
                          </pic:cNvPicPr>
                        </pic:nvPicPr>
                        <pic:blipFill>
                          <a:blip r:embed="rId10"/>
                          <a:stretch>
                            <a:fillRect/>
                          </a:stretch>
                        </pic:blipFill>
                        <pic:spPr>
                          <a:xfrm>
                            <a:off x="0" y="0"/>
                            <a:ext cx="3807460" cy="1117600"/>
                          </a:xfrm>
                          <a:prstGeom prst="rect">
                            <a:avLst/>
                          </a:prstGeom>
                          <a:noFill/>
                          <a:ln>
                            <a:noFill/>
                          </a:ln>
                        </pic:spPr>
                      </pic:pic>
                    </a:graphicData>
                  </a:graphic>
                </wp:inline>
              </w:drawing>
            </w:r>
          </w:p>
          <w:p w14:paraId="257D78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w:t>
            </w:r>
            <w:r>
              <w:rPr>
                <w:rFonts w:hint="eastAsia" w:ascii="Times New Roman" w:hAnsi="Times New Roman" w:eastAsia="宋体" w:cs="Times New Roman"/>
                <w:color w:val="auto"/>
                <w:sz w:val="21"/>
                <w:szCs w:val="21"/>
              </w:rPr>
              <w:t>厂区</w:t>
            </w:r>
            <w:r>
              <w:rPr>
                <w:rFonts w:hint="default" w:ascii="Times New Roman" w:hAnsi="Times New Roman" w:eastAsia="宋体" w:cs="Times New Roman"/>
                <w:color w:val="auto"/>
                <w:sz w:val="21"/>
                <w:szCs w:val="21"/>
              </w:rPr>
              <w:t>总平图，</w:t>
            </w:r>
            <w:r>
              <w:rPr>
                <w:rFonts w:hint="eastAsia"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rPr>
              <w:t>区域</w:t>
            </w:r>
            <w:r>
              <w:rPr>
                <w:rFonts w:hint="eastAsia" w:ascii="Times New Roman" w:hAnsi="Times New Roman" w:eastAsia="宋体" w:cs="Times New Roman"/>
                <w:color w:val="auto"/>
                <w:sz w:val="21"/>
                <w:szCs w:val="21"/>
              </w:rPr>
              <w:t>汇水</w:t>
            </w:r>
            <w:r>
              <w:rPr>
                <w:rFonts w:hint="default" w:ascii="Times New Roman" w:hAnsi="Times New Roman" w:eastAsia="宋体" w:cs="Times New Roman"/>
                <w:color w:val="auto"/>
                <w:sz w:val="21"/>
                <w:szCs w:val="21"/>
              </w:rPr>
              <w:t>面积</w:t>
            </w:r>
            <w:r>
              <w:rPr>
                <w:rFonts w:hint="eastAsia" w:ascii="Times New Roman" w:hAnsi="Times New Roman" w:eastAsia="宋体" w:cs="Times New Roman"/>
                <w:color w:val="auto"/>
                <w:sz w:val="21"/>
                <w:szCs w:val="21"/>
                <w:lang w:eastAsia="zh-CN"/>
              </w:rPr>
              <w:t>约为</w:t>
            </w:r>
            <w:r>
              <w:rPr>
                <w:rFonts w:hint="eastAsia" w:ascii="Times New Roman" w:hAnsi="Times New Roman" w:eastAsia="宋体" w:cs="Times New Roman"/>
                <w:color w:val="auto"/>
                <w:sz w:val="21"/>
                <w:szCs w:val="21"/>
                <w:lang w:val="en-US" w:eastAsia="zh-CN"/>
              </w:rPr>
              <w:t>10000</w:t>
            </w:r>
            <w:r>
              <w:rPr>
                <w:rFonts w:hint="default"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径流系数取值0.9；</w:t>
            </w:r>
          </w:p>
          <w:p w14:paraId="08B815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代入暴雨强度公式</w:t>
            </w:r>
            <w:r>
              <w:rPr>
                <w:rFonts w:hint="eastAsia" w:ascii="Times New Roman" w:hAnsi="Times New Roman" w:eastAsia="宋体" w:cs="Times New Roman"/>
                <w:color w:val="auto"/>
                <w:sz w:val="21"/>
                <w:szCs w:val="21"/>
              </w:rPr>
              <w:t>和雨水量计算公式，</w:t>
            </w:r>
            <w:r>
              <w:rPr>
                <w:rFonts w:hint="default" w:ascii="Times New Roman" w:hAnsi="Times New Roman" w:eastAsia="宋体" w:cs="Times New Roman"/>
                <w:color w:val="auto"/>
                <w:sz w:val="21"/>
                <w:szCs w:val="21"/>
              </w:rPr>
              <w:t>计算</w:t>
            </w:r>
            <w:r>
              <w:rPr>
                <w:rFonts w:hint="eastAsia" w:ascii="Times New Roman" w:hAnsi="Times New Roman" w:eastAsia="宋体" w:cs="Times New Roman"/>
                <w:color w:val="auto"/>
                <w:sz w:val="21"/>
                <w:szCs w:val="21"/>
              </w:rPr>
              <w:t>暴雨强度</w:t>
            </w:r>
            <w:r>
              <w:rPr>
                <w:rFonts w:hint="default" w:ascii="Times New Roman" w:hAnsi="Times New Roman" w:eastAsia="宋体" w:cs="Times New Roman"/>
                <w:color w:val="auto"/>
                <w:sz w:val="21"/>
                <w:szCs w:val="21"/>
              </w:rPr>
              <w:t>为</w:t>
            </w:r>
            <w:r>
              <w:rPr>
                <w:rFonts w:hint="eastAsia" w:ascii="Times New Roman" w:hAnsi="Times New Roman" w:cs="Times New Roman"/>
                <w:color w:val="auto"/>
                <w:sz w:val="21"/>
                <w:szCs w:val="21"/>
                <w:lang w:val="en-US" w:eastAsia="zh-CN"/>
              </w:rPr>
              <w:t>79</w:t>
            </w:r>
            <w:r>
              <w:rPr>
                <w:rFonts w:hint="default" w:ascii="Times New Roman" w:hAnsi="Times New Roman" w:eastAsia="宋体" w:cs="Times New Roman"/>
                <w:color w:val="auto"/>
                <w:sz w:val="21"/>
                <w:szCs w:val="21"/>
              </w:rPr>
              <w:t>L/</w:t>
            </w:r>
            <w:r>
              <w:rPr>
                <w:rFonts w:hint="eastAsia" w:ascii="Times New Roman" w:hAnsi="Times New Roman" w:eastAsia="宋体" w:cs="Times New Roman"/>
                <w:color w:val="auto"/>
                <w:sz w:val="21"/>
                <w:szCs w:val="21"/>
              </w:rPr>
              <w:t>（s·h</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，取</w:t>
            </w:r>
            <w:r>
              <w:rPr>
                <w:rFonts w:hint="eastAsia" w:ascii="Times New Roman" w:hAnsi="Times New Roman" w:eastAsia="宋体" w:cs="Times New Roman"/>
                <w:color w:val="auto"/>
                <w:sz w:val="21"/>
                <w:szCs w:val="21"/>
              </w:rPr>
              <w:t>前</w:t>
            </w:r>
            <w:r>
              <w:rPr>
                <w:rFonts w:hint="default" w:ascii="Times New Roman" w:hAnsi="Times New Roman" w:eastAsia="宋体" w:cs="Times New Roman"/>
                <w:color w:val="auto"/>
                <w:sz w:val="21"/>
                <w:szCs w:val="21"/>
              </w:rPr>
              <w:t>15min</w:t>
            </w:r>
            <w:r>
              <w:rPr>
                <w:rFonts w:hint="eastAsia" w:ascii="Times New Roman" w:hAnsi="Times New Roman" w:eastAsia="宋体" w:cs="Times New Roman"/>
                <w:color w:val="auto"/>
                <w:sz w:val="21"/>
                <w:szCs w:val="21"/>
              </w:rPr>
              <w:t>降雨水量为初期雨水量，即设计初期雨水量</w:t>
            </w:r>
            <w:r>
              <w:rPr>
                <w:rFonts w:hint="eastAsia" w:ascii="Times New Roman" w:hAnsi="Times New Roman" w:eastAsia="宋体" w:cs="Times New Roman"/>
                <w:color w:val="auto"/>
                <w:sz w:val="21"/>
                <w:szCs w:val="21"/>
                <w:lang w:eastAsia="zh-CN"/>
              </w:rPr>
              <w:t>约</w:t>
            </w:r>
            <w:r>
              <w:rPr>
                <w:rFonts w:hint="eastAsia" w:ascii="Times New Roman" w:hAnsi="Times New Roman" w:eastAsia="宋体" w:cs="Times New Roman"/>
                <w:color w:val="auto"/>
                <w:sz w:val="21"/>
                <w:szCs w:val="21"/>
              </w:rPr>
              <w:t>为</w:t>
            </w:r>
            <w:r>
              <w:rPr>
                <w:rFonts w:hint="eastAsia" w:ascii="Times New Roman" w:hAnsi="Times New Roman" w:cs="Times New Roman"/>
                <w:color w:val="auto"/>
                <w:sz w:val="21"/>
                <w:szCs w:val="21"/>
                <w:lang w:val="en-US" w:eastAsia="zh-CN"/>
              </w:rPr>
              <w:t>64.4</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rPr>
              <w:t>。</w:t>
            </w:r>
          </w:p>
          <w:p w14:paraId="7D67A8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厂区内</w:t>
            </w:r>
            <w:r>
              <w:rPr>
                <w:rFonts w:hint="eastAsia" w:ascii="Times New Roman" w:hAnsi="Times New Roman" w:eastAsia="宋体" w:cs="Times New Roman"/>
                <w:color w:val="auto"/>
                <w:sz w:val="21"/>
                <w:szCs w:val="21"/>
                <w:lang w:val="en-US" w:eastAsia="zh-CN"/>
              </w:rPr>
              <w:t>建有</w:t>
            </w:r>
            <w:r>
              <w:rPr>
                <w:rFonts w:hint="eastAsia" w:ascii="Times New Roman" w:hAnsi="Times New Roman" w:cs="Times New Roman"/>
                <w:color w:val="auto"/>
                <w:sz w:val="21"/>
                <w:szCs w:val="21"/>
                <w:lang w:val="en-US" w:eastAsia="zh-CN"/>
              </w:rPr>
              <w:t>65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初期雨水</w:t>
            </w:r>
            <w:r>
              <w:rPr>
                <w:rFonts w:hint="default" w:ascii="Times New Roman" w:hAnsi="Times New Roman" w:eastAsia="宋体" w:cs="Times New Roman"/>
                <w:color w:val="auto"/>
                <w:sz w:val="21"/>
                <w:szCs w:val="21"/>
              </w:rPr>
              <w:t>池，可满足要求。</w:t>
            </w:r>
          </w:p>
          <w:p w14:paraId="5C0EF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b w:val="0"/>
                <w:bCs w:val="0"/>
                <w:color w:val="auto"/>
                <w:sz w:val="21"/>
                <w:szCs w:val="21"/>
              </w:rPr>
            </w:pPr>
            <w:r>
              <w:rPr>
                <w:rFonts w:hint="default" w:ascii="Times New Roman" w:hAnsi="Times New Roman" w:eastAsia="宋体" w:cs="Times New Roman"/>
                <w:b w:val="0"/>
                <w:bCs w:val="0"/>
                <w:color w:val="auto"/>
                <w:sz w:val="21"/>
                <w:szCs w:val="21"/>
              </w:rPr>
              <w:t>全年间歇降雨频次按1</w:t>
            </w:r>
            <w:r>
              <w:rPr>
                <w:rFonts w:hint="eastAsia" w:ascii="Times New Roman" w:hAnsi="Times New Roman" w:eastAsia="宋体" w:cs="Times New Roman"/>
                <w:b w:val="0"/>
                <w:bCs w:val="0"/>
                <w:color w:val="auto"/>
                <w:sz w:val="21"/>
                <w:szCs w:val="21"/>
              </w:rPr>
              <w:t>0</w:t>
            </w:r>
            <w:r>
              <w:rPr>
                <w:rFonts w:hint="default" w:ascii="Times New Roman" w:hAnsi="Times New Roman" w:eastAsia="宋体" w:cs="Times New Roman"/>
                <w:b w:val="0"/>
                <w:bCs w:val="0"/>
                <w:color w:val="auto"/>
                <w:sz w:val="21"/>
                <w:szCs w:val="21"/>
              </w:rPr>
              <w:t>次/年计</w:t>
            </w:r>
            <w:r>
              <w:rPr>
                <w:rFonts w:hint="eastAsia" w:ascii="Times New Roman" w:hAnsi="Times New Roman" w:eastAsia="宋体"/>
                <w:b w:val="0"/>
                <w:bCs w:val="0"/>
                <w:color w:val="auto"/>
                <w:sz w:val="21"/>
                <w:szCs w:val="21"/>
                <w:lang w:val="en-US" w:eastAsia="zh-CN"/>
              </w:rPr>
              <w:t>，则</w:t>
            </w:r>
            <w:r>
              <w:rPr>
                <w:rFonts w:hint="eastAsia" w:ascii="Times New Roman" w:hAnsi="Times New Roman" w:eastAsia="宋体"/>
                <w:b w:val="0"/>
                <w:color w:val="auto"/>
                <w:sz w:val="21"/>
                <w:szCs w:val="21"/>
                <w:lang w:val="en-US" w:eastAsia="zh-CN"/>
              </w:rPr>
              <w:t>初期雨水量为644t/a。</w:t>
            </w:r>
            <w:r>
              <w:rPr>
                <w:rFonts w:hint="eastAsia" w:ascii="Times New Roman" w:hAnsi="Times New Roman" w:eastAsia="宋体" w:cs="Times New Roman"/>
                <w:b w:val="0"/>
                <w:bCs w:val="0"/>
                <w:color w:val="auto"/>
                <w:kern w:val="2"/>
                <w:sz w:val="21"/>
                <w:szCs w:val="21"/>
                <w:lang w:val="en-US" w:eastAsia="zh-CN" w:bidi="ar-SA"/>
              </w:rPr>
              <w:t>本项目原料存放在厂房内，不露天设置，下雨时不涉及相关污染物，不会对雨水造成污染，</w:t>
            </w:r>
            <w:r>
              <w:rPr>
                <w:rFonts w:ascii="Times New Roman" w:hAnsi="Times New Roman" w:eastAsia="宋体"/>
                <w:b w:val="0"/>
                <w:color w:val="auto"/>
                <w:sz w:val="21"/>
                <w:szCs w:val="21"/>
              </w:rPr>
              <w:t>初期雨水</w:t>
            </w:r>
            <w:r>
              <w:rPr>
                <w:rFonts w:hint="eastAsia" w:ascii="Times New Roman" w:hAnsi="Times New Roman" w:eastAsia="宋体"/>
                <w:b w:val="0"/>
                <w:color w:val="auto"/>
                <w:sz w:val="21"/>
                <w:szCs w:val="21"/>
              </w:rPr>
              <w:t>经初期雨水收集池收集后</w:t>
            </w:r>
            <w:r>
              <w:rPr>
                <w:rFonts w:hint="eastAsia"/>
                <w:b w:val="0"/>
                <w:color w:val="auto"/>
                <w:sz w:val="21"/>
                <w:szCs w:val="21"/>
                <w:lang w:val="en-US" w:eastAsia="zh-CN"/>
              </w:rPr>
              <w:t>接管至海门经济技术开发区污水处理厂，</w:t>
            </w:r>
            <w:r>
              <w:rPr>
                <w:rFonts w:hint="eastAsia" w:ascii="Times New Roman" w:hAnsi="Times New Roman" w:eastAsia="宋体"/>
                <w:b w:val="0"/>
                <w:color w:val="auto"/>
                <w:sz w:val="21"/>
                <w:szCs w:val="21"/>
              </w:rPr>
              <w:t>后期雨水排入市政雨水管网，最终排入</w:t>
            </w:r>
            <w:r>
              <w:rPr>
                <w:rFonts w:hint="eastAsia" w:ascii="Times New Roman" w:hAnsi="Times New Roman" w:eastAsia="宋体"/>
                <w:b w:val="0"/>
                <w:color w:val="auto"/>
                <w:sz w:val="21"/>
                <w:szCs w:val="21"/>
                <w:lang w:val="en-US" w:eastAsia="zh-CN"/>
              </w:rPr>
              <w:t>浒通河</w:t>
            </w:r>
            <w:r>
              <w:rPr>
                <w:rFonts w:hint="eastAsia" w:eastAsia="宋体"/>
                <w:b w:val="0"/>
                <w:bCs w:val="0"/>
                <w:color w:val="auto"/>
                <w:sz w:val="21"/>
                <w:szCs w:val="21"/>
              </w:rPr>
              <w:t>。</w:t>
            </w:r>
          </w:p>
          <w:p w14:paraId="734D9A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2</w:t>
            </w:r>
            <w:r>
              <w:rPr>
                <w:rFonts w:hint="eastAsia" w:ascii="Times New Roman" w:hAnsi="Times New Roman" w:eastAsia="宋体" w:cs="Times New Roman"/>
                <w:color w:val="auto"/>
                <w:kern w:val="2"/>
                <w:sz w:val="21"/>
                <w:szCs w:val="21"/>
                <w:lang w:val="en-US" w:eastAsia="zh-CN" w:bidi="ar-SA"/>
              </w:rPr>
              <w:t>）</w:t>
            </w:r>
            <w:r>
              <w:rPr>
                <w:rFonts w:hint="eastAsia"/>
                <w:color w:val="auto"/>
                <w:sz w:val="21"/>
                <w:szCs w:val="21"/>
                <w:lang w:val="en-US" w:eastAsia="zh-CN"/>
              </w:rPr>
              <w:t xml:space="preserve">本项目污水源强核算 </w:t>
            </w:r>
          </w:p>
          <w:p w14:paraId="5EF8328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b/>
                <w:bCs/>
                <w:color w:val="auto"/>
                <w:sz w:val="21"/>
                <w:szCs w:val="21"/>
                <w:lang w:val="en-US" w:eastAsia="zh-CN"/>
              </w:rPr>
            </w:pPr>
            <w:r>
              <w:rPr>
                <w:rFonts w:hint="eastAsia"/>
                <w:b/>
                <w:bCs/>
                <w:color w:val="auto"/>
                <w:sz w:val="21"/>
                <w:szCs w:val="21"/>
                <w:lang w:val="en-US" w:eastAsia="zh-CN"/>
              </w:rPr>
              <w:t>表4-9 本项目水污染物浓度及产排量</w:t>
            </w:r>
          </w:p>
          <w:tbl>
            <w:tblPr>
              <w:tblStyle w:val="4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51"/>
              <w:gridCol w:w="917"/>
              <w:gridCol w:w="936"/>
              <w:gridCol w:w="1350"/>
              <w:gridCol w:w="1170"/>
              <w:gridCol w:w="1155"/>
              <w:gridCol w:w="1170"/>
            </w:tblGrid>
            <w:tr w14:paraId="1BFEC4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4A08C81">
                  <w:pPr>
                    <w:spacing w:line="240" w:lineRule="auto"/>
                    <w:jc w:val="center"/>
                    <w:rPr>
                      <w:color w:val="auto"/>
                    </w:rPr>
                  </w:pPr>
                  <w:r>
                    <w:rPr>
                      <w:rFonts w:hint="eastAsia"/>
                      <w:color w:val="auto"/>
                    </w:rPr>
                    <w:t>废水名称</w:t>
                  </w:r>
                </w:p>
              </w:tc>
              <w:tc>
                <w:tcPr>
                  <w:tcW w:w="851" w:type="dxa"/>
                  <w:vAlign w:val="center"/>
                </w:tcPr>
                <w:p w14:paraId="1220D4B0">
                  <w:pPr>
                    <w:spacing w:line="240" w:lineRule="auto"/>
                    <w:jc w:val="center"/>
                    <w:rPr>
                      <w:color w:val="auto"/>
                    </w:rPr>
                  </w:pPr>
                  <w:r>
                    <w:rPr>
                      <w:rFonts w:hint="eastAsia"/>
                      <w:color w:val="auto"/>
                    </w:rPr>
                    <w:t>废水量（t/a）</w:t>
                  </w:r>
                </w:p>
              </w:tc>
              <w:tc>
                <w:tcPr>
                  <w:tcW w:w="917" w:type="dxa"/>
                  <w:vAlign w:val="center"/>
                </w:tcPr>
                <w:p w14:paraId="39211619">
                  <w:pPr>
                    <w:spacing w:line="240" w:lineRule="auto"/>
                    <w:jc w:val="center"/>
                    <w:rPr>
                      <w:color w:val="auto"/>
                    </w:rPr>
                  </w:pPr>
                  <w:r>
                    <w:rPr>
                      <w:rFonts w:hint="eastAsia"/>
                      <w:color w:val="auto"/>
                    </w:rPr>
                    <w:t>污染物名称</w:t>
                  </w:r>
                </w:p>
              </w:tc>
              <w:tc>
                <w:tcPr>
                  <w:tcW w:w="936" w:type="dxa"/>
                  <w:vAlign w:val="center"/>
                </w:tcPr>
                <w:p w14:paraId="277E06E5">
                  <w:pPr>
                    <w:spacing w:line="240" w:lineRule="auto"/>
                    <w:jc w:val="center"/>
                    <w:rPr>
                      <w:color w:val="auto"/>
                    </w:rPr>
                  </w:pPr>
                  <w:r>
                    <w:rPr>
                      <w:rFonts w:hint="eastAsia"/>
                      <w:color w:val="auto"/>
                    </w:rPr>
                    <w:t>产生浓度mg/L</w:t>
                  </w:r>
                </w:p>
              </w:tc>
              <w:tc>
                <w:tcPr>
                  <w:tcW w:w="1350" w:type="dxa"/>
                  <w:vAlign w:val="center"/>
                </w:tcPr>
                <w:p w14:paraId="306DB81E">
                  <w:pPr>
                    <w:spacing w:line="240" w:lineRule="auto"/>
                    <w:jc w:val="center"/>
                    <w:rPr>
                      <w:color w:val="auto"/>
                    </w:rPr>
                  </w:pPr>
                  <w:r>
                    <w:rPr>
                      <w:rFonts w:hint="eastAsia"/>
                      <w:color w:val="auto"/>
                    </w:rPr>
                    <w:t>产生量t/a</w:t>
                  </w:r>
                </w:p>
              </w:tc>
              <w:tc>
                <w:tcPr>
                  <w:tcW w:w="1170" w:type="dxa"/>
                  <w:vAlign w:val="center"/>
                </w:tcPr>
                <w:p w14:paraId="6808C16C">
                  <w:pPr>
                    <w:spacing w:line="240" w:lineRule="auto"/>
                    <w:jc w:val="center"/>
                    <w:rPr>
                      <w:color w:val="auto"/>
                    </w:rPr>
                  </w:pPr>
                  <w:r>
                    <w:rPr>
                      <w:rFonts w:hint="eastAsia"/>
                      <w:color w:val="auto"/>
                    </w:rPr>
                    <w:t>治理措施</w:t>
                  </w:r>
                </w:p>
              </w:tc>
              <w:tc>
                <w:tcPr>
                  <w:tcW w:w="1155" w:type="dxa"/>
                  <w:vAlign w:val="center"/>
                </w:tcPr>
                <w:p w14:paraId="646FB309">
                  <w:pPr>
                    <w:spacing w:line="240" w:lineRule="auto"/>
                    <w:jc w:val="center"/>
                    <w:rPr>
                      <w:color w:val="auto"/>
                    </w:rPr>
                  </w:pPr>
                  <w:r>
                    <w:rPr>
                      <w:rFonts w:hint="eastAsia"/>
                      <w:color w:val="auto"/>
                    </w:rPr>
                    <w:t>排放浓度mg/L</w:t>
                  </w:r>
                </w:p>
              </w:tc>
              <w:tc>
                <w:tcPr>
                  <w:tcW w:w="1170" w:type="dxa"/>
                  <w:vAlign w:val="center"/>
                </w:tcPr>
                <w:p w14:paraId="6D3480AE">
                  <w:pPr>
                    <w:spacing w:line="240" w:lineRule="auto"/>
                    <w:jc w:val="center"/>
                    <w:rPr>
                      <w:color w:val="auto"/>
                    </w:rPr>
                  </w:pPr>
                  <w:r>
                    <w:rPr>
                      <w:rFonts w:hint="eastAsia"/>
                      <w:color w:val="auto"/>
                    </w:rPr>
                    <w:t>排放量t/a</w:t>
                  </w:r>
                </w:p>
              </w:tc>
            </w:tr>
            <w:tr w14:paraId="43D1C2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7" w:type="dxa"/>
                  <w:vMerge w:val="restart"/>
                  <w:vAlign w:val="center"/>
                </w:tcPr>
                <w:p w14:paraId="36B1FF2A">
                  <w:pPr>
                    <w:spacing w:line="240" w:lineRule="auto"/>
                    <w:jc w:val="center"/>
                    <w:rPr>
                      <w:rFonts w:hint="default" w:eastAsia="宋体"/>
                      <w:color w:val="auto"/>
                      <w:lang w:val="en-US" w:eastAsia="zh-CN"/>
                    </w:rPr>
                  </w:pPr>
                  <w:r>
                    <w:rPr>
                      <w:rFonts w:hint="eastAsia"/>
                      <w:color w:val="auto"/>
                      <w:lang w:val="en-US" w:eastAsia="zh-CN"/>
                    </w:rPr>
                    <w:t>初期雨水</w:t>
                  </w:r>
                </w:p>
              </w:tc>
              <w:tc>
                <w:tcPr>
                  <w:tcW w:w="851" w:type="dxa"/>
                  <w:vMerge w:val="restart"/>
                  <w:vAlign w:val="center"/>
                </w:tcPr>
                <w:p w14:paraId="145F3D9D">
                  <w:pPr>
                    <w:spacing w:line="240" w:lineRule="auto"/>
                    <w:jc w:val="center"/>
                    <w:rPr>
                      <w:rFonts w:hint="default" w:eastAsia="宋体"/>
                      <w:color w:val="auto"/>
                      <w:lang w:val="en-US" w:eastAsia="zh-CN"/>
                    </w:rPr>
                  </w:pPr>
                  <w:r>
                    <w:rPr>
                      <w:rFonts w:hint="eastAsia"/>
                      <w:color w:val="auto"/>
                      <w:lang w:val="en-US" w:eastAsia="zh-CN"/>
                    </w:rPr>
                    <w:t>644</w:t>
                  </w:r>
                </w:p>
              </w:tc>
              <w:tc>
                <w:tcPr>
                  <w:tcW w:w="917" w:type="dxa"/>
                  <w:vAlign w:val="center"/>
                </w:tcPr>
                <w:p w14:paraId="11823806">
                  <w:pPr>
                    <w:spacing w:line="240" w:lineRule="auto"/>
                    <w:jc w:val="center"/>
                    <w:rPr>
                      <w:rFonts w:hint="eastAsia"/>
                      <w:color w:val="auto"/>
                    </w:rPr>
                  </w:pPr>
                  <w:r>
                    <w:rPr>
                      <w:rFonts w:hint="eastAsia"/>
                      <w:color w:val="auto"/>
                    </w:rPr>
                    <w:t>COD</w:t>
                  </w:r>
                </w:p>
              </w:tc>
              <w:tc>
                <w:tcPr>
                  <w:tcW w:w="936" w:type="dxa"/>
                  <w:vAlign w:val="center"/>
                </w:tcPr>
                <w:p w14:paraId="0A8B5509">
                  <w:pPr>
                    <w:spacing w:line="240" w:lineRule="auto"/>
                    <w:jc w:val="center"/>
                    <w:rPr>
                      <w:rFonts w:hint="default"/>
                      <w:color w:val="auto"/>
                      <w:lang w:val="en-US" w:eastAsia="zh-CN"/>
                    </w:rPr>
                  </w:pPr>
                  <w:r>
                    <w:rPr>
                      <w:rFonts w:hint="eastAsia"/>
                      <w:color w:val="auto"/>
                      <w:lang w:val="en-US" w:eastAsia="zh-CN"/>
                    </w:rPr>
                    <w:t>100</w:t>
                  </w:r>
                </w:p>
              </w:tc>
              <w:tc>
                <w:tcPr>
                  <w:tcW w:w="1350" w:type="dxa"/>
                  <w:vAlign w:val="center"/>
                </w:tcPr>
                <w:p w14:paraId="15BEA8D7">
                  <w:pPr>
                    <w:spacing w:line="240" w:lineRule="auto"/>
                    <w:jc w:val="center"/>
                    <w:rPr>
                      <w:rFonts w:hint="default"/>
                      <w:color w:val="auto"/>
                      <w:szCs w:val="21"/>
                      <w:lang w:val="en-US" w:eastAsia="zh-CN"/>
                    </w:rPr>
                  </w:pPr>
                  <w:r>
                    <w:rPr>
                      <w:rFonts w:hint="eastAsia"/>
                      <w:color w:val="auto"/>
                      <w:szCs w:val="21"/>
                      <w:lang w:val="en-US" w:eastAsia="zh-CN"/>
                    </w:rPr>
                    <w:t>0.0644</w:t>
                  </w:r>
                </w:p>
              </w:tc>
              <w:tc>
                <w:tcPr>
                  <w:tcW w:w="1170" w:type="dxa"/>
                  <w:vMerge w:val="restart"/>
                  <w:vAlign w:val="center"/>
                </w:tcPr>
                <w:p w14:paraId="5A868918">
                  <w:pPr>
                    <w:spacing w:line="240" w:lineRule="auto"/>
                    <w:jc w:val="center"/>
                    <w:rPr>
                      <w:rFonts w:hint="eastAsia" w:eastAsia="宋体"/>
                      <w:color w:val="auto"/>
                      <w:lang w:val="en-US" w:eastAsia="zh-CN"/>
                    </w:rPr>
                  </w:pPr>
                  <w:r>
                    <w:rPr>
                      <w:rFonts w:hint="eastAsia"/>
                      <w:color w:val="auto"/>
                      <w:lang w:val="en-US" w:eastAsia="zh-CN"/>
                    </w:rPr>
                    <w:t>/</w:t>
                  </w:r>
                </w:p>
              </w:tc>
              <w:tc>
                <w:tcPr>
                  <w:tcW w:w="1155" w:type="dxa"/>
                  <w:vAlign w:val="center"/>
                </w:tcPr>
                <w:p w14:paraId="1CCD99A7">
                  <w:pPr>
                    <w:spacing w:line="240" w:lineRule="auto"/>
                    <w:jc w:val="center"/>
                    <w:rPr>
                      <w:rFonts w:hint="eastAsia"/>
                      <w:color w:val="auto"/>
                      <w:lang w:val="en-US" w:eastAsia="zh-CN"/>
                    </w:rPr>
                  </w:pPr>
                  <w:r>
                    <w:rPr>
                      <w:rFonts w:hint="eastAsia"/>
                      <w:color w:val="auto"/>
                      <w:lang w:val="en-US" w:eastAsia="zh-CN"/>
                    </w:rPr>
                    <w:t>100</w:t>
                  </w:r>
                </w:p>
              </w:tc>
              <w:tc>
                <w:tcPr>
                  <w:tcW w:w="1170" w:type="dxa"/>
                  <w:vAlign w:val="center"/>
                </w:tcPr>
                <w:p w14:paraId="7E6B39CB">
                  <w:pPr>
                    <w:spacing w:line="240" w:lineRule="auto"/>
                    <w:jc w:val="center"/>
                    <w:rPr>
                      <w:rFonts w:hint="default"/>
                      <w:color w:val="auto"/>
                      <w:szCs w:val="21"/>
                      <w:lang w:val="en-US" w:eastAsia="zh-CN"/>
                    </w:rPr>
                  </w:pPr>
                  <w:r>
                    <w:rPr>
                      <w:rFonts w:hint="eastAsia"/>
                      <w:color w:val="auto"/>
                      <w:szCs w:val="21"/>
                      <w:lang w:val="en-US" w:eastAsia="zh-CN"/>
                    </w:rPr>
                    <w:t>0.0644</w:t>
                  </w:r>
                </w:p>
              </w:tc>
            </w:tr>
            <w:tr w14:paraId="54183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7" w:type="dxa"/>
                  <w:vMerge w:val="continue"/>
                  <w:vAlign w:val="center"/>
                </w:tcPr>
                <w:p w14:paraId="3EABB523">
                  <w:pPr>
                    <w:spacing w:line="240" w:lineRule="auto"/>
                    <w:jc w:val="center"/>
                    <w:rPr>
                      <w:color w:val="auto"/>
                    </w:rPr>
                  </w:pPr>
                </w:p>
              </w:tc>
              <w:tc>
                <w:tcPr>
                  <w:tcW w:w="851" w:type="dxa"/>
                  <w:vMerge w:val="continue"/>
                  <w:vAlign w:val="center"/>
                </w:tcPr>
                <w:p w14:paraId="269DB176">
                  <w:pPr>
                    <w:spacing w:line="240" w:lineRule="auto"/>
                    <w:jc w:val="center"/>
                    <w:rPr>
                      <w:color w:val="auto"/>
                    </w:rPr>
                  </w:pPr>
                </w:p>
              </w:tc>
              <w:tc>
                <w:tcPr>
                  <w:tcW w:w="917" w:type="dxa"/>
                  <w:vAlign w:val="center"/>
                </w:tcPr>
                <w:p w14:paraId="6B33DD2F">
                  <w:pPr>
                    <w:spacing w:line="240" w:lineRule="auto"/>
                    <w:jc w:val="center"/>
                    <w:rPr>
                      <w:rFonts w:hint="eastAsia"/>
                      <w:color w:val="auto"/>
                    </w:rPr>
                  </w:pPr>
                  <w:r>
                    <w:rPr>
                      <w:rFonts w:hint="eastAsia"/>
                      <w:color w:val="auto"/>
                    </w:rPr>
                    <w:t>SS</w:t>
                  </w:r>
                </w:p>
              </w:tc>
              <w:tc>
                <w:tcPr>
                  <w:tcW w:w="936" w:type="dxa"/>
                  <w:vAlign w:val="center"/>
                </w:tcPr>
                <w:p w14:paraId="3BB3F869">
                  <w:pPr>
                    <w:spacing w:line="240" w:lineRule="auto"/>
                    <w:jc w:val="center"/>
                    <w:rPr>
                      <w:rFonts w:hint="default"/>
                      <w:color w:val="auto"/>
                      <w:lang w:val="en-US" w:eastAsia="zh-CN"/>
                    </w:rPr>
                  </w:pPr>
                  <w:r>
                    <w:rPr>
                      <w:rFonts w:hint="eastAsia"/>
                      <w:color w:val="auto"/>
                      <w:lang w:val="en-US" w:eastAsia="zh-CN"/>
                    </w:rPr>
                    <w:t>80</w:t>
                  </w:r>
                </w:p>
              </w:tc>
              <w:tc>
                <w:tcPr>
                  <w:tcW w:w="1350" w:type="dxa"/>
                  <w:vAlign w:val="center"/>
                </w:tcPr>
                <w:p w14:paraId="4C52B1E4">
                  <w:pPr>
                    <w:spacing w:line="240" w:lineRule="auto"/>
                    <w:jc w:val="center"/>
                    <w:rPr>
                      <w:rFonts w:hint="default"/>
                      <w:color w:val="auto"/>
                      <w:szCs w:val="21"/>
                      <w:lang w:val="en-US" w:eastAsia="zh-CN"/>
                    </w:rPr>
                  </w:pPr>
                  <w:r>
                    <w:rPr>
                      <w:rFonts w:hint="eastAsia"/>
                      <w:color w:val="auto"/>
                      <w:szCs w:val="21"/>
                      <w:lang w:val="en-US" w:eastAsia="zh-CN"/>
                    </w:rPr>
                    <w:t>0.05152</w:t>
                  </w:r>
                </w:p>
              </w:tc>
              <w:tc>
                <w:tcPr>
                  <w:tcW w:w="1170" w:type="dxa"/>
                  <w:vMerge w:val="continue"/>
                  <w:vAlign w:val="center"/>
                </w:tcPr>
                <w:p w14:paraId="205455D9">
                  <w:pPr>
                    <w:spacing w:line="240" w:lineRule="auto"/>
                    <w:jc w:val="center"/>
                    <w:rPr>
                      <w:color w:val="auto"/>
                    </w:rPr>
                  </w:pPr>
                </w:p>
              </w:tc>
              <w:tc>
                <w:tcPr>
                  <w:tcW w:w="1155" w:type="dxa"/>
                  <w:vAlign w:val="center"/>
                </w:tcPr>
                <w:p w14:paraId="002A8897">
                  <w:pPr>
                    <w:spacing w:line="240" w:lineRule="auto"/>
                    <w:jc w:val="center"/>
                    <w:rPr>
                      <w:rFonts w:hint="eastAsia"/>
                      <w:color w:val="auto"/>
                      <w:lang w:val="en-US" w:eastAsia="zh-CN"/>
                    </w:rPr>
                  </w:pPr>
                  <w:r>
                    <w:rPr>
                      <w:rFonts w:hint="eastAsia"/>
                      <w:color w:val="auto"/>
                      <w:lang w:val="en-US" w:eastAsia="zh-CN"/>
                    </w:rPr>
                    <w:t>80</w:t>
                  </w:r>
                </w:p>
              </w:tc>
              <w:tc>
                <w:tcPr>
                  <w:tcW w:w="1170" w:type="dxa"/>
                  <w:vAlign w:val="center"/>
                </w:tcPr>
                <w:p w14:paraId="352411B3">
                  <w:pPr>
                    <w:spacing w:line="240" w:lineRule="auto"/>
                    <w:jc w:val="center"/>
                    <w:rPr>
                      <w:rFonts w:hint="default"/>
                      <w:color w:val="auto"/>
                      <w:szCs w:val="21"/>
                      <w:lang w:val="en-US" w:eastAsia="zh-CN"/>
                    </w:rPr>
                  </w:pPr>
                  <w:r>
                    <w:rPr>
                      <w:rFonts w:hint="eastAsia"/>
                      <w:color w:val="auto"/>
                      <w:szCs w:val="21"/>
                      <w:lang w:val="en-US" w:eastAsia="zh-CN"/>
                    </w:rPr>
                    <w:t>0.05152</w:t>
                  </w:r>
                </w:p>
              </w:tc>
            </w:tr>
          </w:tbl>
          <w:p w14:paraId="231791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auto"/>
                <w:kern w:val="0"/>
                <w:sz w:val="21"/>
                <w:szCs w:val="21"/>
              </w:rPr>
            </w:pPr>
            <w:r>
              <w:rPr>
                <w:b/>
                <w:color w:val="auto"/>
                <w:kern w:val="0"/>
                <w:sz w:val="21"/>
                <w:szCs w:val="21"/>
              </w:rPr>
              <w:t>表4-</w:t>
            </w:r>
            <w:r>
              <w:rPr>
                <w:rFonts w:hint="eastAsia"/>
                <w:b/>
                <w:color w:val="auto"/>
                <w:kern w:val="0"/>
                <w:sz w:val="21"/>
                <w:szCs w:val="21"/>
                <w:lang w:val="en-US" w:eastAsia="zh-CN"/>
              </w:rPr>
              <w:t>10</w:t>
            </w:r>
            <w:r>
              <w:rPr>
                <w:b/>
                <w:color w:val="auto"/>
                <w:kern w:val="0"/>
                <w:sz w:val="21"/>
                <w:szCs w:val="21"/>
              </w:rPr>
              <w:t xml:space="preserve">   废水类别、污染物及污染治理设施信息表</w:t>
            </w:r>
          </w:p>
          <w:tbl>
            <w:tblPr>
              <w:tblStyle w:val="42"/>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13"/>
              <w:gridCol w:w="942"/>
              <w:gridCol w:w="870"/>
              <w:gridCol w:w="974"/>
              <w:gridCol w:w="614"/>
              <w:gridCol w:w="743"/>
              <w:gridCol w:w="632"/>
              <w:gridCol w:w="707"/>
              <w:gridCol w:w="829"/>
              <w:gridCol w:w="1547"/>
            </w:tblGrid>
            <w:tr w14:paraId="2DFA33D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83" w:hRule="atLeast"/>
              </w:trPr>
              <w:tc>
                <w:tcPr>
                  <w:tcW w:w="413" w:type="dxa"/>
                  <w:vMerge w:val="restart"/>
                  <w:noWrap w:val="0"/>
                  <w:vAlign w:val="center"/>
                </w:tcPr>
                <w:p w14:paraId="1ABD1E78">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废水类别</w:t>
                  </w:r>
                </w:p>
              </w:tc>
              <w:tc>
                <w:tcPr>
                  <w:tcW w:w="942" w:type="dxa"/>
                  <w:vMerge w:val="restart"/>
                  <w:noWrap w:val="0"/>
                  <w:vAlign w:val="center"/>
                </w:tcPr>
                <w:p w14:paraId="42829527">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污染物种类</w:t>
                  </w:r>
                </w:p>
              </w:tc>
              <w:tc>
                <w:tcPr>
                  <w:tcW w:w="870" w:type="dxa"/>
                  <w:vMerge w:val="restart"/>
                  <w:noWrap w:val="0"/>
                  <w:vAlign w:val="center"/>
                </w:tcPr>
                <w:p w14:paraId="384FEE61">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排放去向</w:t>
                  </w:r>
                </w:p>
              </w:tc>
              <w:tc>
                <w:tcPr>
                  <w:tcW w:w="974" w:type="dxa"/>
                  <w:vMerge w:val="restart"/>
                  <w:noWrap w:val="0"/>
                  <w:vAlign w:val="center"/>
                </w:tcPr>
                <w:p w14:paraId="753A4644">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排放规律</w:t>
                  </w:r>
                </w:p>
              </w:tc>
              <w:tc>
                <w:tcPr>
                  <w:tcW w:w="1989" w:type="dxa"/>
                  <w:gridSpan w:val="3"/>
                  <w:noWrap w:val="0"/>
                  <w:vAlign w:val="center"/>
                </w:tcPr>
                <w:p w14:paraId="06241CE4">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污染治理设施</w:t>
                  </w:r>
                </w:p>
              </w:tc>
              <w:tc>
                <w:tcPr>
                  <w:tcW w:w="707" w:type="dxa"/>
                  <w:vMerge w:val="restart"/>
                  <w:noWrap w:val="0"/>
                  <w:tcMar>
                    <w:top w:w="0" w:type="dxa"/>
                    <w:left w:w="0" w:type="dxa"/>
                    <w:bottom w:w="0" w:type="dxa"/>
                    <w:right w:w="0" w:type="dxa"/>
                  </w:tcMar>
                  <w:vAlign w:val="center"/>
                </w:tcPr>
                <w:p w14:paraId="7AB98214">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排放口编号</w:t>
                  </w:r>
                </w:p>
              </w:tc>
              <w:tc>
                <w:tcPr>
                  <w:tcW w:w="829" w:type="dxa"/>
                  <w:vMerge w:val="restart"/>
                  <w:noWrap w:val="0"/>
                  <w:vAlign w:val="center"/>
                </w:tcPr>
                <w:p w14:paraId="15B27EF6">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排放口设置是否符合要求</w:t>
                  </w:r>
                </w:p>
              </w:tc>
              <w:tc>
                <w:tcPr>
                  <w:tcW w:w="1547" w:type="dxa"/>
                  <w:vMerge w:val="restart"/>
                  <w:noWrap w:val="0"/>
                  <w:vAlign w:val="center"/>
                </w:tcPr>
                <w:p w14:paraId="506C47A1">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排放口类型</w:t>
                  </w:r>
                </w:p>
              </w:tc>
            </w:tr>
            <w:tr w14:paraId="53BFD33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413" w:type="dxa"/>
                  <w:vMerge w:val="continue"/>
                  <w:noWrap w:val="0"/>
                  <w:vAlign w:val="center"/>
                </w:tcPr>
                <w:p w14:paraId="306E29C2">
                  <w:pPr>
                    <w:widowControl/>
                    <w:jc w:val="left"/>
                    <w:rPr>
                      <w:rFonts w:hint="default" w:ascii="Times New Roman" w:hAnsi="Times New Roman" w:eastAsia="宋体" w:cs="Times New Roman"/>
                      <w:bCs/>
                      <w:color w:val="auto"/>
                      <w:sz w:val="21"/>
                      <w:szCs w:val="21"/>
                    </w:rPr>
                  </w:pPr>
                </w:p>
              </w:tc>
              <w:tc>
                <w:tcPr>
                  <w:tcW w:w="942" w:type="dxa"/>
                  <w:vMerge w:val="continue"/>
                  <w:noWrap w:val="0"/>
                  <w:vAlign w:val="center"/>
                </w:tcPr>
                <w:p w14:paraId="0798C1B9">
                  <w:pPr>
                    <w:widowControl/>
                    <w:jc w:val="left"/>
                    <w:rPr>
                      <w:rFonts w:hint="default" w:ascii="Times New Roman" w:hAnsi="Times New Roman" w:eastAsia="宋体" w:cs="Times New Roman"/>
                      <w:bCs/>
                      <w:color w:val="auto"/>
                      <w:sz w:val="21"/>
                      <w:szCs w:val="21"/>
                    </w:rPr>
                  </w:pPr>
                </w:p>
              </w:tc>
              <w:tc>
                <w:tcPr>
                  <w:tcW w:w="870" w:type="dxa"/>
                  <w:vMerge w:val="continue"/>
                  <w:noWrap w:val="0"/>
                  <w:vAlign w:val="center"/>
                </w:tcPr>
                <w:p w14:paraId="722E7BE9">
                  <w:pPr>
                    <w:widowControl/>
                    <w:jc w:val="left"/>
                    <w:rPr>
                      <w:rFonts w:hint="default" w:ascii="Times New Roman" w:hAnsi="Times New Roman" w:eastAsia="宋体" w:cs="Times New Roman"/>
                      <w:bCs/>
                      <w:color w:val="auto"/>
                      <w:sz w:val="21"/>
                      <w:szCs w:val="21"/>
                    </w:rPr>
                  </w:pPr>
                </w:p>
              </w:tc>
              <w:tc>
                <w:tcPr>
                  <w:tcW w:w="974" w:type="dxa"/>
                  <w:vMerge w:val="continue"/>
                  <w:noWrap w:val="0"/>
                  <w:vAlign w:val="center"/>
                </w:tcPr>
                <w:p w14:paraId="4EA1B175">
                  <w:pPr>
                    <w:widowControl/>
                    <w:jc w:val="left"/>
                    <w:rPr>
                      <w:rFonts w:hint="default" w:ascii="Times New Roman" w:hAnsi="Times New Roman" w:eastAsia="宋体" w:cs="Times New Roman"/>
                      <w:bCs/>
                      <w:color w:val="auto"/>
                      <w:sz w:val="21"/>
                      <w:szCs w:val="21"/>
                    </w:rPr>
                  </w:pPr>
                </w:p>
              </w:tc>
              <w:tc>
                <w:tcPr>
                  <w:tcW w:w="614" w:type="dxa"/>
                  <w:noWrap w:val="0"/>
                  <w:tcMar>
                    <w:top w:w="0" w:type="dxa"/>
                    <w:left w:w="0" w:type="dxa"/>
                    <w:bottom w:w="0" w:type="dxa"/>
                    <w:right w:w="0" w:type="dxa"/>
                  </w:tcMar>
                  <w:vAlign w:val="center"/>
                </w:tcPr>
                <w:p w14:paraId="40D63BE7">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污染治理设施编号</w:t>
                  </w:r>
                </w:p>
              </w:tc>
              <w:tc>
                <w:tcPr>
                  <w:tcW w:w="743" w:type="dxa"/>
                  <w:noWrap w:val="0"/>
                  <w:vAlign w:val="center"/>
                </w:tcPr>
                <w:p w14:paraId="49563C39">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污染治理设施名称</w:t>
                  </w:r>
                </w:p>
              </w:tc>
              <w:tc>
                <w:tcPr>
                  <w:tcW w:w="632" w:type="dxa"/>
                  <w:noWrap w:val="0"/>
                  <w:vAlign w:val="center"/>
                </w:tcPr>
                <w:p w14:paraId="65F361DC">
                  <w:pPr>
                    <w:adjustRightIn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污染治理设施工艺</w:t>
                  </w:r>
                </w:p>
              </w:tc>
              <w:tc>
                <w:tcPr>
                  <w:tcW w:w="707" w:type="dxa"/>
                  <w:vMerge w:val="continue"/>
                  <w:noWrap w:val="0"/>
                  <w:vAlign w:val="center"/>
                </w:tcPr>
                <w:p w14:paraId="14A02DF6">
                  <w:pPr>
                    <w:widowControl/>
                    <w:jc w:val="left"/>
                    <w:rPr>
                      <w:rFonts w:hint="default" w:ascii="Times New Roman" w:hAnsi="Times New Roman" w:eastAsia="宋体" w:cs="Times New Roman"/>
                      <w:b/>
                      <w:color w:val="auto"/>
                      <w:sz w:val="21"/>
                      <w:szCs w:val="21"/>
                    </w:rPr>
                  </w:pPr>
                </w:p>
              </w:tc>
              <w:tc>
                <w:tcPr>
                  <w:tcW w:w="829" w:type="dxa"/>
                  <w:vMerge w:val="continue"/>
                  <w:noWrap w:val="0"/>
                  <w:vAlign w:val="center"/>
                </w:tcPr>
                <w:p w14:paraId="20268A20">
                  <w:pPr>
                    <w:widowControl/>
                    <w:jc w:val="left"/>
                    <w:rPr>
                      <w:rFonts w:hint="default" w:ascii="Times New Roman" w:hAnsi="Times New Roman" w:eastAsia="宋体" w:cs="Times New Roman"/>
                      <w:b/>
                      <w:color w:val="auto"/>
                      <w:sz w:val="21"/>
                      <w:szCs w:val="21"/>
                    </w:rPr>
                  </w:pPr>
                </w:p>
              </w:tc>
              <w:tc>
                <w:tcPr>
                  <w:tcW w:w="1547" w:type="dxa"/>
                  <w:vMerge w:val="continue"/>
                  <w:noWrap w:val="0"/>
                  <w:vAlign w:val="center"/>
                </w:tcPr>
                <w:p w14:paraId="2BEFDB63">
                  <w:pPr>
                    <w:widowControl/>
                    <w:jc w:val="left"/>
                    <w:rPr>
                      <w:rFonts w:hint="default" w:ascii="Times New Roman" w:hAnsi="Times New Roman" w:eastAsia="宋体" w:cs="Times New Roman"/>
                      <w:b/>
                      <w:color w:val="auto"/>
                      <w:sz w:val="21"/>
                      <w:szCs w:val="21"/>
                    </w:rPr>
                  </w:pPr>
                </w:p>
              </w:tc>
            </w:tr>
            <w:tr w14:paraId="491E614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05" w:hRule="atLeast"/>
              </w:trPr>
              <w:tc>
                <w:tcPr>
                  <w:tcW w:w="413" w:type="dxa"/>
                  <w:noWrap w:val="0"/>
                  <w:vAlign w:val="center"/>
                </w:tcPr>
                <w:p w14:paraId="363B2194">
                  <w:pPr>
                    <w:adjustRightInd w:val="0"/>
                    <w:jc w:val="center"/>
                    <w:rPr>
                      <w:rFonts w:hint="eastAsia" w:ascii="Times New Roman" w:hAnsi="Times New Roman" w:eastAsia="宋体" w:cs="Times New Roman"/>
                      <w:bCs/>
                      <w:color w:val="auto"/>
                      <w:sz w:val="21"/>
                      <w:szCs w:val="21"/>
                      <w:lang w:val="en-US" w:eastAsia="zh-CN"/>
                    </w:rPr>
                  </w:pPr>
                  <w:r>
                    <w:rPr>
                      <w:rFonts w:hint="eastAsia" w:cs="Times New Roman"/>
                      <w:color w:val="auto"/>
                      <w:sz w:val="21"/>
                      <w:szCs w:val="21"/>
                      <w:lang w:val="en-US" w:eastAsia="zh-CN"/>
                    </w:rPr>
                    <w:t>废水</w:t>
                  </w:r>
                </w:p>
              </w:tc>
              <w:tc>
                <w:tcPr>
                  <w:tcW w:w="942" w:type="dxa"/>
                  <w:noWrap w:val="0"/>
                  <w:vAlign w:val="center"/>
                </w:tcPr>
                <w:p w14:paraId="38BBA829">
                  <w:pPr>
                    <w:adjustRightInd w:val="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w:t>
                  </w:r>
                  <w:r>
                    <w:rPr>
                      <w:rFonts w:hint="eastAsia" w:cs="Times New Roman"/>
                      <w:color w:val="auto"/>
                      <w:sz w:val="21"/>
                      <w:szCs w:val="21"/>
                      <w:lang w:val="en-US" w:eastAsia="zh-CN"/>
                    </w:rPr>
                    <w:t>值、</w:t>
                  </w:r>
                </w:p>
                <w:p w14:paraId="694922B2">
                  <w:pPr>
                    <w:adjustRightInd w:val="0"/>
                    <w:jc w:val="center"/>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COD</w:t>
                  </w:r>
                  <w:r>
                    <w:rPr>
                      <w:rFonts w:hint="eastAsia" w:eastAsia="宋体" w:cs="Times New Roman"/>
                      <w:color w:val="auto"/>
                      <w:sz w:val="21"/>
                      <w:szCs w:val="21"/>
                      <w:lang w:eastAsia="zh-CN"/>
                    </w:rPr>
                    <w:t>、</w:t>
                  </w:r>
                </w:p>
                <w:p w14:paraId="36029A4F">
                  <w:pPr>
                    <w:adjustRightInd w:val="0"/>
                    <w:jc w:val="center"/>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SS</w:t>
                  </w:r>
                  <w:r>
                    <w:rPr>
                      <w:rFonts w:hint="eastAsia" w:eastAsia="宋体" w:cs="Times New Roman"/>
                      <w:color w:val="auto"/>
                      <w:sz w:val="21"/>
                      <w:szCs w:val="21"/>
                      <w:lang w:eastAsia="zh-CN"/>
                    </w:rPr>
                    <w:t>、</w:t>
                  </w:r>
                </w:p>
                <w:p w14:paraId="71F696BC">
                  <w:pPr>
                    <w:adjustRightInd w:val="0"/>
                    <w:jc w:val="center"/>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r>
                    <w:rPr>
                      <w:rFonts w:hint="eastAsia" w:eastAsia="宋体" w:cs="Times New Roman"/>
                      <w:color w:val="auto"/>
                      <w:sz w:val="21"/>
                      <w:szCs w:val="21"/>
                      <w:lang w:eastAsia="zh-CN"/>
                    </w:rPr>
                    <w:t>、</w:t>
                  </w:r>
                </w:p>
                <w:p w14:paraId="3F4D2B0C">
                  <w:pPr>
                    <w:adjustRightInd w:val="0"/>
                    <w:jc w:val="center"/>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TP</w:t>
                  </w:r>
                  <w:r>
                    <w:rPr>
                      <w:rFonts w:hint="eastAsia" w:eastAsia="宋体" w:cs="Times New Roman"/>
                      <w:color w:val="auto"/>
                      <w:sz w:val="21"/>
                      <w:szCs w:val="21"/>
                      <w:lang w:eastAsia="zh-CN"/>
                    </w:rPr>
                    <w:t>、</w:t>
                  </w:r>
                </w:p>
                <w:p w14:paraId="5E429BE0">
                  <w:pPr>
                    <w:adjustRightInd w:val="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TN</w:t>
                  </w:r>
                  <w:r>
                    <w:rPr>
                      <w:rFonts w:hint="eastAsia" w:eastAsia="宋体" w:cs="Times New Roman"/>
                      <w:color w:val="auto"/>
                      <w:sz w:val="21"/>
                      <w:szCs w:val="21"/>
                      <w:lang w:eastAsia="zh-CN"/>
                    </w:rPr>
                    <w:t>、</w:t>
                  </w:r>
                </w:p>
              </w:tc>
              <w:tc>
                <w:tcPr>
                  <w:tcW w:w="870" w:type="dxa"/>
                  <w:noWrap w:val="0"/>
                  <w:vAlign w:val="center"/>
                </w:tcPr>
                <w:p w14:paraId="747A24BD">
                  <w:pPr>
                    <w:adjustRightInd w:val="0"/>
                    <w:jc w:val="center"/>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lang w:eastAsia="zh-CN"/>
                    </w:rPr>
                    <w:t>海门经济技术开发区污水处理厂</w:t>
                  </w:r>
                </w:p>
              </w:tc>
              <w:tc>
                <w:tcPr>
                  <w:tcW w:w="974" w:type="dxa"/>
                  <w:noWrap w:val="0"/>
                  <w:vAlign w:val="center"/>
                </w:tcPr>
                <w:p w14:paraId="5C7D1386">
                  <w:pPr>
                    <w:adjustRightIn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间断排放，排放期间流量不稳定且无规律，但不属于冲击型排放</w:t>
                  </w:r>
                </w:p>
              </w:tc>
              <w:tc>
                <w:tcPr>
                  <w:tcW w:w="614" w:type="dxa"/>
                  <w:noWrap w:val="0"/>
                  <w:tcMar>
                    <w:top w:w="0" w:type="dxa"/>
                    <w:left w:w="0" w:type="dxa"/>
                    <w:bottom w:w="0" w:type="dxa"/>
                    <w:right w:w="0" w:type="dxa"/>
                  </w:tcMar>
                  <w:vAlign w:val="center"/>
                </w:tcPr>
                <w:p w14:paraId="4358B41F">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TW001</w:t>
                  </w:r>
                </w:p>
              </w:tc>
              <w:tc>
                <w:tcPr>
                  <w:tcW w:w="743" w:type="dxa"/>
                  <w:noWrap w:val="0"/>
                  <w:vAlign w:val="center"/>
                </w:tcPr>
                <w:p w14:paraId="19DFC021">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化粪池</w:t>
                  </w:r>
                </w:p>
              </w:tc>
              <w:tc>
                <w:tcPr>
                  <w:tcW w:w="632" w:type="dxa"/>
                  <w:noWrap w:val="0"/>
                  <w:vAlign w:val="center"/>
                </w:tcPr>
                <w:p w14:paraId="3719C522">
                  <w:pPr>
                    <w:jc w:val="center"/>
                    <w:rPr>
                      <w:rFonts w:hint="eastAsia" w:ascii="Times New Roman" w:hAnsi="Times New Roman" w:eastAsia="宋体" w:cs="Times New Roman"/>
                      <w:bCs/>
                      <w:color w:val="auto"/>
                      <w:sz w:val="21"/>
                      <w:szCs w:val="21"/>
                      <w:lang w:eastAsia="zh-CN"/>
                    </w:rPr>
                  </w:pPr>
                  <w:r>
                    <w:rPr>
                      <w:rFonts w:hint="eastAsia" w:cs="Times New Roman"/>
                      <w:color w:val="auto"/>
                      <w:sz w:val="21"/>
                      <w:szCs w:val="21"/>
                      <w:lang w:val="en-US" w:eastAsia="zh-CN"/>
                    </w:rPr>
                    <w:t>/</w:t>
                  </w:r>
                </w:p>
              </w:tc>
              <w:tc>
                <w:tcPr>
                  <w:tcW w:w="707" w:type="dxa"/>
                  <w:noWrap w:val="0"/>
                  <w:vAlign w:val="center"/>
                </w:tcPr>
                <w:p w14:paraId="78FB47B5">
                  <w:pPr>
                    <w:adjustRightIn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829" w:type="dxa"/>
                  <w:noWrap w:val="0"/>
                  <w:vAlign w:val="center"/>
                </w:tcPr>
                <w:p w14:paraId="216C518E">
                  <w:pPr>
                    <w:autoSpaceDE w:val="0"/>
                    <w:autoSpaceDN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0052"/>
                  </w:r>
                  <w:r>
                    <w:rPr>
                      <w:rFonts w:hint="default" w:ascii="Times New Roman" w:hAnsi="Times New Roman" w:eastAsia="宋体" w:cs="Times New Roman"/>
                      <w:color w:val="auto"/>
                      <w:sz w:val="21"/>
                      <w:szCs w:val="21"/>
                    </w:rPr>
                    <w:t>是</w:t>
                  </w:r>
                </w:p>
                <w:p w14:paraId="787480E5">
                  <w:pPr>
                    <w:autoSpaceDE w:val="0"/>
                    <w:autoSpaceDN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□否</w:t>
                  </w:r>
                </w:p>
              </w:tc>
              <w:tc>
                <w:tcPr>
                  <w:tcW w:w="1547" w:type="dxa"/>
                  <w:noWrap w:val="0"/>
                  <w:vAlign w:val="center"/>
                </w:tcPr>
                <w:p w14:paraId="76A168AF">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0052"/>
                  </w:r>
                  <w:r>
                    <w:rPr>
                      <w:rFonts w:hint="default" w:ascii="Times New Roman" w:hAnsi="Times New Roman" w:eastAsia="宋体" w:cs="Times New Roman"/>
                      <w:color w:val="auto"/>
                      <w:sz w:val="21"/>
                      <w:szCs w:val="21"/>
                    </w:rPr>
                    <w:t>企业总排</w:t>
                  </w:r>
                </w:p>
                <w:p w14:paraId="3DE35D6B">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雨水排放</w:t>
                  </w:r>
                </w:p>
                <w:p w14:paraId="739285B7">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清净下水排放</w:t>
                  </w:r>
                </w:p>
                <w:p w14:paraId="17C24788">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温排水排放</w:t>
                  </w:r>
                </w:p>
                <w:p w14:paraId="7A6F4D7C">
                  <w:pPr>
                    <w:autoSpaceDE w:val="0"/>
                    <w:autoSpaceDN w:val="0"/>
                    <w:adjustRightInd w:val="0"/>
                    <w:snapToGrid w:val="0"/>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车间或车间处理设施排放</w:t>
                  </w:r>
                </w:p>
              </w:tc>
            </w:tr>
          </w:tbl>
          <w:p w14:paraId="29F7C95C">
            <w:pPr>
              <w:pStyle w:val="16"/>
              <w:numPr>
                <w:ilvl w:val="0"/>
                <w:numId w:val="0"/>
              </w:numPr>
              <w:spacing w:line="240" w:lineRule="auto"/>
              <w:ind w:right="113" w:rightChars="0" w:firstLine="420" w:firstLineChars="200"/>
              <w:rPr>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rPr>
              <w:t>水环境监测计划</w:t>
            </w:r>
          </w:p>
          <w:p w14:paraId="4D7D9E1E">
            <w:pPr>
              <w:pStyle w:val="16"/>
              <w:spacing w:line="240" w:lineRule="auto"/>
              <w:ind w:firstLine="420" w:firstLineChars="200"/>
              <w:rPr>
                <w:rFonts w:hint="eastAsia"/>
                <w:color w:val="auto"/>
                <w:sz w:val="21"/>
                <w:szCs w:val="21"/>
              </w:rPr>
            </w:pPr>
            <w:r>
              <w:rPr>
                <w:rFonts w:hint="eastAsia"/>
                <w:color w:val="auto"/>
                <w:sz w:val="21"/>
                <w:szCs w:val="21"/>
              </w:rPr>
              <w:t>①污染源自行监测方案</w:t>
            </w:r>
          </w:p>
          <w:p w14:paraId="75FF5B12">
            <w:pPr>
              <w:pStyle w:val="16"/>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jc w:val="center"/>
              <w:textAlignment w:val="auto"/>
              <w:rPr>
                <w:rFonts w:hint="eastAsia"/>
                <w:color w:val="auto"/>
                <w:sz w:val="21"/>
                <w:szCs w:val="21"/>
              </w:rPr>
            </w:pPr>
            <w:r>
              <w:rPr>
                <w:rFonts w:hint="eastAsia"/>
                <w:color w:val="auto"/>
                <w:sz w:val="21"/>
                <w:szCs w:val="21"/>
              </w:rPr>
              <w:t>企业应按照《排污单位自行监测技术指南总则》（HJ 819-2017）、</w:t>
            </w:r>
            <w:r>
              <w:rPr>
                <w:rFonts w:hint="eastAsia" w:ascii="Times New Roman" w:hAnsi="Times New Roman"/>
                <w:b w:val="0"/>
                <w:bCs w:val="0"/>
                <w:color w:val="auto"/>
                <w:sz w:val="21"/>
                <w:szCs w:val="21"/>
                <w:lang w:val="en-US" w:eastAsia="zh-CN"/>
              </w:rPr>
              <w:t>《排污许可证申请与核发技术规范 工业炉窑》（HJ1121—2020）、</w:t>
            </w:r>
            <w:r>
              <w:rPr>
                <w:rFonts w:hint="eastAsia"/>
                <w:color w:val="auto"/>
                <w:sz w:val="21"/>
                <w:szCs w:val="21"/>
              </w:rPr>
              <w:t>《固定污染源排污许可分类管理目录》相关要求，</w:t>
            </w:r>
            <w:r>
              <w:rPr>
                <w:rFonts w:hint="eastAsia"/>
                <w:color w:val="auto"/>
                <w:sz w:val="21"/>
                <w:szCs w:val="21"/>
                <w:lang w:val="en-US" w:eastAsia="zh-CN"/>
              </w:rPr>
              <w:t>本项目未新增生活污水和生产废水，技改后全厂</w:t>
            </w:r>
            <w:r>
              <w:rPr>
                <w:rFonts w:hint="eastAsia"/>
                <w:color w:val="auto"/>
                <w:sz w:val="21"/>
                <w:szCs w:val="21"/>
              </w:rPr>
              <w:t>废水污染源监测计划见表4-</w:t>
            </w:r>
            <w:r>
              <w:rPr>
                <w:rFonts w:hint="eastAsia"/>
                <w:color w:val="auto"/>
                <w:sz w:val="21"/>
                <w:szCs w:val="21"/>
                <w:lang w:val="en-US" w:eastAsia="zh-CN"/>
              </w:rPr>
              <w:t>11</w:t>
            </w:r>
            <w:r>
              <w:rPr>
                <w:rFonts w:hint="eastAsia"/>
                <w:color w:val="auto"/>
                <w:sz w:val="21"/>
                <w:szCs w:val="21"/>
              </w:rPr>
              <w:t>。</w:t>
            </w:r>
          </w:p>
          <w:p w14:paraId="3F1E42A3">
            <w:pPr>
              <w:pStyle w:val="16"/>
              <w:keepNext w:val="0"/>
              <w:keepLines w:val="0"/>
              <w:pageBreakBefore w:val="0"/>
              <w:widowControl/>
              <w:kinsoku/>
              <w:wordWrap/>
              <w:overflowPunct/>
              <w:topLinePunct w:val="0"/>
              <w:autoSpaceDE/>
              <w:autoSpaceDN/>
              <w:bidi w:val="0"/>
              <w:adjustRightInd/>
              <w:snapToGrid w:val="0"/>
              <w:spacing w:before="0" w:after="0" w:line="360" w:lineRule="auto"/>
              <w:ind w:right="0" w:firstLine="422" w:firstLineChars="200"/>
              <w:jc w:val="center"/>
              <w:textAlignment w:val="auto"/>
              <w:rPr>
                <w:color w:val="auto"/>
                <w:sz w:val="21"/>
                <w:szCs w:val="21"/>
              </w:rPr>
            </w:pPr>
            <w:r>
              <w:rPr>
                <w:rFonts w:hint="eastAsia"/>
                <w:b/>
                <w:bCs/>
                <w:color w:val="auto"/>
                <w:sz w:val="21"/>
                <w:szCs w:val="21"/>
              </w:rPr>
              <w:t>表4-</w:t>
            </w:r>
            <w:r>
              <w:rPr>
                <w:rFonts w:hint="eastAsia"/>
                <w:b/>
                <w:bCs/>
                <w:color w:val="auto"/>
                <w:sz w:val="21"/>
                <w:szCs w:val="21"/>
                <w:lang w:val="en-US" w:eastAsia="zh-CN"/>
              </w:rPr>
              <w:t>11</w:t>
            </w:r>
            <w:r>
              <w:rPr>
                <w:rFonts w:hint="eastAsia"/>
                <w:b/>
                <w:bCs/>
                <w:color w:val="auto"/>
                <w:sz w:val="21"/>
                <w:szCs w:val="21"/>
              </w:rPr>
              <w:t xml:space="preserve"> 废水污染源监测计划</w:t>
            </w:r>
          </w:p>
          <w:tbl>
            <w:tblPr>
              <w:tblStyle w:val="42"/>
              <w:tblW w:w="829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25"/>
              <w:gridCol w:w="3540"/>
              <w:gridCol w:w="2539"/>
            </w:tblGrid>
            <w:tr w14:paraId="0AFBF5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center"/>
                </w:tcPr>
                <w:p w14:paraId="43ED42D2">
                  <w:pPr>
                    <w:pStyle w:val="16"/>
                    <w:spacing w:line="240" w:lineRule="auto"/>
                    <w:jc w:val="center"/>
                    <w:rPr>
                      <w:b/>
                      <w:bCs/>
                      <w:color w:val="auto"/>
                      <w:sz w:val="21"/>
                      <w:szCs w:val="21"/>
                    </w:rPr>
                  </w:pPr>
                  <w:r>
                    <w:rPr>
                      <w:rFonts w:hint="eastAsia"/>
                      <w:b/>
                      <w:bCs/>
                      <w:color w:val="auto"/>
                      <w:sz w:val="21"/>
                      <w:szCs w:val="21"/>
                    </w:rPr>
                    <w:t>类别</w:t>
                  </w:r>
                </w:p>
              </w:tc>
              <w:tc>
                <w:tcPr>
                  <w:tcW w:w="1425" w:type="dxa"/>
                  <w:noWrap w:val="0"/>
                  <w:vAlign w:val="center"/>
                </w:tcPr>
                <w:p w14:paraId="6E390468">
                  <w:pPr>
                    <w:pStyle w:val="16"/>
                    <w:spacing w:line="240" w:lineRule="auto"/>
                    <w:jc w:val="center"/>
                    <w:rPr>
                      <w:b/>
                      <w:bCs/>
                      <w:color w:val="auto"/>
                      <w:sz w:val="21"/>
                      <w:szCs w:val="21"/>
                    </w:rPr>
                  </w:pPr>
                  <w:r>
                    <w:rPr>
                      <w:rFonts w:hint="eastAsia"/>
                      <w:b/>
                      <w:bCs/>
                      <w:color w:val="auto"/>
                      <w:sz w:val="21"/>
                      <w:szCs w:val="21"/>
                    </w:rPr>
                    <w:t>监测位置</w:t>
                  </w:r>
                </w:p>
              </w:tc>
              <w:tc>
                <w:tcPr>
                  <w:tcW w:w="3540" w:type="dxa"/>
                  <w:noWrap w:val="0"/>
                  <w:vAlign w:val="center"/>
                </w:tcPr>
                <w:p w14:paraId="141BACAA">
                  <w:pPr>
                    <w:pStyle w:val="16"/>
                    <w:spacing w:line="240" w:lineRule="auto"/>
                    <w:jc w:val="center"/>
                    <w:rPr>
                      <w:b/>
                      <w:bCs/>
                      <w:color w:val="auto"/>
                      <w:sz w:val="21"/>
                      <w:szCs w:val="21"/>
                    </w:rPr>
                  </w:pPr>
                  <w:r>
                    <w:rPr>
                      <w:rFonts w:hint="eastAsia"/>
                      <w:b/>
                      <w:bCs/>
                      <w:color w:val="auto"/>
                      <w:sz w:val="21"/>
                      <w:szCs w:val="21"/>
                    </w:rPr>
                    <w:t>监测项目</w:t>
                  </w:r>
                </w:p>
              </w:tc>
              <w:tc>
                <w:tcPr>
                  <w:tcW w:w="2539" w:type="dxa"/>
                  <w:noWrap w:val="0"/>
                  <w:vAlign w:val="center"/>
                </w:tcPr>
                <w:p w14:paraId="7E095903">
                  <w:pPr>
                    <w:pStyle w:val="16"/>
                    <w:spacing w:line="240" w:lineRule="auto"/>
                    <w:jc w:val="center"/>
                    <w:rPr>
                      <w:b/>
                      <w:bCs/>
                      <w:color w:val="auto"/>
                      <w:sz w:val="21"/>
                      <w:szCs w:val="21"/>
                    </w:rPr>
                  </w:pPr>
                  <w:r>
                    <w:rPr>
                      <w:rFonts w:hint="eastAsia"/>
                      <w:b/>
                      <w:bCs/>
                      <w:color w:val="auto"/>
                      <w:sz w:val="21"/>
                      <w:szCs w:val="21"/>
                    </w:rPr>
                    <w:t>监测频次</w:t>
                  </w:r>
                </w:p>
              </w:tc>
            </w:tr>
            <w:tr w14:paraId="17E484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center"/>
                </w:tcPr>
                <w:p w14:paraId="50216B57">
                  <w:pPr>
                    <w:pStyle w:val="16"/>
                    <w:spacing w:line="240" w:lineRule="auto"/>
                    <w:jc w:val="center"/>
                    <w:rPr>
                      <w:color w:val="auto"/>
                      <w:sz w:val="21"/>
                      <w:szCs w:val="21"/>
                    </w:rPr>
                  </w:pPr>
                  <w:r>
                    <w:rPr>
                      <w:rFonts w:hint="eastAsia"/>
                      <w:color w:val="auto"/>
                      <w:sz w:val="21"/>
                      <w:szCs w:val="21"/>
                    </w:rPr>
                    <w:t>废水</w:t>
                  </w:r>
                </w:p>
              </w:tc>
              <w:tc>
                <w:tcPr>
                  <w:tcW w:w="1425" w:type="dxa"/>
                  <w:noWrap w:val="0"/>
                  <w:vAlign w:val="center"/>
                </w:tcPr>
                <w:p w14:paraId="7E66D1C2">
                  <w:pPr>
                    <w:pStyle w:val="16"/>
                    <w:spacing w:line="240" w:lineRule="auto"/>
                    <w:jc w:val="center"/>
                    <w:rPr>
                      <w:color w:val="auto"/>
                      <w:sz w:val="21"/>
                      <w:szCs w:val="21"/>
                    </w:rPr>
                  </w:pPr>
                  <w:r>
                    <w:rPr>
                      <w:rFonts w:hint="eastAsia"/>
                      <w:color w:val="auto"/>
                      <w:sz w:val="21"/>
                      <w:szCs w:val="21"/>
                    </w:rPr>
                    <w:t>污水接管口</w:t>
                  </w:r>
                </w:p>
              </w:tc>
              <w:tc>
                <w:tcPr>
                  <w:tcW w:w="3540" w:type="dxa"/>
                  <w:noWrap w:val="0"/>
                  <w:vAlign w:val="center"/>
                </w:tcPr>
                <w:p w14:paraId="1B702038">
                  <w:pPr>
                    <w:pStyle w:val="16"/>
                    <w:spacing w:line="240" w:lineRule="auto"/>
                    <w:jc w:val="center"/>
                    <w:rPr>
                      <w:color w:val="auto"/>
                      <w:sz w:val="21"/>
                      <w:szCs w:val="21"/>
                    </w:rPr>
                  </w:pPr>
                  <w:r>
                    <w:rPr>
                      <w:rFonts w:hint="eastAsia"/>
                      <w:color w:val="auto"/>
                      <w:sz w:val="21"/>
                      <w:szCs w:val="21"/>
                    </w:rPr>
                    <w:t>pH值、COD、SS、</w:t>
                  </w:r>
                  <w:r>
                    <w:rPr>
                      <w:rFonts w:hint="eastAsia"/>
                      <w:color w:val="auto"/>
                      <w:spacing w:val="4"/>
                      <w:kern w:val="18"/>
                      <w:sz w:val="21"/>
                      <w:szCs w:val="21"/>
                    </w:rPr>
                    <w:t>NH</w:t>
                  </w:r>
                  <w:r>
                    <w:rPr>
                      <w:rFonts w:hint="eastAsia"/>
                      <w:color w:val="auto"/>
                      <w:spacing w:val="4"/>
                      <w:kern w:val="18"/>
                      <w:sz w:val="21"/>
                      <w:szCs w:val="21"/>
                      <w:vertAlign w:val="subscript"/>
                    </w:rPr>
                    <w:t>3</w:t>
                  </w:r>
                  <w:r>
                    <w:rPr>
                      <w:rFonts w:hint="eastAsia"/>
                      <w:color w:val="auto"/>
                      <w:spacing w:val="4"/>
                      <w:kern w:val="18"/>
                      <w:sz w:val="21"/>
                      <w:szCs w:val="21"/>
                    </w:rPr>
                    <w:t>-N、TP、TN</w:t>
                  </w:r>
                  <w:r>
                    <w:rPr>
                      <w:rFonts w:hint="eastAsia"/>
                      <w:color w:val="auto"/>
                      <w:sz w:val="21"/>
                      <w:szCs w:val="21"/>
                    </w:rPr>
                    <w:t>、</w:t>
                  </w:r>
                  <w:r>
                    <w:rPr>
                      <w:rFonts w:hint="eastAsia"/>
                      <w:color w:val="auto"/>
                      <w:sz w:val="21"/>
                      <w:szCs w:val="21"/>
                      <w:lang w:val="en-US" w:eastAsia="zh-CN"/>
                    </w:rPr>
                    <w:t>石油类</w:t>
                  </w:r>
                </w:p>
              </w:tc>
              <w:tc>
                <w:tcPr>
                  <w:tcW w:w="2539" w:type="dxa"/>
                  <w:noWrap w:val="0"/>
                  <w:vAlign w:val="center"/>
                </w:tcPr>
                <w:p w14:paraId="3E4A3E53">
                  <w:pPr>
                    <w:pStyle w:val="16"/>
                    <w:spacing w:line="240" w:lineRule="auto"/>
                    <w:jc w:val="center"/>
                    <w:rPr>
                      <w:color w:val="auto"/>
                      <w:sz w:val="21"/>
                      <w:szCs w:val="21"/>
                    </w:rPr>
                  </w:pPr>
                  <w:r>
                    <w:rPr>
                      <w:color w:val="auto"/>
                      <w:sz w:val="21"/>
                      <w:szCs w:val="21"/>
                    </w:rPr>
                    <w:t>1 次/年；1 天（3 次/天）</w:t>
                  </w:r>
                </w:p>
              </w:tc>
            </w:tr>
            <w:tr w14:paraId="359B8B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center"/>
                </w:tcPr>
                <w:p w14:paraId="1D38FCBC">
                  <w:pPr>
                    <w:pStyle w:val="16"/>
                    <w:spacing w:line="240" w:lineRule="auto"/>
                    <w:jc w:val="center"/>
                    <w:rPr>
                      <w:color w:val="auto"/>
                      <w:sz w:val="21"/>
                      <w:szCs w:val="21"/>
                    </w:rPr>
                  </w:pPr>
                  <w:r>
                    <w:rPr>
                      <w:rFonts w:hint="eastAsia"/>
                      <w:color w:val="auto"/>
                      <w:sz w:val="21"/>
                      <w:szCs w:val="21"/>
                    </w:rPr>
                    <w:t>雨水</w:t>
                  </w:r>
                </w:p>
              </w:tc>
              <w:tc>
                <w:tcPr>
                  <w:tcW w:w="1425" w:type="dxa"/>
                  <w:noWrap w:val="0"/>
                  <w:vAlign w:val="center"/>
                </w:tcPr>
                <w:p w14:paraId="365905BE">
                  <w:pPr>
                    <w:pStyle w:val="16"/>
                    <w:spacing w:line="240" w:lineRule="auto"/>
                    <w:jc w:val="center"/>
                    <w:rPr>
                      <w:color w:val="auto"/>
                      <w:sz w:val="21"/>
                      <w:szCs w:val="21"/>
                    </w:rPr>
                  </w:pPr>
                  <w:r>
                    <w:rPr>
                      <w:rFonts w:hint="eastAsia"/>
                      <w:color w:val="auto"/>
                      <w:sz w:val="21"/>
                      <w:szCs w:val="21"/>
                    </w:rPr>
                    <w:t>雨水排口</w:t>
                  </w:r>
                </w:p>
              </w:tc>
              <w:tc>
                <w:tcPr>
                  <w:tcW w:w="3540" w:type="dxa"/>
                  <w:noWrap w:val="0"/>
                  <w:vAlign w:val="center"/>
                </w:tcPr>
                <w:p w14:paraId="78150192">
                  <w:pPr>
                    <w:tabs>
                      <w:tab w:val="left" w:pos="0"/>
                    </w:tabs>
                    <w:adjustRightInd w:val="0"/>
                    <w:snapToGrid w:val="0"/>
                    <w:spacing w:line="360" w:lineRule="auto"/>
                    <w:jc w:val="center"/>
                    <w:rPr>
                      <w:rFonts w:hint="eastAsia"/>
                      <w:color w:val="auto"/>
                      <w:spacing w:val="4"/>
                      <w:kern w:val="18"/>
                      <w:szCs w:val="21"/>
                    </w:rPr>
                  </w:pPr>
                  <w:r>
                    <w:rPr>
                      <w:color w:val="auto"/>
                      <w:spacing w:val="4"/>
                      <w:kern w:val="18"/>
                      <w:szCs w:val="21"/>
                    </w:rPr>
                    <w:t>COD、SS、石油类</w:t>
                  </w:r>
                </w:p>
              </w:tc>
              <w:tc>
                <w:tcPr>
                  <w:tcW w:w="2539" w:type="dxa"/>
                  <w:noWrap w:val="0"/>
                  <w:vAlign w:val="center"/>
                </w:tcPr>
                <w:p w14:paraId="5298B0E2">
                  <w:pPr>
                    <w:tabs>
                      <w:tab w:val="left" w:pos="0"/>
                    </w:tabs>
                    <w:adjustRightInd w:val="0"/>
                    <w:snapToGrid w:val="0"/>
                    <w:spacing w:line="360" w:lineRule="auto"/>
                    <w:jc w:val="center"/>
                    <w:rPr>
                      <w:color w:val="auto"/>
                      <w:spacing w:val="4"/>
                      <w:kern w:val="18"/>
                      <w:szCs w:val="21"/>
                    </w:rPr>
                  </w:pPr>
                  <w:r>
                    <w:rPr>
                      <w:color w:val="auto"/>
                      <w:spacing w:val="4"/>
                      <w:kern w:val="18"/>
                      <w:szCs w:val="21"/>
                    </w:rPr>
                    <w:t>1次/天</w:t>
                  </w:r>
                </w:p>
              </w:tc>
            </w:tr>
          </w:tbl>
          <w:p w14:paraId="3A63042E">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color w:val="auto"/>
                <w:szCs w:val="21"/>
              </w:rPr>
            </w:pPr>
            <w:r>
              <w:rPr>
                <w:rFonts w:hint="eastAsia"/>
                <w:color w:val="auto"/>
                <w:szCs w:val="21"/>
              </w:rPr>
              <w:t>②三同时验收监测计划</w:t>
            </w:r>
          </w:p>
          <w:p w14:paraId="487B18AF">
            <w:pPr>
              <w:pStyle w:val="16"/>
              <w:keepNext w:val="0"/>
              <w:keepLines w:val="0"/>
              <w:pageBreakBefore w:val="0"/>
              <w:kinsoku/>
              <w:wordWrap/>
              <w:overflowPunct/>
              <w:topLinePunct w:val="0"/>
              <w:autoSpaceDE/>
              <w:autoSpaceDN/>
              <w:bidi w:val="0"/>
              <w:adjustRightInd/>
              <w:snapToGrid/>
              <w:spacing w:before="0" w:after="0" w:line="360" w:lineRule="auto"/>
              <w:ind w:left="0" w:leftChars="0" w:right="0" w:firstLine="420" w:firstLineChars="200"/>
              <w:textAlignment w:val="auto"/>
              <w:rPr>
                <w:rFonts w:hint="eastAsia"/>
                <w:color w:val="auto"/>
                <w:sz w:val="21"/>
                <w:szCs w:val="24"/>
                <w:lang w:val="en-US" w:eastAsia="zh-CN"/>
              </w:rPr>
            </w:pPr>
            <w:r>
              <w:rPr>
                <w:rFonts w:hint="eastAsia"/>
                <w:color w:val="auto"/>
                <w:sz w:val="21"/>
                <w:szCs w:val="24"/>
                <w:lang w:val="en-US" w:eastAsia="zh-CN"/>
              </w:rPr>
              <w:t>本项目未新增生活用水和生产废水。</w:t>
            </w:r>
          </w:p>
          <w:p w14:paraId="551CD1D3">
            <w:pPr>
              <w:pStyle w:val="16"/>
              <w:keepNext w:val="0"/>
              <w:keepLines w:val="0"/>
              <w:pageBreakBefore w:val="0"/>
              <w:widowControl/>
              <w:kinsoku/>
              <w:wordWrap/>
              <w:overflowPunct/>
              <w:topLinePunct w:val="0"/>
              <w:autoSpaceDE/>
              <w:autoSpaceDN/>
              <w:bidi w:val="0"/>
              <w:adjustRightInd/>
              <w:snapToGrid/>
              <w:spacing w:before="0" w:after="0" w:line="360" w:lineRule="auto"/>
              <w:ind w:left="0" w:leftChars="0" w:right="0" w:firstLine="420" w:firstLineChars="200"/>
              <w:textAlignment w:val="auto"/>
              <w:rPr>
                <w:rFonts w:hint="eastAsia"/>
                <w:color w:val="auto"/>
                <w:sz w:val="21"/>
                <w:szCs w:val="21"/>
              </w:rPr>
            </w:pPr>
            <w:r>
              <w:rPr>
                <w:rFonts w:hint="eastAsia"/>
                <w:color w:val="auto"/>
                <w:sz w:val="21"/>
                <w:szCs w:val="21"/>
              </w:rPr>
              <w:t>③地表水应急监测方案</w:t>
            </w:r>
          </w:p>
          <w:p w14:paraId="474F0BBC">
            <w:pPr>
              <w:pStyle w:val="16"/>
              <w:keepNext w:val="0"/>
              <w:keepLines w:val="0"/>
              <w:pageBreakBefore w:val="0"/>
              <w:widowControl/>
              <w:kinsoku/>
              <w:wordWrap/>
              <w:overflowPunct/>
              <w:topLinePunct w:val="0"/>
              <w:autoSpaceDE/>
              <w:autoSpaceDN/>
              <w:bidi w:val="0"/>
              <w:adjustRightInd/>
              <w:snapToGrid/>
              <w:spacing w:line="240" w:lineRule="auto"/>
              <w:ind w:left="0" w:leftChars="0" w:right="0" w:firstLine="420" w:firstLineChars="200"/>
              <w:textAlignment w:val="auto"/>
              <w:rPr>
                <w:color w:val="auto"/>
                <w:sz w:val="21"/>
                <w:szCs w:val="21"/>
              </w:rPr>
            </w:pPr>
            <w:r>
              <w:rPr>
                <w:color w:val="auto"/>
                <w:sz w:val="21"/>
                <w:szCs w:val="21"/>
              </w:rPr>
              <w:t>监测因子：pH值、COD、石油类等。</w:t>
            </w:r>
          </w:p>
          <w:p w14:paraId="3DEA651C">
            <w:pPr>
              <w:pStyle w:val="16"/>
              <w:keepNext w:val="0"/>
              <w:keepLines w:val="0"/>
              <w:pageBreakBefore w:val="0"/>
              <w:widowControl/>
              <w:kinsoku/>
              <w:wordWrap/>
              <w:overflowPunct/>
              <w:topLinePunct w:val="0"/>
              <w:autoSpaceDE/>
              <w:autoSpaceDN/>
              <w:bidi w:val="0"/>
              <w:adjustRightInd/>
              <w:snapToGrid/>
              <w:spacing w:line="240" w:lineRule="auto"/>
              <w:ind w:left="0" w:leftChars="0" w:right="0" w:firstLine="420" w:firstLineChars="200"/>
              <w:textAlignment w:val="auto"/>
              <w:rPr>
                <w:color w:val="auto"/>
              </w:rPr>
            </w:pPr>
            <w:r>
              <w:rPr>
                <w:color w:val="auto"/>
                <w:sz w:val="21"/>
                <w:szCs w:val="21"/>
              </w:rPr>
              <w:t>监测时间和频次：按照事故持续时间决定监测时间，根据事故严重性决定监测频次。</w:t>
            </w:r>
          </w:p>
          <w:p w14:paraId="78259EBD">
            <w:pPr>
              <w:pStyle w:val="16"/>
              <w:keepNext w:val="0"/>
              <w:keepLines w:val="0"/>
              <w:pageBreakBefore w:val="0"/>
              <w:widowControl/>
              <w:kinsoku/>
              <w:wordWrap/>
              <w:overflowPunct/>
              <w:topLinePunct w:val="0"/>
              <w:autoSpaceDE/>
              <w:autoSpaceDN/>
              <w:bidi w:val="0"/>
              <w:adjustRightInd/>
              <w:snapToGrid/>
              <w:spacing w:line="240" w:lineRule="auto"/>
              <w:ind w:right="0"/>
              <w:textAlignment w:val="auto"/>
              <w:rPr>
                <w:color w:val="auto"/>
                <w:sz w:val="21"/>
                <w:szCs w:val="21"/>
              </w:rPr>
            </w:pPr>
            <w:r>
              <w:rPr>
                <w:color w:val="auto"/>
                <w:sz w:val="21"/>
                <w:szCs w:val="21"/>
              </w:rPr>
              <w:t>一般情况下每小时取样一次。随事故控制减弱，适当减少监测频次。</w:t>
            </w:r>
          </w:p>
          <w:p w14:paraId="36D41BC7">
            <w:pPr>
              <w:pStyle w:val="16"/>
              <w:keepNext w:val="0"/>
              <w:keepLines w:val="0"/>
              <w:pageBreakBefore w:val="0"/>
              <w:widowControl/>
              <w:kinsoku/>
              <w:wordWrap/>
              <w:overflowPunct/>
              <w:topLinePunct w:val="0"/>
              <w:autoSpaceDE/>
              <w:autoSpaceDN/>
              <w:bidi w:val="0"/>
              <w:adjustRightInd/>
              <w:snapToGrid/>
              <w:spacing w:before="0" w:after="0" w:line="360" w:lineRule="auto"/>
              <w:ind w:left="0" w:leftChars="0" w:right="0" w:firstLine="420" w:firstLineChars="200"/>
              <w:textAlignment w:val="auto"/>
              <w:rPr>
                <w:color w:val="auto"/>
                <w:sz w:val="21"/>
                <w:szCs w:val="21"/>
              </w:rPr>
            </w:pPr>
            <w:r>
              <w:rPr>
                <w:color w:val="auto"/>
                <w:sz w:val="21"/>
                <w:szCs w:val="21"/>
              </w:rPr>
              <w:t>监测布点：在企业的雨水排口和</w:t>
            </w:r>
            <w:r>
              <w:rPr>
                <w:rFonts w:hint="eastAsia"/>
                <w:color w:val="auto"/>
                <w:sz w:val="21"/>
                <w:szCs w:val="21"/>
              </w:rPr>
              <w:t>长江</w:t>
            </w:r>
            <w:r>
              <w:rPr>
                <w:color w:val="auto"/>
                <w:sz w:val="21"/>
                <w:szCs w:val="21"/>
              </w:rPr>
              <w:t>下游500米处设置1～3个水质监测点。具体监测任务视事故发生状况进一步确定。</w:t>
            </w:r>
          </w:p>
          <w:p w14:paraId="72EB3336">
            <w:pPr>
              <w:pStyle w:val="4"/>
              <w:pageBreakBefore w:val="0"/>
              <w:kinsoku/>
              <w:wordWrap/>
              <w:overflowPunct/>
              <w:topLinePunct w:val="0"/>
              <w:autoSpaceDE/>
              <w:autoSpaceDN/>
              <w:bidi w:val="0"/>
              <w:adjustRightInd/>
              <w:snapToGrid/>
              <w:spacing w:before="0" w:after="0" w:line="360" w:lineRule="auto"/>
              <w:ind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4</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接管可行性</w:t>
            </w:r>
          </w:p>
          <w:p w14:paraId="15665B47">
            <w:pPr>
              <w:pStyle w:val="4"/>
              <w:tabs>
                <w:tab w:val="left" w:pos="720"/>
              </w:tabs>
              <w:spacing w:before="0" w:after="0" w:line="360" w:lineRule="auto"/>
              <w:ind w:firstLine="420" w:firstLineChars="200"/>
              <w:jc w:val="left"/>
              <w:outlineLvl w:val="2"/>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sz w:val="21"/>
                <w:szCs w:val="21"/>
              </w:rPr>
              <w:t>a</w:t>
            </w:r>
            <w:r>
              <w:rPr>
                <w:rFonts w:hint="eastAsia" w:ascii="Times New Roman" w:hAnsi="Times New Roman" w:cs="Times New Roman"/>
                <w:b w:val="0"/>
                <w:bCs w:val="0"/>
                <w:color w:val="auto"/>
                <w:kern w:val="0"/>
                <w:sz w:val="21"/>
                <w:szCs w:val="21"/>
                <w:lang w:eastAsia="zh-CN"/>
              </w:rPr>
              <w:t>.污水处理厂</w:t>
            </w:r>
            <w:r>
              <w:rPr>
                <w:rFonts w:hint="default" w:ascii="Times New Roman" w:hAnsi="Times New Roman" w:eastAsia="宋体" w:cs="Times New Roman"/>
                <w:b w:val="0"/>
                <w:bCs w:val="0"/>
                <w:color w:val="auto"/>
                <w:sz w:val="21"/>
                <w:szCs w:val="21"/>
              </w:rPr>
              <w:t>接管可行性</w:t>
            </w:r>
          </w:p>
          <w:p w14:paraId="6602844C">
            <w:pPr>
              <w:pStyle w:val="4"/>
              <w:tabs>
                <w:tab w:val="left" w:pos="720"/>
              </w:tabs>
              <w:spacing w:before="0" w:after="0" w:line="360" w:lineRule="auto"/>
              <w:ind w:firstLine="420" w:firstLineChars="200"/>
              <w:jc w:val="left"/>
              <w:outlineLvl w:val="2"/>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本项目未新增生活污水和生产废水，技改后全厂</w:t>
            </w:r>
            <w:r>
              <w:rPr>
                <w:rFonts w:hint="default" w:ascii="Times New Roman" w:hAnsi="Times New Roman" w:eastAsia="宋体" w:cs="Times New Roman"/>
                <w:b w:val="0"/>
                <w:bCs w:val="0"/>
                <w:color w:val="auto"/>
                <w:sz w:val="21"/>
                <w:szCs w:val="21"/>
              </w:rPr>
              <w:t>污水产生量为</w:t>
            </w:r>
            <w:r>
              <w:rPr>
                <w:rFonts w:hint="eastAsia" w:ascii="Times New Roman" w:hAnsi="Times New Roman" w:cs="Times New Roman"/>
                <w:b w:val="0"/>
                <w:bCs w:val="0"/>
                <w:color w:val="auto"/>
                <w:sz w:val="21"/>
                <w:szCs w:val="21"/>
                <w:lang w:val="en-US" w:eastAsia="zh-CN"/>
              </w:rPr>
              <w:t>1000</w:t>
            </w:r>
            <w:r>
              <w:rPr>
                <w:rFonts w:hint="default" w:ascii="Times New Roman" w:hAnsi="Times New Roman" w:eastAsia="宋体" w:cs="Times New Roman"/>
                <w:b w:val="0"/>
                <w:bCs w:val="0"/>
                <w:color w:val="auto"/>
                <w:sz w:val="21"/>
                <w:szCs w:val="21"/>
              </w:rPr>
              <w:t>t/a，</w:t>
            </w:r>
            <w:r>
              <w:rPr>
                <w:rFonts w:hint="eastAsia" w:ascii="Times New Roman" w:hAnsi="Times New Roman" w:cs="Times New Roman"/>
                <w:b w:val="0"/>
                <w:bCs w:val="0"/>
                <w:color w:val="auto"/>
                <w:sz w:val="21"/>
                <w:szCs w:val="21"/>
                <w:lang w:val="en-US" w:eastAsia="zh-CN"/>
              </w:rPr>
              <w:t>约3.125t/d，</w:t>
            </w:r>
            <w:r>
              <w:rPr>
                <w:rFonts w:hint="default" w:ascii="Times New Roman" w:hAnsi="Times New Roman" w:eastAsia="宋体" w:cs="Times New Roman"/>
                <w:b w:val="0"/>
                <w:bCs w:val="0"/>
                <w:color w:val="auto"/>
                <w:sz w:val="21"/>
                <w:szCs w:val="21"/>
              </w:rPr>
              <w:t>海门经济技术开发区污水处理厂处理能力为10万t/d，</w:t>
            </w:r>
            <w:r>
              <w:rPr>
                <w:rFonts w:hint="eastAsia" w:ascii="Times New Roman" w:hAnsi="Times New Roman" w:cs="Times New Roman"/>
                <w:b w:val="0"/>
                <w:bCs w:val="0"/>
                <w:color w:val="auto"/>
                <w:sz w:val="21"/>
                <w:szCs w:val="21"/>
                <w:lang w:val="en-US" w:eastAsia="zh-CN"/>
              </w:rPr>
              <w:t>占余量的0.03125</w:t>
            </w:r>
            <w:r>
              <w:rPr>
                <w:rFonts w:hint="default" w:ascii="Times New Roman" w:hAnsi="Times New Roman" w:eastAsia="宋体" w:cs="Times New Roman"/>
                <w:b w:val="0"/>
                <w:bCs w:val="0"/>
                <w:color w:val="auto"/>
                <w:sz w:val="21"/>
                <w:szCs w:val="21"/>
              </w:rPr>
              <w:t>‰。因此，废水排入海门经济技术开发区污水处理厂内处理是可行的。</w:t>
            </w:r>
          </w:p>
          <w:p w14:paraId="3D68E828">
            <w:pPr>
              <w:pStyle w:val="4"/>
              <w:tabs>
                <w:tab w:val="left" w:pos="720"/>
              </w:tabs>
              <w:spacing w:before="0" w:after="0" w:line="360" w:lineRule="auto"/>
              <w:ind w:firstLine="420" w:firstLineChars="200"/>
              <w:jc w:val="left"/>
              <w:outlineLvl w:val="2"/>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b</w:t>
            </w:r>
            <w:r>
              <w:rPr>
                <w:rFonts w:hint="eastAsia" w:ascii="Times New Roman" w:hAnsi="Times New Roman"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水质可行性分析</w:t>
            </w:r>
          </w:p>
          <w:p w14:paraId="230E67B8">
            <w:pPr>
              <w:autoSpaceDE w:val="0"/>
              <w:autoSpaceDN w:val="0"/>
              <w:adjustRightInd w:val="0"/>
              <w:spacing w:line="360" w:lineRule="auto"/>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建设项目污水水质简单且经厂区内预处理后，满足海门经济技术开发区污水处理厂处理标准，不会对海门经济技术开发区污水处理厂的处理工艺造成大的冲击，对污水处理厂生化系统影响较小。因此，从水质来讲，建设项目废水接入海门经济技术开发区污水处理厂处理是可行的。</w:t>
            </w:r>
          </w:p>
          <w:p w14:paraId="31D8407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bCs/>
                <w:color w:val="auto"/>
                <w:sz w:val="21"/>
                <w:szCs w:val="21"/>
              </w:rPr>
            </w:pPr>
            <w:r>
              <w:rPr>
                <w:rFonts w:hint="eastAsia" w:ascii="Times New Roman" w:hAnsi="Times New Roman" w:cs="Times New Roman"/>
                <w:bCs/>
                <w:color w:val="auto"/>
                <w:sz w:val="21"/>
                <w:szCs w:val="21"/>
                <w:lang w:val="en-US" w:eastAsia="zh-CN"/>
              </w:rPr>
              <w:t>c.</w:t>
            </w:r>
            <w:r>
              <w:rPr>
                <w:rFonts w:hint="default" w:ascii="Times New Roman" w:hAnsi="Times New Roman" w:eastAsia="宋体" w:cs="Times New Roman"/>
                <w:bCs/>
                <w:color w:val="auto"/>
                <w:sz w:val="21"/>
                <w:szCs w:val="21"/>
              </w:rPr>
              <w:t>管网配套可行性分析</w:t>
            </w:r>
          </w:p>
          <w:p w14:paraId="620A27F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bCs/>
                <w:color w:val="auto"/>
                <w:sz w:val="21"/>
                <w:szCs w:val="21"/>
                <w:lang w:eastAsia="zh-CN"/>
              </w:rPr>
            </w:pPr>
            <w:r>
              <w:rPr>
                <w:rFonts w:hint="default" w:ascii="Times New Roman" w:hAnsi="Times New Roman" w:cs="Times New Roman" w:eastAsiaTheme="minorEastAsia"/>
                <w:color w:val="auto"/>
                <w:sz w:val="21"/>
                <w:szCs w:val="21"/>
                <w:lang w:val="en-US"/>
              </w:rPr>
              <w:t>目前，海门经济技术开发区污水处理厂</w:t>
            </w:r>
            <w:r>
              <w:rPr>
                <w:rFonts w:hint="eastAsia" w:ascii="Times New Roman" w:hAnsi="Times New Roman" w:cs="Times New Roman" w:eastAsiaTheme="minorEastAsia"/>
                <w:color w:val="auto"/>
                <w:sz w:val="21"/>
                <w:szCs w:val="21"/>
                <w:lang w:val="en-US" w:eastAsia="zh-CN"/>
              </w:rPr>
              <w:t>已试运行</w:t>
            </w:r>
            <w:r>
              <w:rPr>
                <w:rFonts w:hint="default" w:ascii="Times New Roman" w:hAnsi="Times New Roman" w:cs="Times New Roman" w:eastAsiaTheme="minorEastAsia"/>
                <w:color w:val="auto"/>
                <w:sz w:val="21"/>
                <w:szCs w:val="21"/>
                <w:lang w:val="en-US"/>
              </w:rPr>
              <w:t>，服务范围：海门经济技术开发区范围内的滨江街道部分</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rPr>
              <w:t>包含江海物流园区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rPr>
              <w:t>，海门街道部分和三星镇内的部分污水，服务面积154km</w:t>
            </w:r>
            <w:r>
              <w:rPr>
                <w:rFonts w:hint="default" w:ascii="Times New Roman" w:hAnsi="Times New Roman" w:cs="Times New Roman" w:eastAsiaTheme="minorEastAsia"/>
                <w:color w:val="auto"/>
                <w:sz w:val="21"/>
                <w:szCs w:val="21"/>
                <w:vertAlign w:val="superscript"/>
                <w:lang w:val="en-US"/>
              </w:rPr>
              <w:t>2</w:t>
            </w:r>
            <w:r>
              <w:rPr>
                <w:rFonts w:hint="default" w:ascii="Times New Roman" w:hAnsi="Times New Roman" w:cs="Times New Roman" w:eastAsiaTheme="minorEastAsia"/>
                <w:color w:val="auto"/>
                <w:sz w:val="21"/>
                <w:szCs w:val="21"/>
                <w:lang w:val="en-US"/>
              </w:rPr>
              <w:t>。本项目位于海门经济技术开发区污水处理厂服务范围内</w:t>
            </w:r>
            <w:r>
              <w:rPr>
                <w:rFonts w:hint="default" w:ascii="Times New Roman" w:hAnsi="Times New Roman" w:eastAsia="宋体" w:cs="Times New Roman"/>
                <w:color w:val="auto"/>
                <w:sz w:val="21"/>
                <w:szCs w:val="21"/>
              </w:rPr>
              <w:t>。</w:t>
            </w:r>
          </w:p>
          <w:p w14:paraId="6AB055F8">
            <w:pPr>
              <w:pStyle w:val="17"/>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eastAsia="宋体" w:cs="Times New Roman"/>
                <w:color w:val="auto"/>
                <w:sz w:val="21"/>
                <w:szCs w:val="21"/>
              </w:rPr>
            </w:pPr>
            <w:r>
              <w:rPr>
                <w:rFonts w:hint="eastAsia" w:ascii="Times New Roman" w:hAnsi="Times New Roman" w:cs="Times New Roman"/>
                <w:bCs/>
                <w:color w:val="auto"/>
                <w:sz w:val="21"/>
                <w:szCs w:val="21"/>
                <w:lang w:val="en-US" w:eastAsia="zh-CN"/>
              </w:rPr>
              <w:t>因此，</w:t>
            </w:r>
            <w:r>
              <w:rPr>
                <w:rFonts w:hint="default" w:ascii="Times New Roman" w:hAnsi="Times New Roman" w:cs="Times New Roman"/>
                <w:bCs/>
                <w:color w:val="auto"/>
                <w:sz w:val="21"/>
                <w:szCs w:val="21"/>
                <w:lang w:val="en-US" w:eastAsia="zh-CN"/>
              </w:rPr>
              <w:t>对照</w:t>
            </w:r>
            <w:r>
              <w:rPr>
                <w:rFonts w:hint="eastAsia" w:asciiTheme="minorEastAsia" w:hAnsiTheme="minorEastAsia"/>
                <w:b w:val="0"/>
                <w:bCs w:val="0"/>
                <w:color w:val="auto"/>
                <w:sz w:val="21"/>
                <w:szCs w:val="21"/>
              </w:rPr>
              <w:t>《关于印发</w:t>
            </w:r>
            <w:r>
              <w:rPr>
                <w:rFonts w:hint="eastAsia" w:asciiTheme="minorEastAsia" w:hAnsiTheme="minorEastAsia"/>
                <w:b w:val="0"/>
                <w:bCs w:val="0"/>
                <w:color w:val="auto"/>
                <w:sz w:val="21"/>
                <w:szCs w:val="21"/>
                <w:lang w:eastAsia="zh-CN"/>
              </w:rPr>
              <w:t>〈</w:t>
            </w:r>
            <w:r>
              <w:rPr>
                <w:rFonts w:hint="eastAsia" w:asciiTheme="minorEastAsia" w:hAnsiTheme="minorEastAsia"/>
                <w:b w:val="0"/>
                <w:bCs w:val="0"/>
                <w:color w:val="auto"/>
                <w:sz w:val="21"/>
                <w:szCs w:val="21"/>
              </w:rPr>
              <w:t>南通市地表水工业特征污染物专项整治工作实施方案</w:t>
            </w:r>
            <w:r>
              <w:rPr>
                <w:rFonts w:hint="eastAsia" w:asciiTheme="minorEastAsia" w:hAnsiTheme="minorEastAsia"/>
                <w:b w:val="0"/>
                <w:bCs w:val="0"/>
                <w:color w:val="auto"/>
                <w:sz w:val="21"/>
                <w:szCs w:val="21"/>
                <w:lang w:eastAsia="zh-CN"/>
              </w:rPr>
              <w:t>〉</w:t>
            </w:r>
            <w:r>
              <w:rPr>
                <w:rFonts w:hint="eastAsia" w:asciiTheme="minorEastAsia" w:hAnsiTheme="minorEastAsia"/>
                <w:b w:val="0"/>
                <w:bCs w:val="0"/>
                <w:color w:val="auto"/>
                <w:sz w:val="21"/>
                <w:szCs w:val="21"/>
              </w:rPr>
              <w:t>的通知》</w:t>
            </w:r>
            <w:r>
              <w:rPr>
                <w:rFonts w:hint="eastAsia" w:ascii="Times New Roman" w:hAnsi="Times New Roman" w:cs="Times New Roman"/>
                <w:bCs/>
                <w:color w:val="auto"/>
                <w:sz w:val="21"/>
                <w:szCs w:val="21"/>
                <w:lang w:val="en-US" w:eastAsia="zh-CN"/>
              </w:rPr>
              <w:t>，本项目满足相关要求。</w:t>
            </w:r>
          </w:p>
          <w:p w14:paraId="7F8D5AA2">
            <w:pPr>
              <w:pStyle w:val="4"/>
              <w:spacing w:before="0" w:after="0" w:line="360" w:lineRule="auto"/>
              <w:ind w:firstLine="420" w:firstLineChars="20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从以上的分析可知，本项目位于海门经济技术开发区污水处理厂的服务范围内，且本项目污水经预处理后可达到污水处理厂处理标准，污水排放量在污水处理厂现有处理规模的能力范围内。因此，本项目污水接入海门经济技术开发区污水处理厂是可行的。</w:t>
            </w:r>
          </w:p>
          <w:p w14:paraId="3A9029A7">
            <w:pPr>
              <w:adjustRightInd w:val="0"/>
              <w:snapToGrid w:val="0"/>
              <w:spacing w:line="360" w:lineRule="auto"/>
              <w:ind w:firstLine="422" w:firstLineChars="200"/>
              <w:rPr>
                <w:b/>
                <w:color w:val="auto"/>
                <w:sz w:val="21"/>
                <w:szCs w:val="21"/>
              </w:rPr>
            </w:pPr>
            <w:r>
              <w:rPr>
                <w:b/>
                <w:color w:val="auto"/>
                <w:sz w:val="21"/>
                <w:szCs w:val="21"/>
              </w:rPr>
              <w:t>3、噪声</w:t>
            </w:r>
          </w:p>
          <w:p w14:paraId="5BC46378">
            <w:pPr>
              <w:pStyle w:val="17"/>
              <w:spacing w:after="0" w:line="360" w:lineRule="auto"/>
              <w:ind w:left="0" w:leftChars="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本项目的噪声污染来源于</w:t>
            </w:r>
            <w:r>
              <w:rPr>
                <w:rFonts w:hint="eastAsia" w:cs="Times New Roman"/>
                <w:color w:val="auto"/>
                <w:sz w:val="21"/>
                <w:szCs w:val="21"/>
                <w:lang w:val="en-US" w:eastAsia="zh-CN"/>
              </w:rPr>
              <w:t>生产设备及配套设备运行产生的噪声</w:t>
            </w:r>
            <w:r>
              <w:rPr>
                <w:rFonts w:hint="default" w:ascii="Times New Roman" w:hAnsi="Times New Roman" w:eastAsia="宋体" w:cs="Times New Roman"/>
                <w:color w:val="auto"/>
                <w:sz w:val="21"/>
                <w:szCs w:val="21"/>
                <w:lang w:val="en-US" w:eastAsia="zh-CN"/>
              </w:rPr>
              <w:t>，主要采取安装消声装置、减振措施设施，并通过合理布局以及采用建筑物进行隔声。</w:t>
            </w:r>
          </w:p>
          <w:p w14:paraId="37FF2378">
            <w:pPr>
              <w:pStyle w:val="182"/>
              <w:adjustRightInd w:val="0"/>
              <w:snapToGrid w:val="0"/>
              <w:spacing w:line="360" w:lineRule="auto"/>
              <w:ind w:left="0"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本项目主要设备噪声源强见表4-</w:t>
            </w:r>
            <w:r>
              <w:rPr>
                <w:rFonts w:hint="eastAsia" w:ascii="Times New Roman" w:hAnsi="Times New Roman" w:cs="Times New Roman"/>
                <w:color w:val="auto"/>
                <w:sz w:val="21"/>
                <w:szCs w:val="21"/>
                <w:lang w:val="en-US" w:eastAsia="zh-CN"/>
              </w:rPr>
              <w:t>12、表4-13</w:t>
            </w:r>
            <w:r>
              <w:rPr>
                <w:rFonts w:hint="default" w:ascii="Times New Roman" w:hAnsi="Times New Roman" w:eastAsia="宋体" w:cs="Times New Roman"/>
                <w:color w:val="auto"/>
                <w:sz w:val="21"/>
                <w:szCs w:val="21"/>
              </w:rPr>
              <w:t>。</w:t>
            </w:r>
          </w:p>
          <w:p w14:paraId="709A5720">
            <w:pPr>
              <w:pStyle w:val="182"/>
              <w:adjustRightInd w:val="0"/>
              <w:snapToGrid w:val="0"/>
              <w:spacing w:line="360" w:lineRule="auto"/>
              <w:ind w:left="0" w:firstLine="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rPr>
              <w:t>表4-</w:t>
            </w:r>
            <w:r>
              <w:rPr>
                <w:rFonts w:hint="eastAsia" w:ascii="Times New Roman" w:hAnsi="Times New Roman" w:cs="Times New Roman"/>
                <w:b/>
                <w:bCs/>
                <w:color w:val="auto"/>
                <w:sz w:val="21"/>
                <w:szCs w:val="21"/>
                <w:lang w:val="en-US" w:eastAsia="zh-CN"/>
              </w:rPr>
              <w:t>12</w:t>
            </w:r>
            <w:r>
              <w:rPr>
                <w:rFonts w:hint="default" w:ascii="Times New Roman" w:hAnsi="Times New Roman" w:eastAsia="宋体" w:cs="Times New Roman"/>
                <w:b/>
                <w:bCs/>
                <w:color w:val="auto"/>
                <w:sz w:val="21"/>
                <w:szCs w:val="21"/>
              </w:rPr>
              <w:t xml:space="preserve">  工业企业噪声源强调查清单 </w:t>
            </w:r>
            <w:r>
              <w:rPr>
                <w:rFonts w:hint="eastAsia"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室内声源</w:t>
            </w:r>
            <w:r>
              <w:rPr>
                <w:rFonts w:hint="eastAsia" w:ascii="Times New Roman" w:hAnsi="Times New Roman" w:cs="Times New Roman"/>
                <w:b/>
                <w:bCs/>
                <w:color w:val="auto"/>
                <w:sz w:val="21"/>
                <w:szCs w:val="21"/>
                <w:lang w:eastAsia="zh-CN"/>
              </w:rPr>
              <w:t>）</w:t>
            </w:r>
          </w:p>
          <w:tbl>
            <w:tblPr>
              <w:tblStyle w:val="43"/>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7"/>
              <w:gridCol w:w="555"/>
              <w:gridCol w:w="675"/>
              <w:gridCol w:w="750"/>
              <w:gridCol w:w="495"/>
              <w:gridCol w:w="525"/>
              <w:gridCol w:w="491"/>
              <w:gridCol w:w="621"/>
              <w:gridCol w:w="622"/>
              <w:gridCol w:w="622"/>
              <w:gridCol w:w="622"/>
              <w:gridCol w:w="622"/>
            </w:tblGrid>
            <w:tr w14:paraId="1ED16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restart"/>
                  <w:tcBorders>
                    <w:tl2br w:val="nil"/>
                    <w:tr2bl w:val="nil"/>
                  </w:tcBorders>
                  <w:vAlign w:val="center"/>
                </w:tcPr>
                <w:p w14:paraId="40FB6C39">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建筑物名称</w:t>
                  </w:r>
                </w:p>
              </w:tc>
              <w:tc>
                <w:tcPr>
                  <w:tcW w:w="997" w:type="dxa"/>
                  <w:vMerge w:val="restart"/>
                  <w:tcBorders>
                    <w:tl2br w:val="nil"/>
                    <w:tr2bl w:val="nil"/>
                  </w:tcBorders>
                  <w:vAlign w:val="center"/>
                </w:tcPr>
                <w:p w14:paraId="6AB10E4E">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声源</w:t>
                  </w:r>
                </w:p>
                <w:p w14:paraId="34927E6F">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名称</w:t>
                  </w:r>
                </w:p>
              </w:tc>
              <w:tc>
                <w:tcPr>
                  <w:tcW w:w="555" w:type="dxa"/>
                  <w:vMerge w:val="restart"/>
                  <w:tcBorders>
                    <w:tl2br w:val="nil"/>
                    <w:tr2bl w:val="nil"/>
                  </w:tcBorders>
                  <w:vAlign w:val="center"/>
                </w:tcPr>
                <w:p w14:paraId="6BD4B958">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数量台/套</w:t>
                  </w:r>
                </w:p>
              </w:tc>
              <w:tc>
                <w:tcPr>
                  <w:tcW w:w="675" w:type="dxa"/>
                  <w:vMerge w:val="restart"/>
                  <w:tcBorders>
                    <w:tl2br w:val="nil"/>
                    <w:tr2bl w:val="nil"/>
                  </w:tcBorders>
                  <w:vAlign w:val="center"/>
                </w:tcPr>
                <w:p w14:paraId="04104156">
                  <w:pPr>
                    <w:bidi w:val="0"/>
                    <w:jc w:val="center"/>
                    <w:rPr>
                      <w:rFonts w:hint="default" w:ascii="Times New Roman" w:hAnsi="Times New Roman" w:eastAsia="宋体" w:cs="Times New Roman"/>
                      <w:color w:val="auto"/>
                      <w:sz w:val="18"/>
                      <w:szCs w:val="18"/>
                      <w:lang w:val="en-US" w:eastAsia="zh-CN"/>
                    </w:rPr>
                  </w:pPr>
                  <w:r>
                    <w:rPr>
                      <w:rFonts w:hint="eastAsia"/>
                      <w:b w:val="0"/>
                      <w:bCs w:val="0"/>
                      <w:color w:val="auto"/>
                      <w:sz w:val="18"/>
                      <w:szCs w:val="18"/>
                      <w:highlight w:val="none"/>
                    </w:rPr>
                    <w:t>单台声功率级dB（A）</w:t>
                  </w:r>
                </w:p>
              </w:tc>
              <w:tc>
                <w:tcPr>
                  <w:tcW w:w="750" w:type="dxa"/>
                  <w:vMerge w:val="restart"/>
                  <w:tcBorders>
                    <w:tl2br w:val="nil"/>
                    <w:tr2bl w:val="nil"/>
                  </w:tcBorders>
                  <w:vAlign w:val="center"/>
                </w:tcPr>
                <w:p w14:paraId="26C64910">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控制措施</w:t>
                  </w:r>
                </w:p>
              </w:tc>
              <w:tc>
                <w:tcPr>
                  <w:tcW w:w="1511" w:type="dxa"/>
                  <w:gridSpan w:val="3"/>
                  <w:tcBorders>
                    <w:tl2br w:val="nil"/>
                    <w:tr2bl w:val="nil"/>
                  </w:tcBorders>
                  <w:vAlign w:val="center"/>
                </w:tcPr>
                <w:p w14:paraId="407FCFC7">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空间相对位置/m</w:t>
                  </w:r>
                </w:p>
              </w:tc>
              <w:tc>
                <w:tcPr>
                  <w:tcW w:w="621" w:type="dxa"/>
                  <w:vMerge w:val="restart"/>
                  <w:tcBorders>
                    <w:tl2br w:val="nil"/>
                    <w:tr2bl w:val="nil"/>
                  </w:tcBorders>
                  <w:vAlign w:val="center"/>
                </w:tcPr>
                <w:p w14:paraId="57D336D1">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距室内边界距离/m</w:t>
                  </w:r>
                </w:p>
              </w:tc>
              <w:tc>
                <w:tcPr>
                  <w:tcW w:w="622" w:type="dxa"/>
                  <w:vMerge w:val="restart"/>
                  <w:tcBorders>
                    <w:tl2br w:val="nil"/>
                    <w:tr2bl w:val="nil"/>
                  </w:tcBorders>
                  <w:vAlign w:val="center"/>
                </w:tcPr>
                <w:p w14:paraId="766843D2">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室内边界声级/dB（A）</w:t>
                  </w:r>
                </w:p>
              </w:tc>
              <w:tc>
                <w:tcPr>
                  <w:tcW w:w="622" w:type="dxa"/>
                  <w:vMerge w:val="restart"/>
                  <w:tcBorders>
                    <w:tl2br w:val="nil"/>
                    <w:tr2bl w:val="nil"/>
                  </w:tcBorders>
                  <w:vAlign w:val="center"/>
                </w:tcPr>
                <w:p w14:paraId="6D498875">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建筑物插入损失/dB（A）</w:t>
                  </w:r>
                </w:p>
              </w:tc>
              <w:tc>
                <w:tcPr>
                  <w:tcW w:w="1244" w:type="dxa"/>
                  <w:gridSpan w:val="2"/>
                  <w:tcBorders>
                    <w:tl2br w:val="nil"/>
                    <w:tr2bl w:val="nil"/>
                  </w:tcBorders>
                  <w:vAlign w:val="center"/>
                </w:tcPr>
                <w:p w14:paraId="3F72FC05">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建筑物外噪声</w:t>
                  </w:r>
                </w:p>
              </w:tc>
            </w:tr>
            <w:tr w14:paraId="39D9C2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741CA2C9">
                  <w:pPr>
                    <w:bidi w:val="0"/>
                    <w:jc w:val="center"/>
                    <w:rPr>
                      <w:rFonts w:hint="default" w:ascii="Times New Roman" w:hAnsi="Times New Roman" w:eastAsia="宋体" w:cs="Times New Roman"/>
                      <w:color w:val="auto"/>
                      <w:sz w:val="18"/>
                      <w:szCs w:val="18"/>
                    </w:rPr>
                  </w:pPr>
                </w:p>
              </w:tc>
              <w:tc>
                <w:tcPr>
                  <w:tcW w:w="997" w:type="dxa"/>
                  <w:vMerge w:val="continue"/>
                  <w:tcBorders>
                    <w:tl2br w:val="nil"/>
                    <w:tr2bl w:val="nil"/>
                  </w:tcBorders>
                  <w:vAlign w:val="center"/>
                </w:tcPr>
                <w:p w14:paraId="7400234A">
                  <w:pPr>
                    <w:bidi w:val="0"/>
                    <w:jc w:val="center"/>
                    <w:rPr>
                      <w:rFonts w:hint="default" w:ascii="Times New Roman" w:hAnsi="Times New Roman" w:eastAsia="宋体" w:cs="Times New Roman"/>
                      <w:color w:val="auto"/>
                      <w:sz w:val="18"/>
                      <w:szCs w:val="18"/>
                    </w:rPr>
                  </w:pPr>
                </w:p>
              </w:tc>
              <w:tc>
                <w:tcPr>
                  <w:tcW w:w="555" w:type="dxa"/>
                  <w:vMerge w:val="continue"/>
                  <w:tcBorders>
                    <w:tl2br w:val="nil"/>
                    <w:tr2bl w:val="nil"/>
                  </w:tcBorders>
                  <w:vAlign w:val="center"/>
                </w:tcPr>
                <w:p w14:paraId="059A78B7">
                  <w:pPr>
                    <w:bidi w:val="0"/>
                    <w:jc w:val="center"/>
                    <w:rPr>
                      <w:rFonts w:hint="default" w:ascii="Times New Roman" w:hAnsi="Times New Roman" w:eastAsia="宋体" w:cs="Times New Roman"/>
                      <w:color w:val="auto"/>
                      <w:sz w:val="18"/>
                      <w:szCs w:val="18"/>
                    </w:rPr>
                  </w:pPr>
                </w:p>
              </w:tc>
              <w:tc>
                <w:tcPr>
                  <w:tcW w:w="675" w:type="dxa"/>
                  <w:vMerge w:val="continue"/>
                  <w:tcBorders>
                    <w:tl2br w:val="nil"/>
                    <w:tr2bl w:val="nil"/>
                  </w:tcBorders>
                  <w:vAlign w:val="center"/>
                </w:tcPr>
                <w:p w14:paraId="28617623">
                  <w:pPr>
                    <w:bidi w:val="0"/>
                    <w:jc w:val="center"/>
                    <w:rPr>
                      <w:rFonts w:hint="default" w:ascii="Times New Roman" w:hAnsi="Times New Roman" w:eastAsia="宋体" w:cs="Times New Roman"/>
                      <w:color w:val="auto"/>
                      <w:sz w:val="18"/>
                      <w:szCs w:val="18"/>
                    </w:rPr>
                  </w:pPr>
                </w:p>
              </w:tc>
              <w:tc>
                <w:tcPr>
                  <w:tcW w:w="750" w:type="dxa"/>
                  <w:vMerge w:val="continue"/>
                  <w:tcBorders>
                    <w:tl2br w:val="nil"/>
                    <w:tr2bl w:val="nil"/>
                  </w:tcBorders>
                  <w:vAlign w:val="center"/>
                </w:tcPr>
                <w:p w14:paraId="1397535F">
                  <w:pPr>
                    <w:bidi w:val="0"/>
                    <w:jc w:val="center"/>
                    <w:rPr>
                      <w:rFonts w:hint="default" w:ascii="Times New Roman" w:hAnsi="Times New Roman" w:eastAsia="宋体" w:cs="Times New Roman"/>
                      <w:color w:val="auto"/>
                      <w:sz w:val="18"/>
                      <w:szCs w:val="18"/>
                    </w:rPr>
                  </w:pPr>
                </w:p>
              </w:tc>
              <w:tc>
                <w:tcPr>
                  <w:tcW w:w="495" w:type="dxa"/>
                  <w:tcBorders>
                    <w:tl2br w:val="nil"/>
                    <w:tr2bl w:val="nil"/>
                  </w:tcBorders>
                  <w:vAlign w:val="center"/>
                </w:tcPr>
                <w:p w14:paraId="7D9C7CF2">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X</w:t>
                  </w:r>
                </w:p>
              </w:tc>
              <w:tc>
                <w:tcPr>
                  <w:tcW w:w="525" w:type="dxa"/>
                  <w:tcBorders>
                    <w:tl2br w:val="nil"/>
                    <w:tr2bl w:val="nil"/>
                  </w:tcBorders>
                  <w:vAlign w:val="center"/>
                </w:tcPr>
                <w:p w14:paraId="5A052AF8">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Y</w:t>
                  </w:r>
                </w:p>
              </w:tc>
              <w:tc>
                <w:tcPr>
                  <w:tcW w:w="491" w:type="dxa"/>
                  <w:tcBorders>
                    <w:tl2br w:val="nil"/>
                    <w:tr2bl w:val="nil"/>
                  </w:tcBorders>
                  <w:vAlign w:val="center"/>
                </w:tcPr>
                <w:p w14:paraId="63D16618">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Z</w:t>
                  </w:r>
                </w:p>
              </w:tc>
              <w:tc>
                <w:tcPr>
                  <w:tcW w:w="621" w:type="dxa"/>
                  <w:vMerge w:val="continue"/>
                  <w:tcBorders>
                    <w:tl2br w:val="nil"/>
                    <w:tr2bl w:val="nil"/>
                  </w:tcBorders>
                  <w:vAlign w:val="center"/>
                </w:tcPr>
                <w:p w14:paraId="74E5A637">
                  <w:pPr>
                    <w:bidi w:val="0"/>
                    <w:jc w:val="center"/>
                    <w:rPr>
                      <w:rFonts w:hint="default" w:ascii="Times New Roman" w:hAnsi="Times New Roman" w:eastAsia="宋体" w:cs="Times New Roman"/>
                      <w:color w:val="auto"/>
                      <w:sz w:val="18"/>
                      <w:szCs w:val="18"/>
                    </w:rPr>
                  </w:pPr>
                </w:p>
              </w:tc>
              <w:tc>
                <w:tcPr>
                  <w:tcW w:w="622" w:type="dxa"/>
                  <w:vMerge w:val="continue"/>
                  <w:tcBorders>
                    <w:tl2br w:val="nil"/>
                    <w:tr2bl w:val="nil"/>
                  </w:tcBorders>
                  <w:vAlign w:val="center"/>
                </w:tcPr>
                <w:p w14:paraId="68FEE6E3">
                  <w:pPr>
                    <w:bidi w:val="0"/>
                    <w:jc w:val="center"/>
                    <w:rPr>
                      <w:rFonts w:hint="default" w:ascii="Times New Roman" w:hAnsi="Times New Roman" w:eastAsia="宋体" w:cs="Times New Roman"/>
                      <w:color w:val="auto"/>
                      <w:sz w:val="18"/>
                      <w:szCs w:val="18"/>
                    </w:rPr>
                  </w:pPr>
                </w:p>
              </w:tc>
              <w:tc>
                <w:tcPr>
                  <w:tcW w:w="622" w:type="dxa"/>
                  <w:vMerge w:val="continue"/>
                  <w:tcBorders>
                    <w:tl2br w:val="nil"/>
                    <w:tr2bl w:val="nil"/>
                  </w:tcBorders>
                  <w:vAlign w:val="center"/>
                </w:tcPr>
                <w:p w14:paraId="5C112C25">
                  <w:pPr>
                    <w:bidi w:val="0"/>
                    <w:jc w:val="center"/>
                    <w:rPr>
                      <w:rFonts w:hint="default" w:ascii="Times New Roman" w:hAnsi="Times New Roman" w:eastAsia="宋体" w:cs="Times New Roman"/>
                      <w:color w:val="auto"/>
                      <w:sz w:val="18"/>
                      <w:szCs w:val="18"/>
                    </w:rPr>
                  </w:pPr>
                </w:p>
              </w:tc>
              <w:tc>
                <w:tcPr>
                  <w:tcW w:w="622" w:type="dxa"/>
                  <w:tcBorders>
                    <w:tl2br w:val="nil"/>
                    <w:tr2bl w:val="nil"/>
                  </w:tcBorders>
                  <w:vAlign w:val="center"/>
                </w:tcPr>
                <w:p w14:paraId="0436E237">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声压级/dB（A）</w:t>
                  </w:r>
                </w:p>
              </w:tc>
              <w:tc>
                <w:tcPr>
                  <w:tcW w:w="622" w:type="dxa"/>
                  <w:tcBorders>
                    <w:tl2br w:val="nil"/>
                    <w:tr2bl w:val="nil"/>
                  </w:tcBorders>
                  <w:vAlign w:val="center"/>
                </w:tcPr>
                <w:p w14:paraId="18EEE44B">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建筑物外距离</w:t>
                  </w:r>
                </w:p>
              </w:tc>
            </w:tr>
            <w:tr w14:paraId="071F5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restart"/>
                  <w:tcBorders>
                    <w:tl2br w:val="nil"/>
                    <w:tr2bl w:val="nil"/>
                  </w:tcBorders>
                  <w:vAlign w:val="center"/>
                </w:tcPr>
                <w:p w14:paraId="5008383A">
                  <w:pPr>
                    <w:pStyle w:val="210"/>
                    <w:ind w:firstLine="0" w:firstLineChars="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车间</w:t>
                  </w:r>
                </w:p>
              </w:tc>
              <w:tc>
                <w:tcPr>
                  <w:tcW w:w="997" w:type="dxa"/>
                  <w:tcBorders>
                    <w:tl2br w:val="nil"/>
                    <w:tr2bl w:val="nil"/>
                  </w:tcBorders>
                  <w:vAlign w:val="center"/>
                </w:tcPr>
                <w:p w14:paraId="1434A800">
                  <w:pPr>
                    <w:spacing w:line="240" w:lineRule="auto"/>
                    <w:jc w:val="center"/>
                    <w:rPr>
                      <w:rFonts w:hint="eastAsia" w:ascii="Times New Roman" w:hAnsi="Times New Roman" w:eastAsia="宋体" w:cs="Times New Roman"/>
                      <w:bCs/>
                      <w:color w:val="auto"/>
                      <w:kern w:val="2"/>
                      <w:sz w:val="18"/>
                      <w:szCs w:val="18"/>
                      <w:lang w:val="en-US" w:eastAsia="zh-CN" w:bidi="ar-SA"/>
                    </w:rPr>
                  </w:pPr>
                  <w:r>
                    <w:rPr>
                      <w:rFonts w:hint="eastAsia"/>
                      <w:color w:val="auto"/>
                      <w:sz w:val="18"/>
                      <w:szCs w:val="18"/>
                      <w:lang w:val="en-US" w:eastAsia="zh-CN"/>
                    </w:rPr>
                    <w:t>空气锤</w:t>
                  </w:r>
                </w:p>
              </w:tc>
              <w:tc>
                <w:tcPr>
                  <w:tcW w:w="555" w:type="dxa"/>
                  <w:tcBorders>
                    <w:tl2br w:val="nil"/>
                    <w:tr2bl w:val="nil"/>
                  </w:tcBorders>
                  <w:vAlign w:val="center"/>
                </w:tcPr>
                <w:p w14:paraId="53D92AB5">
                  <w:pPr>
                    <w:bidi w:val="0"/>
                    <w:jc w:val="center"/>
                    <w:rPr>
                      <w:rFonts w:hint="eastAsia" w:ascii="Times New Roman" w:hAnsi="Times New Roman" w:eastAsia="宋体" w:cs="Times New Roman"/>
                      <w:color w:val="auto"/>
                      <w:sz w:val="18"/>
                      <w:szCs w:val="18"/>
                      <w:lang w:val="en-US" w:eastAsia="zh-CN"/>
                    </w:rPr>
                  </w:pPr>
                  <w:r>
                    <w:rPr>
                      <w:rFonts w:hint="eastAsia"/>
                      <w:color w:val="auto"/>
                      <w:sz w:val="18"/>
                      <w:szCs w:val="18"/>
                      <w:lang w:val="en-US" w:eastAsia="zh-CN"/>
                    </w:rPr>
                    <w:t>1</w:t>
                  </w:r>
                </w:p>
              </w:tc>
              <w:tc>
                <w:tcPr>
                  <w:tcW w:w="675" w:type="dxa"/>
                  <w:tcBorders>
                    <w:tl2br w:val="nil"/>
                    <w:tr2bl w:val="nil"/>
                  </w:tcBorders>
                  <w:vAlign w:val="center"/>
                </w:tcPr>
                <w:p w14:paraId="5968B2DC">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restart"/>
                  <w:tcBorders>
                    <w:tl2br w:val="nil"/>
                    <w:tr2bl w:val="nil"/>
                  </w:tcBorders>
                  <w:vAlign w:val="center"/>
                </w:tcPr>
                <w:p w14:paraId="6853CAC5">
                  <w:pPr>
                    <w:bidi w:val="0"/>
                    <w:jc w:val="center"/>
                    <w:rPr>
                      <w:rFonts w:hint="default" w:ascii="Times New Roman" w:hAnsi="Times New Roman" w:eastAsia="宋体" w:cs="Times New Roman"/>
                      <w:color w:val="auto"/>
                      <w:sz w:val="18"/>
                      <w:szCs w:val="18"/>
                      <w:lang w:val="en-US" w:eastAsia="zh-CN"/>
                    </w:rPr>
                  </w:pPr>
                  <w:r>
                    <w:rPr>
                      <w:rFonts w:hint="eastAsia"/>
                      <w:color w:val="auto"/>
                      <w:sz w:val="18"/>
                      <w:szCs w:val="18"/>
                      <w:highlight w:val="none"/>
                    </w:rPr>
                    <w:t>隔声、减振</w:t>
                  </w:r>
                </w:p>
              </w:tc>
              <w:tc>
                <w:tcPr>
                  <w:tcW w:w="495" w:type="dxa"/>
                  <w:tcBorders>
                    <w:tl2br w:val="nil"/>
                    <w:tr2bl w:val="nil"/>
                  </w:tcBorders>
                  <w:vAlign w:val="center"/>
                </w:tcPr>
                <w:p w14:paraId="1D6625C5">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w:t>
                  </w:r>
                </w:p>
              </w:tc>
              <w:tc>
                <w:tcPr>
                  <w:tcW w:w="525" w:type="dxa"/>
                  <w:tcBorders>
                    <w:tl2br w:val="nil"/>
                    <w:tr2bl w:val="nil"/>
                  </w:tcBorders>
                  <w:vAlign w:val="center"/>
                </w:tcPr>
                <w:p w14:paraId="2E6E60AD">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115</w:t>
                  </w:r>
                </w:p>
              </w:tc>
              <w:tc>
                <w:tcPr>
                  <w:tcW w:w="491" w:type="dxa"/>
                  <w:tcBorders>
                    <w:tl2br w:val="nil"/>
                    <w:tr2bl w:val="nil"/>
                  </w:tcBorders>
                  <w:vAlign w:val="center"/>
                </w:tcPr>
                <w:p w14:paraId="4F11A6B3">
                  <w:pPr>
                    <w:bidi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w:t>
                  </w:r>
                </w:p>
              </w:tc>
              <w:tc>
                <w:tcPr>
                  <w:tcW w:w="621" w:type="dxa"/>
                  <w:tcBorders>
                    <w:tl2br w:val="nil"/>
                    <w:tr2bl w:val="nil"/>
                  </w:tcBorders>
                  <w:vAlign w:val="center"/>
                </w:tcPr>
                <w:p w14:paraId="06E57CDC">
                  <w:pPr>
                    <w:bidi w:val="0"/>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5</w:t>
                  </w:r>
                </w:p>
              </w:tc>
              <w:tc>
                <w:tcPr>
                  <w:tcW w:w="622" w:type="dxa"/>
                  <w:tcBorders>
                    <w:tl2br w:val="nil"/>
                    <w:tr2bl w:val="nil"/>
                  </w:tcBorders>
                  <w:vAlign w:val="center"/>
                </w:tcPr>
                <w:p w14:paraId="5E8D120E">
                  <w:pPr>
                    <w:jc w:val="center"/>
                    <w:rPr>
                      <w:rFonts w:hint="default"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371A8873">
                  <w:pPr>
                    <w:jc w:val="center"/>
                    <w:rPr>
                      <w:rFonts w:hint="default"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7F45F0A1">
                  <w:pPr>
                    <w:jc w:val="center"/>
                    <w:rPr>
                      <w:rFonts w:hint="default"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29591B42">
                  <w:pPr>
                    <w:jc w:val="center"/>
                    <w:rPr>
                      <w:rFonts w:hint="default"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36811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4CF3E19B">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1F6B8E2B">
                  <w:pPr>
                    <w:spacing w:line="240" w:lineRule="auto"/>
                    <w:jc w:val="center"/>
                    <w:rPr>
                      <w:rFonts w:hint="eastAsia" w:cs="Times New Roman"/>
                      <w:color w:val="auto"/>
                      <w:sz w:val="18"/>
                      <w:szCs w:val="18"/>
                      <w:lang w:val="en-US" w:eastAsia="zh-CN"/>
                    </w:rPr>
                  </w:pPr>
                  <w:r>
                    <w:rPr>
                      <w:rFonts w:hint="eastAsia"/>
                      <w:color w:val="auto"/>
                      <w:sz w:val="18"/>
                      <w:szCs w:val="18"/>
                      <w:lang w:val="en-US" w:eastAsia="zh-CN"/>
                    </w:rPr>
                    <w:t>空气锤</w:t>
                  </w:r>
                </w:p>
              </w:tc>
              <w:tc>
                <w:tcPr>
                  <w:tcW w:w="555" w:type="dxa"/>
                  <w:tcBorders>
                    <w:tl2br w:val="nil"/>
                    <w:tr2bl w:val="nil"/>
                  </w:tcBorders>
                  <w:vAlign w:val="center"/>
                </w:tcPr>
                <w:p w14:paraId="44CF762A">
                  <w:pPr>
                    <w:bidi w:val="0"/>
                    <w:jc w:val="center"/>
                    <w:rPr>
                      <w:rFonts w:hint="eastAsia" w:ascii="Times New Roman" w:hAnsi="Times New Roman" w:eastAsia="宋体" w:cs="Times New Roman"/>
                      <w:color w:val="auto"/>
                      <w:sz w:val="18"/>
                      <w:szCs w:val="18"/>
                      <w:lang w:val="en-US" w:eastAsia="zh-CN"/>
                    </w:rPr>
                  </w:pPr>
                  <w:r>
                    <w:rPr>
                      <w:rFonts w:hint="eastAsia"/>
                      <w:color w:val="auto"/>
                      <w:sz w:val="18"/>
                      <w:szCs w:val="18"/>
                      <w:lang w:val="en-US" w:eastAsia="zh-CN"/>
                    </w:rPr>
                    <w:t>1</w:t>
                  </w:r>
                </w:p>
              </w:tc>
              <w:tc>
                <w:tcPr>
                  <w:tcW w:w="675" w:type="dxa"/>
                  <w:tcBorders>
                    <w:tl2br w:val="nil"/>
                    <w:tr2bl w:val="nil"/>
                  </w:tcBorders>
                  <w:vAlign w:val="center"/>
                </w:tcPr>
                <w:p w14:paraId="0919A730">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67EB6BB8">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0F369A8D">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30</w:t>
                  </w:r>
                </w:p>
              </w:tc>
              <w:tc>
                <w:tcPr>
                  <w:tcW w:w="525" w:type="dxa"/>
                  <w:tcBorders>
                    <w:tl2br w:val="nil"/>
                    <w:tr2bl w:val="nil"/>
                  </w:tcBorders>
                  <w:vAlign w:val="center"/>
                </w:tcPr>
                <w:p w14:paraId="7CDC214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115</w:t>
                  </w:r>
                </w:p>
              </w:tc>
              <w:tc>
                <w:tcPr>
                  <w:tcW w:w="491" w:type="dxa"/>
                  <w:tcBorders>
                    <w:tl2br w:val="nil"/>
                    <w:tr2bl w:val="nil"/>
                  </w:tcBorders>
                  <w:vAlign w:val="center"/>
                </w:tcPr>
                <w:p w14:paraId="48D1B056">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w:t>
                  </w:r>
                </w:p>
              </w:tc>
              <w:tc>
                <w:tcPr>
                  <w:tcW w:w="621" w:type="dxa"/>
                  <w:tcBorders>
                    <w:tl2br w:val="nil"/>
                    <w:tr2bl w:val="nil"/>
                  </w:tcBorders>
                  <w:vAlign w:val="center"/>
                </w:tcPr>
                <w:p w14:paraId="4BCBAFC3">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w:t>
                  </w:r>
                </w:p>
              </w:tc>
              <w:tc>
                <w:tcPr>
                  <w:tcW w:w="622" w:type="dxa"/>
                  <w:tcBorders>
                    <w:tl2br w:val="nil"/>
                    <w:tr2bl w:val="nil"/>
                  </w:tcBorders>
                  <w:vAlign w:val="center"/>
                </w:tcPr>
                <w:p w14:paraId="1FDBC71A">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3F0323D4">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46665C3C">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291ADECC">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77648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2ED162EE">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5148DD30">
                  <w:pPr>
                    <w:spacing w:line="240" w:lineRule="auto"/>
                    <w:jc w:val="center"/>
                    <w:rPr>
                      <w:rFonts w:hint="eastAsia" w:cs="Times New Roman"/>
                      <w:color w:val="auto"/>
                      <w:sz w:val="18"/>
                      <w:szCs w:val="18"/>
                      <w:lang w:val="en-US" w:eastAsia="zh-CN"/>
                    </w:rPr>
                  </w:pPr>
                  <w:r>
                    <w:rPr>
                      <w:rFonts w:hint="eastAsia"/>
                      <w:color w:val="auto"/>
                      <w:sz w:val="18"/>
                      <w:szCs w:val="18"/>
                      <w:lang w:val="en-US" w:eastAsia="zh-CN"/>
                    </w:rPr>
                    <w:t>空气锤</w:t>
                  </w:r>
                </w:p>
              </w:tc>
              <w:tc>
                <w:tcPr>
                  <w:tcW w:w="555" w:type="dxa"/>
                  <w:tcBorders>
                    <w:tl2br w:val="nil"/>
                    <w:tr2bl w:val="nil"/>
                  </w:tcBorders>
                  <w:vAlign w:val="center"/>
                </w:tcPr>
                <w:p w14:paraId="21D92129">
                  <w:pPr>
                    <w:bidi w:val="0"/>
                    <w:jc w:val="center"/>
                    <w:rPr>
                      <w:rFonts w:hint="eastAsia" w:ascii="Times New Roman" w:hAnsi="Times New Roman" w:eastAsia="宋体" w:cs="Times New Roman"/>
                      <w:color w:val="auto"/>
                      <w:sz w:val="18"/>
                      <w:szCs w:val="18"/>
                      <w:lang w:val="en-US" w:eastAsia="zh-CN"/>
                    </w:rPr>
                  </w:pPr>
                  <w:r>
                    <w:rPr>
                      <w:rFonts w:hint="eastAsia"/>
                      <w:color w:val="auto"/>
                      <w:sz w:val="18"/>
                      <w:szCs w:val="18"/>
                      <w:lang w:val="en-US" w:eastAsia="zh-CN"/>
                    </w:rPr>
                    <w:t>1</w:t>
                  </w:r>
                </w:p>
              </w:tc>
              <w:tc>
                <w:tcPr>
                  <w:tcW w:w="675" w:type="dxa"/>
                  <w:tcBorders>
                    <w:tl2br w:val="nil"/>
                    <w:tr2bl w:val="nil"/>
                  </w:tcBorders>
                  <w:vAlign w:val="center"/>
                </w:tcPr>
                <w:p w14:paraId="72F865C0">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20819FA0">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607E9592">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60</w:t>
                  </w:r>
                </w:p>
              </w:tc>
              <w:tc>
                <w:tcPr>
                  <w:tcW w:w="525" w:type="dxa"/>
                  <w:tcBorders>
                    <w:tl2br w:val="nil"/>
                    <w:tr2bl w:val="nil"/>
                  </w:tcBorders>
                  <w:vAlign w:val="center"/>
                </w:tcPr>
                <w:p w14:paraId="0F3E3581">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115</w:t>
                  </w:r>
                </w:p>
              </w:tc>
              <w:tc>
                <w:tcPr>
                  <w:tcW w:w="491" w:type="dxa"/>
                  <w:tcBorders>
                    <w:tl2br w:val="nil"/>
                    <w:tr2bl w:val="nil"/>
                  </w:tcBorders>
                  <w:vAlign w:val="center"/>
                </w:tcPr>
                <w:p w14:paraId="71E0AAB0">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w:t>
                  </w:r>
                </w:p>
              </w:tc>
              <w:tc>
                <w:tcPr>
                  <w:tcW w:w="621" w:type="dxa"/>
                  <w:tcBorders>
                    <w:tl2br w:val="nil"/>
                    <w:tr2bl w:val="nil"/>
                  </w:tcBorders>
                  <w:vAlign w:val="center"/>
                </w:tcPr>
                <w:p w14:paraId="5AAA6086">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w:t>
                  </w:r>
                </w:p>
              </w:tc>
              <w:tc>
                <w:tcPr>
                  <w:tcW w:w="622" w:type="dxa"/>
                  <w:tcBorders>
                    <w:tl2br w:val="nil"/>
                    <w:tr2bl w:val="nil"/>
                  </w:tcBorders>
                  <w:vAlign w:val="center"/>
                </w:tcPr>
                <w:p w14:paraId="147C2327">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6E4FC540">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762622DD">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6C5F89D9">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4B2CD3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5C103C6B">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593DC3B8">
                  <w:pPr>
                    <w:spacing w:line="240" w:lineRule="auto"/>
                    <w:jc w:val="center"/>
                    <w:rPr>
                      <w:rFonts w:hint="eastAsia" w:cs="Times New Roman"/>
                      <w:color w:val="auto"/>
                      <w:sz w:val="18"/>
                      <w:szCs w:val="18"/>
                      <w:lang w:val="en-US" w:eastAsia="zh-CN"/>
                    </w:rPr>
                  </w:pPr>
                  <w:r>
                    <w:rPr>
                      <w:rFonts w:hint="eastAsia"/>
                      <w:color w:val="auto"/>
                      <w:sz w:val="18"/>
                      <w:szCs w:val="18"/>
                      <w:lang w:val="en-US" w:eastAsia="zh-CN"/>
                    </w:rPr>
                    <w:t>空气锤</w:t>
                  </w:r>
                </w:p>
              </w:tc>
              <w:tc>
                <w:tcPr>
                  <w:tcW w:w="555" w:type="dxa"/>
                  <w:tcBorders>
                    <w:tl2br w:val="nil"/>
                    <w:tr2bl w:val="nil"/>
                  </w:tcBorders>
                  <w:shd w:val="clear" w:color="auto" w:fill="auto"/>
                  <w:vAlign w:val="center"/>
                </w:tcPr>
                <w:p w14:paraId="754770C3">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4AFEFB0">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19545C42">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1237759D">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90</w:t>
                  </w:r>
                </w:p>
              </w:tc>
              <w:tc>
                <w:tcPr>
                  <w:tcW w:w="525" w:type="dxa"/>
                  <w:tcBorders>
                    <w:tl2br w:val="nil"/>
                    <w:tr2bl w:val="nil"/>
                  </w:tcBorders>
                  <w:vAlign w:val="center"/>
                </w:tcPr>
                <w:p w14:paraId="34F91FFC">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115</w:t>
                  </w:r>
                </w:p>
              </w:tc>
              <w:tc>
                <w:tcPr>
                  <w:tcW w:w="491" w:type="dxa"/>
                  <w:tcBorders>
                    <w:tl2br w:val="nil"/>
                    <w:tr2bl w:val="nil"/>
                  </w:tcBorders>
                  <w:vAlign w:val="center"/>
                </w:tcPr>
                <w:p w14:paraId="177E9A8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w:t>
                  </w:r>
                </w:p>
              </w:tc>
              <w:tc>
                <w:tcPr>
                  <w:tcW w:w="621" w:type="dxa"/>
                  <w:tcBorders>
                    <w:tl2br w:val="nil"/>
                    <w:tr2bl w:val="nil"/>
                  </w:tcBorders>
                  <w:vAlign w:val="center"/>
                </w:tcPr>
                <w:p w14:paraId="67260DE0">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w:t>
                  </w:r>
                </w:p>
              </w:tc>
              <w:tc>
                <w:tcPr>
                  <w:tcW w:w="622" w:type="dxa"/>
                  <w:tcBorders>
                    <w:tl2br w:val="nil"/>
                    <w:tr2bl w:val="nil"/>
                  </w:tcBorders>
                  <w:vAlign w:val="center"/>
                </w:tcPr>
                <w:p w14:paraId="6ED5B06B">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1FA1EB42">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15F3F35F">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191292F9">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56E54A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363430CB">
                  <w:pPr>
                    <w:pStyle w:val="210"/>
                    <w:ind w:firstLine="0" w:firstLineChars="0"/>
                    <w:jc w:val="center"/>
                    <w:rPr>
                      <w:rFonts w:hint="default"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387FE7A4">
                  <w:pPr>
                    <w:spacing w:line="240" w:lineRule="auto"/>
                    <w:jc w:val="center"/>
                    <w:rPr>
                      <w:rFonts w:hint="default" w:cs="Times New Roman"/>
                      <w:color w:val="auto"/>
                      <w:sz w:val="18"/>
                      <w:szCs w:val="18"/>
                      <w:lang w:val="en-US" w:eastAsia="zh-CN"/>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08D0354A">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536494F3">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161E4B34">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1C74906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525" w:type="dxa"/>
                  <w:tcBorders>
                    <w:tl2br w:val="nil"/>
                    <w:tr2bl w:val="nil"/>
                  </w:tcBorders>
                  <w:vAlign w:val="center"/>
                </w:tcPr>
                <w:p w14:paraId="5DA52F3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50</w:t>
                  </w:r>
                </w:p>
              </w:tc>
              <w:tc>
                <w:tcPr>
                  <w:tcW w:w="491" w:type="dxa"/>
                  <w:tcBorders>
                    <w:tl2br w:val="nil"/>
                    <w:tr2bl w:val="nil"/>
                  </w:tcBorders>
                  <w:vAlign w:val="center"/>
                </w:tcPr>
                <w:p w14:paraId="4B192F7E">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1B5E8344">
                  <w:pPr>
                    <w:bidi w:val="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5</w:t>
                  </w:r>
                </w:p>
              </w:tc>
              <w:tc>
                <w:tcPr>
                  <w:tcW w:w="622" w:type="dxa"/>
                  <w:tcBorders>
                    <w:tl2br w:val="nil"/>
                    <w:tr2bl w:val="nil"/>
                  </w:tcBorders>
                  <w:vAlign w:val="center"/>
                </w:tcPr>
                <w:p w14:paraId="22871FCB">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2D9ED744">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592A0940">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373E80C5">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1A6E92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4AAFA6A9">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22ED5AF1">
                  <w:pPr>
                    <w:spacing w:line="240" w:lineRule="auto"/>
                    <w:jc w:val="center"/>
                    <w:rPr>
                      <w:rFonts w:hint="eastAsia" w:cs="Times New Roman"/>
                      <w:color w:val="auto"/>
                      <w:sz w:val="18"/>
                      <w:szCs w:val="18"/>
                      <w:lang w:val="en-US" w:eastAsia="zh-CN"/>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6F633EBA">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007A8ECD">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453E83CF">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2C13806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0</w:t>
                  </w:r>
                </w:p>
              </w:tc>
              <w:tc>
                <w:tcPr>
                  <w:tcW w:w="525" w:type="dxa"/>
                  <w:tcBorders>
                    <w:tl2br w:val="nil"/>
                    <w:tr2bl w:val="nil"/>
                  </w:tcBorders>
                  <w:vAlign w:val="center"/>
                </w:tcPr>
                <w:p w14:paraId="728F273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70</w:t>
                  </w:r>
                </w:p>
              </w:tc>
              <w:tc>
                <w:tcPr>
                  <w:tcW w:w="491" w:type="dxa"/>
                  <w:tcBorders>
                    <w:tl2br w:val="nil"/>
                    <w:tr2bl w:val="nil"/>
                  </w:tcBorders>
                  <w:shd w:val="clear" w:color="auto" w:fill="auto"/>
                  <w:vAlign w:val="center"/>
                </w:tcPr>
                <w:p w14:paraId="255898A9">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20658329">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74470963">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1E2D44BB">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4721AA0E">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7DC35C18">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768BBF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28024CD7">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1B2EB34F">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0B43B1FF">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1988E8A4">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0B2C6CE4">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406A6E9A">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45</w:t>
                  </w:r>
                </w:p>
              </w:tc>
              <w:tc>
                <w:tcPr>
                  <w:tcW w:w="525" w:type="dxa"/>
                  <w:tcBorders>
                    <w:tl2br w:val="nil"/>
                    <w:tr2bl w:val="nil"/>
                  </w:tcBorders>
                  <w:vAlign w:val="center"/>
                </w:tcPr>
                <w:p w14:paraId="5F60ABCA">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50</w:t>
                  </w:r>
                </w:p>
              </w:tc>
              <w:tc>
                <w:tcPr>
                  <w:tcW w:w="491" w:type="dxa"/>
                  <w:tcBorders>
                    <w:tl2br w:val="nil"/>
                    <w:tr2bl w:val="nil"/>
                  </w:tcBorders>
                  <w:shd w:val="clear" w:color="auto" w:fill="auto"/>
                  <w:vAlign w:val="center"/>
                </w:tcPr>
                <w:p w14:paraId="4B33C08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6D789BF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36717A5B">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78B2B763">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6A7AAEB2">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150CDD49">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57F38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559A5819">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62E74DEF">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7348C641">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4C5AADA4">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2D1ECCD3">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361D1AC3">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45</w:t>
                  </w:r>
                </w:p>
              </w:tc>
              <w:tc>
                <w:tcPr>
                  <w:tcW w:w="525" w:type="dxa"/>
                  <w:tcBorders>
                    <w:tl2br w:val="nil"/>
                    <w:tr2bl w:val="nil"/>
                  </w:tcBorders>
                  <w:vAlign w:val="center"/>
                </w:tcPr>
                <w:p w14:paraId="17D86EF2">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70</w:t>
                  </w:r>
                </w:p>
              </w:tc>
              <w:tc>
                <w:tcPr>
                  <w:tcW w:w="491" w:type="dxa"/>
                  <w:tcBorders>
                    <w:tl2br w:val="nil"/>
                    <w:tr2bl w:val="nil"/>
                  </w:tcBorders>
                  <w:shd w:val="clear" w:color="auto" w:fill="auto"/>
                  <w:vAlign w:val="center"/>
                </w:tcPr>
                <w:p w14:paraId="33929149">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59DE37B5">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451CCCCD">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07068F1F">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02BA1B5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3219B9BF">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5BBF7A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614632F2">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75505E46">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484EDD23">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5D804F64">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0F932166">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2748A5B1">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80</w:t>
                  </w:r>
                </w:p>
              </w:tc>
              <w:tc>
                <w:tcPr>
                  <w:tcW w:w="525" w:type="dxa"/>
                  <w:tcBorders>
                    <w:tl2br w:val="nil"/>
                    <w:tr2bl w:val="nil"/>
                  </w:tcBorders>
                  <w:vAlign w:val="center"/>
                </w:tcPr>
                <w:p w14:paraId="2DE93B75">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50</w:t>
                  </w:r>
                </w:p>
              </w:tc>
              <w:tc>
                <w:tcPr>
                  <w:tcW w:w="491" w:type="dxa"/>
                  <w:tcBorders>
                    <w:tl2br w:val="nil"/>
                    <w:tr2bl w:val="nil"/>
                  </w:tcBorders>
                  <w:shd w:val="clear" w:color="auto" w:fill="auto"/>
                  <w:vAlign w:val="center"/>
                </w:tcPr>
                <w:p w14:paraId="09F7CB2C">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185F5D9A">
                  <w:pPr>
                    <w:bidi w:val="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5</w:t>
                  </w:r>
                </w:p>
              </w:tc>
              <w:tc>
                <w:tcPr>
                  <w:tcW w:w="622" w:type="dxa"/>
                  <w:tcBorders>
                    <w:tl2br w:val="nil"/>
                    <w:tr2bl w:val="nil"/>
                  </w:tcBorders>
                  <w:vAlign w:val="center"/>
                </w:tcPr>
                <w:p w14:paraId="64CDBBF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65FAA55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336B79D5">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25C87346">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1E903F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1BB55D13">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7CBA6FD8">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自动带锯</w:t>
                  </w:r>
                </w:p>
              </w:tc>
              <w:tc>
                <w:tcPr>
                  <w:tcW w:w="555" w:type="dxa"/>
                  <w:tcBorders>
                    <w:tl2br w:val="nil"/>
                    <w:tr2bl w:val="nil"/>
                  </w:tcBorders>
                  <w:shd w:val="clear" w:color="auto" w:fill="auto"/>
                  <w:vAlign w:val="center"/>
                </w:tcPr>
                <w:p w14:paraId="6C3C228C">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70B25C74">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6622AD16">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50E63BB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80</w:t>
                  </w:r>
                </w:p>
              </w:tc>
              <w:tc>
                <w:tcPr>
                  <w:tcW w:w="525" w:type="dxa"/>
                  <w:tcBorders>
                    <w:tl2br w:val="nil"/>
                    <w:tr2bl w:val="nil"/>
                  </w:tcBorders>
                  <w:vAlign w:val="center"/>
                </w:tcPr>
                <w:p w14:paraId="56B083FF">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70</w:t>
                  </w:r>
                </w:p>
              </w:tc>
              <w:tc>
                <w:tcPr>
                  <w:tcW w:w="491" w:type="dxa"/>
                  <w:tcBorders>
                    <w:tl2br w:val="nil"/>
                    <w:tr2bl w:val="nil"/>
                  </w:tcBorders>
                  <w:shd w:val="clear" w:color="auto" w:fill="auto"/>
                  <w:vAlign w:val="center"/>
                </w:tcPr>
                <w:p w14:paraId="1D9B8E1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5F655213">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7A9B540A">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4E3D8C4E">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116B601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79AEE1CC">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78E431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2FDACFE9">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0C5BF06B">
                  <w:pPr>
                    <w:spacing w:line="240" w:lineRule="auto"/>
                    <w:jc w:val="center"/>
                    <w:rPr>
                      <w:rFonts w:hint="eastAsia" w:cs="Times New Roman"/>
                      <w:color w:val="auto"/>
                      <w:sz w:val="18"/>
                      <w:szCs w:val="18"/>
                      <w:lang w:val="en-US" w:eastAsia="zh-CN"/>
                    </w:rPr>
                  </w:pPr>
                  <w:r>
                    <w:rPr>
                      <w:rFonts w:hint="eastAsia"/>
                      <w:color w:val="auto"/>
                      <w:sz w:val="18"/>
                      <w:szCs w:val="18"/>
                      <w:lang w:eastAsia="zh-CN"/>
                    </w:rPr>
                    <w:t>车床</w:t>
                  </w:r>
                </w:p>
              </w:tc>
              <w:tc>
                <w:tcPr>
                  <w:tcW w:w="555" w:type="dxa"/>
                  <w:tcBorders>
                    <w:tl2br w:val="nil"/>
                    <w:tr2bl w:val="nil"/>
                  </w:tcBorders>
                  <w:shd w:val="clear" w:color="auto" w:fill="auto"/>
                  <w:vAlign w:val="center"/>
                </w:tcPr>
                <w:p w14:paraId="38D7B45B">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B4FCCEA">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85</w:t>
                  </w:r>
                </w:p>
              </w:tc>
              <w:tc>
                <w:tcPr>
                  <w:tcW w:w="750" w:type="dxa"/>
                  <w:vMerge w:val="continue"/>
                  <w:tcBorders>
                    <w:tl2br w:val="nil"/>
                    <w:tr2bl w:val="nil"/>
                  </w:tcBorders>
                  <w:vAlign w:val="center"/>
                </w:tcPr>
                <w:p w14:paraId="6474A9E7">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115CF66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10</w:t>
                  </w:r>
                </w:p>
              </w:tc>
              <w:tc>
                <w:tcPr>
                  <w:tcW w:w="525" w:type="dxa"/>
                  <w:tcBorders>
                    <w:tl2br w:val="nil"/>
                    <w:tr2bl w:val="nil"/>
                  </w:tcBorders>
                  <w:vAlign w:val="center"/>
                </w:tcPr>
                <w:p w14:paraId="2682E9D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60</w:t>
                  </w:r>
                </w:p>
              </w:tc>
              <w:tc>
                <w:tcPr>
                  <w:tcW w:w="491" w:type="dxa"/>
                  <w:tcBorders>
                    <w:tl2br w:val="nil"/>
                    <w:tr2bl w:val="nil"/>
                  </w:tcBorders>
                  <w:shd w:val="clear" w:color="auto" w:fill="auto"/>
                  <w:vAlign w:val="center"/>
                </w:tcPr>
                <w:p w14:paraId="7748EE8D">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2DBE9B7F">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05306345">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6C189A8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61BACE3A">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312C7094">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69E810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3F19C7E0">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4B4E689D">
                  <w:pPr>
                    <w:spacing w:line="240" w:lineRule="auto"/>
                    <w:jc w:val="center"/>
                    <w:rPr>
                      <w:rFonts w:hint="eastAsia" w:cs="Times New Roman"/>
                      <w:color w:val="auto"/>
                      <w:sz w:val="18"/>
                      <w:szCs w:val="18"/>
                      <w:lang w:val="en-US" w:eastAsia="zh-CN"/>
                    </w:rPr>
                  </w:pPr>
                  <w:r>
                    <w:rPr>
                      <w:rFonts w:hint="eastAsia"/>
                      <w:color w:val="auto"/>
                      <w:sz w:val="18"/>
                      <w:szCs w:val="18"/>
                      <w:lang w:eastAsia="zh-CN"/>
                    </w:rPr>
                    <w:t>车床</w:t>
                  </w:r>
                </w:p>
              </w:tc>
              <w:tc>
                <w:tcPr>
                  <w:tcW w:w="555" w:type="dxa"/>
                  <w:tcBorders>
                    <w:tl2br w:val="nil"/>
                    <w:tr2bl w:val="nil"/>
                  </w:tcBorders>
                  <w:shd w:val="clear" w:color="auto" w:fill="auto"/>
                  <w:vAlign w:val="center"/>
                </w:tcPr>
                <w:p w14:paraId="1AA28E4E">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A120552">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85</w:t>
                  </w:r>
                </w:p>
              </w:tc>
              <w:tc>
                <w:tcPr>
                  <w:tcW w:w="750" w:type="dxa"/>
                  <w:vMerge w:val="continue"/>
                  <w:tcBorders>
                    <w:tl2br w:val="nil"/>
                    <w:tr2bl w:val="nil"/>
                  </w:tcBorders>
                  <w:vAlign w:val="center"/>
                </w:tcPr>
                <w:p w14:paraId="083282AF">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721D2E01">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30</w:t>
                  </w:r>
                </w:p>
              </w:tc>
              <w:tc>
                <w:tcPr>
                  <w:tcW w:w="525" w:type="dxa"/>
                  <w:tcBorders>
                    <w:tl2br w:val="nil"/>
                    <w:tr2bl w:val="nil"/>
                  </w:tcBorders>
                  <w:vAlign w:val="center"/>
                </w:tcPr>
                <w:p w14:paraId="6FF3E42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60</w:t>
                  </w:r>
                </w:p>
              </w:tc>
              <w:tc>
                <w:tcPr>
                  <w:tcW w:w="491" w:type="dxa"/>
                  <w:tcBorders>
                    <w:tl2br w:val="nil"/>
                    <w:tr2bl w:val="nil"/>
                  </w:tcBorders>
                  <w:shd w:val="clear" w:color="auto" w:fill="auto"/>
                  <w:vAlign w:val="center"/>
                </w:tcPr>
                <w:p w14:paraId="0BD3E6F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1E3846CC">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72519F6D">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1DDC1A2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7FEB532B">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6E454D5A">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034FBE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2E63B280">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0B809A44">
                  <w:pPr>
                    <w:spacing w:line="240" w:lineRule="auto"/>
                    <w:jc w:val="center"/>
                    <w:rPr>
                      <w:rFonts w:hint="eastAsia" w:cs="Times New Roman"/>
                      <w:color w:val="auto"/>
                      <w:sz w:val="18"/>
                      <w:szCs w:val="18"/>
                      <w:lang w:val="en-US" w:eastAsia="zh-CN"/>
                    </w:rPr>
                  </w:pPr>
                  <w:r>
                    <w:rPr>
                      <w:rFonts w:hint="eastAsia"/>
                      <w:color w:val="auto"/>
                      <w:sz w:val="18"/>
                      <w:szCs w:val="18"/>
                      <w:lang w:eastAsia="zh-CN"/>
                    </w:rPr>
                    <w:t>车床</w:t>
                  </w:r>
                </w:p>
              </w:tc>
              <w:tc>
                <w:tcPr>
                  <w:tcW w:w="555" w:type="dxa"/>
                  <w:tcBorders>
                    <w:tl2br w:val="nil"/>
                    <w:tr2bl w:val="nil"/>
                  </w:tcBorders>
                  <w:shd w:val="clear" w:color="auto" w:fill="auto"/>
                  <w:vAlign w:val="center"/>
                </w:tcPr>
                <w:p w14:paraId="16ED5BA2">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5904615">
                  <w:pPr>
                    <w:bidi w:val="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85</w:t>
                  </w:r>
                </w:p>
              </w:tc>
              <w:tc>
                <w:tcPr>
                  <w:tcW w:w="750" w:type="dxa"/>
                  <w:vMerge w:val="continue"/>
                  <w:tcBorders>
                    <w:tl2br w:val="nil"/>
                    <w:tr2bl w:val="nil"/>
                  </w:tcBorders>
                  <w:vAlign w:val="center"/>
                </w:tcPr>
                <w:p w14:paraId="2D1B94A9">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48D13707">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50</w:t>
                  </w:r>
                </w:p>
              </w:tc>
              <w:tc>
                <w:tcPr>
                  <w:tcW w:w="525" w:type="dxa"/>
                  <w:tcBorders>
                    <w:tl2br w:val="nil"/>
                    <w:tr2bl w:val="nil"/>
                  </w:tcBorders>
                  <w:vAlign w:val="center"/>
                </w:tcPr>
                <w:p w14:paraId="552D52D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60</w:t>
                  </w:r>
                </w:p>
              </w:tc>
              <w:tc>
                <w:tcPr>
                  <w:tcW w:w="491" w:type="dxa"/>
                  <w:tcBorders>
                    <w:tl2br w:val="nil"/>
                    <w:tr2bl w:val="nil"/>
                  </w:tcBorders>
                  <w:shd w:val="clear" w:color="auto" w:fill="auto"/>
                  <w:vAlign w:val="center"/>
                </w:tcPr>
                <w:p w14:paraId="4D88F8B5">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3D23CC40">
                  <w:pPr>
                    <w:bidi w:val="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5</w:t>
                  </w:r>
                </w:p>
              </w:tc>
              <w:tc>
                <w:tcPr>
                  <w:tcW w:w="622" w:type="dxa"/>
                  <w:tcBorders>
                    <w:tl2br w:val="nil"/>
                    <w:tr2bl w:val="nil"/>
                  </w:tcBorders>
                  <w:vAlign w:val="center"/>
                </w:tcPr>
                <w:p w14:paraId="6787DBB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66C77C26">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2EE2C83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280111C4">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02C54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3B1BBFCE">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2A44E5B7">
                  <w:pPr>
                    <w:spacing w:line="240" w:lineRule="auto"/>
                    <w:jc w:val="center"/>
                    <w:rPr>
                      <w:rFonts w:hint="eastAsia" w:cs="Times New Roman"/>
                      <w:color w:val="auto"/>
                      <w:sz w:val="18"/>
                      <w:szCs w:val="18"/>
                      <w:lang w:val="en-US" w:eastAsia="zh-CN"/>
                    </w:rPr>
                  </w:pPr>
                  <w:r>
                    <w:rPr>
                      <w:rFonts w:hint="eastAsia"/>
                      <w:color w:val="auto"/>
                      <w:sz w:val="18"/>
                      <w:szCs w:val="18"/>
                      <w:lang w:eastAsia="zh-CN"/>
                    </w:rPr>
                    <w:t>车床</w:t>
                  </w:r>
                </w:p>
              </w:tc>
              <w:tc>
                <w:tcPr>
                  <w:tcW w:w="555" w:type="dxa"/>
                  <w:tcBorders>
                    <w:tl2br w:val="nil"/>
                    <w:tr2bl w:val="nil"/>
                  </w:tcBorders>
                  <w:shd w:val="clear" w:color="auto" w:fill="auto"/>
                  <w:vAlign w:val="center"/>
                </w:tcPr>
                <w:p w14:paraId="06183AF4">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7E4ACA17">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85</w:t>
                  </w:r>
                </w:p>
              </w:tc>
              <w:tc>
                <w:tcPr>
                  <w:tcW w:w="750" w:type="dxa"/>
                  <w:vMerge w:val="continue"/>
                  <w:tcBorders>
                    <w:tl2br w:val="nil"/>
                    <w:tr2bl w:val="nil"/>
                  </w:tcBorders>
                  <w:vAlign w:val="center"/>
                </w:tcPr>
                <w:p w14:paraId="280D50CD">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47F56A5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70</w:t>
                  </w:r>
                </w:p>
              </w:tc>
              <w:tc>
                <w:tcPr>
                  <w:tcW w:w="525" w:type="dxa"/>
                  <w:tcBorders>
                    <w:tl2br w:val="nil"/>
                    <w:tr2bl w:val="nil"/>
                  </w:tcBorders>
                  <w:vAlign w:val="center"/>
                </w:tcPr>
                <w:p w14:paraId="0C33DE63">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60</w:t>
                  </w:r>
                </w:p>
              </w:tc>
              <w:tc>
                <w:tcPr>
                  <w:tcW w:w="491" w:type="dxa"/>
                  <w:tcBorders>
                    <w:tl2br w:val="nil"/>
                    <w:tr2bl w:val="nil"/>
                  </w:tcBorders>
                  <w:shd w:val="clear" w:color="auto" w:fill="auto"/>
                  <w:vAlign w:val="center"/>
                </w:tcPr>
                <w:p w14:paraId="39D94886">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2A4D31C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63424D27">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4A217872">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37EB5E05">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46267301">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0BF88A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56ACA85C">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4C8D250F">
                  <w:pPr>
                    <w:spacing w:line="240" w:lineRule="auto"/>
                    <w:jc w:val="center"/>
                    <w:rPr>
                      <w:rFonts w:hint="eastAsia" w:cs="Times New Roman"/>
                      <w:color w:val="auto"/>
                      <w:sz w:val="18"/>
                      <w:szCs w:val="18"/>
                      <w:lang w:val="en-US" w:eastAsia="zh-CN"/>
                    </w:rPr>
                  </w:pPr>
                  <w:r>
                    <w:rPr>
                      <w:rFonts w:hint="eastAsia"/>
                      <w:color w:val="auto"/>
                      <w:sz w:val="18"/>
                      <w:szCs w:val="18"/>
                      <w:lang w:eastAsia="zh-CN"/>
                    </w:rPr>
                    <w:t>车床</w:t>
                  </w:r>
                </w:p>
              </w:tc>
              <w:tc>
                <w:tcPr>
                  <w:tcW w:w="555" w:type="dxa"/>
                  <w:tcBorders>
                    <w:tl2br w:val="nil"/>
                    <w:tr2bl w:val="nil"/>
                  </w:tcBorders>
                  <w:shd w:val="clear" w:color="auto" w:fill="auto"/>
                  <w:vAlign w:val="center"/>
                </w:tcPr>
                <w:p w14:paraId="3AC250DE">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FBFA171">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85</w:t>
                  </w:r>
                </w:p>
              </w:tc>
              <w:tc>
                <w:tcPr>
                  <w:tcW w:w="750" w:type="dxa"/>
                  <w:vMerge w:val="continue"/>
                  <w:tcBorders>
                    <w:tl2br w:val="nil"/>
                    <w:tr2bl w:val="nil"/>
                  </w:tcBorders>
                  <w:vAlign w:val="center"/>
                </w:tcPr>
                <w:p w14:paraId="79654CFC">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68F6C570">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10</w:t>
                  </w:r>
                </w:p>
              </w:tc>
              <w:tc>
                <w:tcPr>
                  <w:tcW w:w="525" w:type="dxa"/>
                  <w:tcBorders>
                    <w:tl2br w:val="nil"/>
                    <w:tr2bl w:val="nil"/>
                  </w:tcBorders>
                  <w:vAlign w:val="center"/>
                </w:tcPr>
                <w:p w14:paraId="7F00477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100</w:t>
                  </w:r>
                </w:p>
              </w:tc>
              <w:tc>
                <w:tcPr>
                  <w:tcW w:w="491" w:type="dxa"/>
                  <w:tcBorders>
                    <w:tl2br w:val="nil"/>
                    <w:tr2bl w:val="nil"/>
                  </w:tcBorders>
                  <w:shd w:val="clear" w:color="auto" w:fill="auto"/>
                  <w:vAlign w:val="center"/>
                </w:tcPr>
                <w:p w14:paraId="6F5CC811">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17C4CCFF">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571F21E7">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0CFB335E">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7FFF2892">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6128D473">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6A40D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3777D46D">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7E7C640E">
                  <w:pPr>
                    <w:spacing w:line="240" w:lineRule="auto"/>
                    <w:jc w:val="center"/>
                    <w:rPr>
                      <w:rFonts w:hint="eastAsia" w:cs="Times New Roman"/>
                      <w:color w:val="auto"/>
                      <w:sz w:val="18"/>
                      <w:szCs w:val="18"/>
                      <w:lang w:val="en-US" w:eastAsia="zh-CN"/>
                    </w:rPr>
                  </w:pPr>
                  <w:r>
                    <w:rPr>
                      <w:rFonts w:hint="eastAsia"/>
                      <w:color w:val="auto"/>
                      <w:sz w:val="18"/>
                      <w:szCs w:val="18"/>
                      <w:lang w:val="en-US" w:eastAsia="zh-CN"/>
                    </w:rPr>
                    <w:t>平面磨床</w:t>
                  </w:r>
                </w:p>
              </w:tc>
              <w:tc>
                <w:tcPr>
                  <w:tcW w:w="555" w:type="dxa"/>
                  <w:tcBorders>
                    <w:tl2br w:val="nil"/>
                    <w:tr2bl w:val="nil"/>
                  </w:tcBorders>
                  <w:shd w:val="clear" w:color="auto" w:fill="auto"/>
                  <w:vAlign w:val="center"/>
                </w:tcPr>
                <w:p w14:paraId="744CE790">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2DC29DDE">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85</w:t>
                  </w:r>
                </w:p>
              </w:tc>
              <w:tc>
                <w:tcPr>
                  <w:tcW w:w="750" w:type="dxa"/>
                  <w:vMerge w:val="continue"/>
                  <w:tcBorders>
                    <w:tl2br w:val="nil"/>
                    <w:tr2bl w:val="nil"/>
                  </w:tcBorders>
                  <w:vAlign w:val="center"/>
                </w:tcPr>
                <w:p w14:paraId="039856D0">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242179C9">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45</w:t>
                  </w:r>
                </w:p>
              </w:tc>
              <w:tc>
                <w:tcPr>
                  <w:tcW w:w="525" w:type="dxa"/>
                  <w:tcBorders>
                    <w:tl2br w:val="nil"/>
                    <w:tr2bl w:val="nil"/>
                  </w:tcBorders>
                  <w:vAlign w:val="center"/>
                </w:tcPr>
                <w:p w14:paraId="1844736A">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100</w:t>
                  </w:r>
                </w:p>
              </w:tc>
              <w:tc>
                <w:tcPr>
                  <w:tcW w:w="491" w:type="dxa"/>
                  <w:tcBorders>
                    <w:tl2br w:val="nil"/>
                    <w:tr2bl w:val="nil"/>
                  </w:tcBorders>
                  <w:shd w:val="clear" w:color="auto" w:fill="auto"/>
                  <w:vAlign w:val="center"/>
                </w:tcPr>
                <w:p w14:paraId="5B4C429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61461CF2">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0D8E727A">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35DAA27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5D2DE9B5">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54C7E6DE">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235811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223CAE2A">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22A87F1A">
                  <w:pPr>
                    <w:spacing w:line="240" w:lineRule="auto"/>
                    <w:jc w:val="center"/>
                    <w:rPr>
                      <w:rFonts w:hint="eastAsia" w:cs="Times New Roman"/>
                      <w:color w:val="auto"/>
                      <w:sz w:val="18"/>
                      <w:szCs w:val="18"/>
                      <w:lang w:val="en-US" w:eastAsia="zh-CN"/>
                    </w:rPr>
                  </w:pPr>
                  <w:r>
                    <w:rPr>
                      <w:rFonts w:hint="eastAsia"/>
                      <w:color w:val="auto"/>
                      <w:sz w:val="18"/>
                      <w:szCs w:val="18"/>
                      <w:lang w:eastAsia="zh-CN"/>
                    </w:rPr>
                    <w:t>高温电炉</w:t>
                  </w:r>
                </w:p>
              </w:tc>
              <w:tc>
                <w:tcPr>
                  <w:tcW w:w="555" w:type="dxa"/>
                  <w:tcBorders>
                    <w:tl2br w:val="nil"/>
                    <w:tr2bl w:val="nil"/>
                  </w:tcBorders>
                  <w:shd w:val="clear" w:color="auto" w:fill="auto"/>
                  <w:vAlign w:val="center"/>
                </w:tcPr>
                <w:p w14:paraId="7D463A41">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0798F568">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85</w:t>
                  </w:r>
                </w:p>
              </w:tc>
              <w:tc>
                <w:tcPr>
                  <w:tcW w:w="750" w:type="dxa"/>
                  <w:vMerge w:val="continue"/>
                  <w:tcBorders>
                    <w:tl2br w:val="nil"/>
                    <w:tr2bl w:val="nil"/>
                  </w:tcBorders>
                  <w:vAlign w:val="center"/>
                </w:tcPr>
                <w:p w14:paraId="6C35E58B">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722E7396">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0</w:t>
                  </w:r>
                </w:p>
              </w:tc>
              <w:tc>
                <w:tcPr>
                  <w:tcW w:w="525" w:type="dxa"/>
                  <w:tcBorders>
                    <w:tl2br w:val="nil"/>
                    <w:tr2bl w:val="nil"/>
                  </w:tcBorders>
                  <w:vAlign w:val="center"/>
                </w:tcPr>
                <w:p w14:paraId="099CBAAB">
                  <w:pPr>
                    <w:bidi w:val="0"/>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95</w:t>
                  </w:r>
                </w:p>
              </w:tc>
              <w:tc>
                <w:tcPr>
                  <w:tcW w:w="491" w:type="dxa"/>
                  <w:tcBorders>
                    <w:tl2br w:val="nil"/>
                    <w:tr2bl w:val="nil"/>
                  </w:tcBorders>
                  <w:shd w:val="clear" w:color="auto" w:fill="auto"/>
                  <w:vAlign w:val="center"/>
                </w:tcPr>
                <w:p w14:paraId="302075AE">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498B557A">
                  <w:pPr>
                    <w:bidi w:val="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5</w:t>
                  </w:r>
                </w:p>
              </w:tc>
              <w:tc>
                <w:tcPr>
                  <w:tcW w:w="622" w:type="dxa"/>
                  <w:tcBorders>
                    <w:tl2br w:val="nil"/>
                    <w:tr2bl w:val="nil"/>
                  </w:tcBorders>
                  <w:vAlign w:val="center"/>
                </w:tcPr>
                <w:p w14:paraId="40232366">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41546039">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5721874E">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351FED5B">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308089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7DA8DCFF">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317D66B2">
                  <w:pPr>
                    <w:spacing w:line="240" w:lineRule="auto"/>
                    <w:jc w:val="center"/>
                    <w:rPr>
                      <w:rFonts w:hint="eastAsia" w:cs="Times New Roman"/>
                      <w:color w:val="auto"/>
                      <w:sz w:val="18"/>
                      <w:szCs w:val="18"/>
                      <w:lang w:val="en-US" w:eastAsia="zh-CN"/>
                    </w:rPr>
                  </w:pPr>
                  <w:r>
                    <w:rPr>
                      <w:rFonts w:hint="eastAsia"/>
                      <w:color w:val="auto"/>
                      <w:sz w:val="18"/>
                      <w:szCs w:val="18"/>
                      <w:lang w:eastAsia="zh-CN"/>
                    </w:rPr>
                    <w:t>高温电炉</w:t>
                  </w:r>
                </w:p>
              </w:tc>
              <w:tc>
                <w:tcPr>
                  <w:tcW w:w="555" w:type="dxa"/>
                  <w:tcBorders>
                    <w:tl2br w:val="nil"/>
                    <w:tr2bl w:val="nil"/>
                  </w:tcBorders>
                  <w:shd w:val="clear" w:color="auto" w:fill="auto"/>
                  <w:vAlign w:val="center"/>
                </w:tcPr>
                <w:p w14:paraId="65AB88DC">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148EA930">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85</w:t>
                  </w:r>
                </w:p>
              </w:tc>
              <w:tc>
                <w:tcPr>
                  <w:tcW w:w="750" w:type="dxa"/>
                  <w:vMerge w:val="continue"/>
                  <w:tcBorders>
                    <w:tl2br w:val="nil"/>
                    <w:tr2bl w:val="nil"/>
                  </w:tcBorders>
                  <w:vAlign w:val="center"/>
                </w:tcPr>
                <w:p w14:paraId="7ADF0CD1">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69DD8811">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30</w:t>
                  </w:r>
                </w:p>
              </w:tc>
              <w:tc>
                <w:tcPr>
                  <w:tcW w:w="525" w:type="dxa"/>
                  <w:tcBorders>
                    <w:tl2br w:val="nil"/>
                    <w:tr2bl w:val="nil"/>
                  </w:tcBorders>
                  <w:vAlign w:val="center"/>
                </w:tcPr>
                <w:p w14:paraId="013EABC0">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95</w:t>
                  </w:r>
                </w:p>
              </w:tc>
              <w:tc>
                <w:tcPr>
                  <w:tcW w:w="491" w:type="dxa"/>
                  <w:tcBorders>
                    <w:tl2br w:val="nil"/>
                    <w:tr2bl w:val="nil"/>
                  </w:tcBorders>
                  <w:shd w:val="clear" w:color="auto" w:fill="auto"/>
                  <w:vAlign w:val="center"/>
                </w:tcPr>
                <w:p w14:paraId="6BC1F35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14C48257">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095728B1">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65</w:t>
                  </w:r>
                </w:p>
              </w:tc>
              <w:tc>
                <w:tcPr>
                  <w:tcW w:w="622" w:type="dxa"/>
                  <w:tcBorders>
                    <w:tl2br w:val="nil"/>
                    <w:tr2bl w:val="nil"/>
                  </w:tcBorders>
                  <w:vAlign w:val="center"/>
                </w:tcPr>
                <w:p w14:paraId="0EAD68B8">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1CE47FCE">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4B0C9FB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4C2C81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7579F912">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52967882">
                  <w:pPr>
                    <w:spacing w:line="240" w:lineRule="auto"/>
                    <w:jc w:val="center"/>
                    <w:rPr>
                      <w:rFonts w:hint="eastAsia" w:cs="Times New Roman"/>
                      <w:color w:val="auto"/>
                      <w:sz w:val="18"/>
                      <w:szCs w:val="18"/>
                      <w:lang w:val="en-US" w:eastAsia="zh-CN"/>
                    </w:rPr>
                  </w:pPr>
                  <w:r>
                    <w:rPr>
                      <w:rFonts w:hint="eastAsia"/>
                      <w:color w:val="auto"/>
                      <w:sz w:val="18"/>
                      <w:szCs w:val="18"/>
                      <w:lang w:eastAsia="zh-CN"/>
                    </w:rPr>
                    <w:t>高温电炉</w:t>
                  </w:r>
                </w:p>
              </w:tc>
              <w:tc>
                <w:tcPr>
                  <w:tcW w:w="555" w:type="dxa"/>
                  <w:tcBorders>
                    <w:tl2br w:val="nil"/>
                    <w:tr2bl w:val="nil"/>
                  </w:tcBorders>
                  <w:shd w:val="clear" w:color="auto" w:fill="auto"/>
                  <w:vAlign w:val="center"/>
                </w:tcPr>
                <w:p w14:paraId="18AD5F89">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6CC0F879">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85</w:t>
                  </w:r>
                </w:p>
              </w:tc>
              <w:tc>
                <w:tcPr>
                  <w:tcW w:w="750" w:type="dxa"/>
                  <w:vMerge w:val="continue"/>
                  <w:tcBorders>
                    <w:tl2br w:val="nil"/>
                    <w:tr2bl w:val="nil"/>
                  </w:tcBorders>
                  <w:vAlign w:val="center"/>
                </w:tcPr>
                <w:p w14:paraId="4FBE749F">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000B5A02">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60</w:t>
                  </w:r>
                </w:p>
              </w:tc>
              <w:tc>
                <w:tcPr>
                  <w:tcW w:w="525" w:type="dxa"/>
                  <w:tcBorders>
                    <w:tl2br w:val="nil"/>
                    <w:tr2bl w:val="nil"/>
                  </w:tcBorders>
                  <w:vAlign w:val="center"/>
                </w:tcPr>
                <w:p w14:paraId="5548BEF7">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95</w:t>
                  </w:r>
                </w:p>
              </w:tc>
              <w:tc>
                <w:tcPr>
                  <w:tcW w:w="491" w:type="dxa"/>
                  <w:tcBorders>
                    <w:tl2br w:val="nil"/>
                    <w:tr2bl w:val="nil"/>
                  </w:tcBorders>
                  <w:shd w:val="clear" w:color="auto" w:fill="auto"/>
                  <w:vAlign w:val="center"/>
                </w:tcPr>
                <w:p w14:paraId="3294E7A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45C992E3">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301280F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65</w:t>
                  </w:r>
                </w:p>
              </w:tc>
              <w:tc>
                <w:tcPr>
                  <w:tcW w:w="622" w:type="dxa"/>
                  <w:tcBorders>
                    <w:tl2br w:val="nil"/>
                    <w:tr2bl w:val="nil"/>
                  </w:tcBorders>
                  <w:vAlign w:val="center"/>
                </w:tcPr>
                <w:p w14:paraId="2A6DDABF">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136EB5B4">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023FDD47">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26F471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4906C871">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03C7A0A5">
                  <w:pPr>
                    <w:spacing w:line="240" w:lineRule="auto"/>
                    <w:jc w:val="center"/>
                    <w:rPr>
                      <w:rFonts w:hint="eastAsia" w:cs="Times New Roman"/>
                      <w:color w:val="auto"/>
                      <w:sz w:val="18"/>
                      <w:szCs w:val="18"/>
                      <w:lang w:val="en-US" w:eastAsia="zh-CN"/>
                    </w:rPr>
                  </w:pPr>
                  <w:r>
                    <w:rPr>
                      <w:rFonts w:hint="eastAsia"/>
                      <w:color w:val="auto"/>
                      <w:sz w:val="18"/>
                      <w:szCs w:val="18"/>
                      <w:lang w:eastAsia="zh-CN"/>
                    </w:rPr>
                    <w:t>高温电炉</w:t>
                  </w:r>
                </w:p>
              </w:tc>
              <w:tc>
                <w:tcPr>
                  <w:tcW w:w="555" w:type="dxa"/>
                  <w:tcBorders>
                    <w:tl2br w:val="nil"/>
                    <w:tr2bl w:val="nil"/>
                  </w:tcBorders>
                  <w:shd w:val="clear" w:color="auto" w:fill="auto"/>
                  <w:vAlign w:val="center"/>
                </w:tcPr>
                <w:p w14:paraId="3BA14ADD">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6D0AEDBA">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85</w:t>
                  </w:r>
                </w:p>
              </w:tc>
              <w:tc>
                <w:tcPr>
                  <w:tcW w:w="750" w:type="dxa"/>
                  <w:vMerge w:val="continue"/>
                  <w:tcBorders>
                    <w:tl2br w:val="nil"/>
                    <w:tr2bl w:val="nil"/>
                  </w:tcBorders>
                  <w:vAlign w:val="center"/>
                </w:tcPr>
                <w:p w14:paraId="66F708F4">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72439A0C">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90</w:t>
                  </w:r>
                </w:p>
              </w:tc>
              <w:tc>
                <w:tcPr>
                  <w:tcW w:w="525" w:type="dxa"/>
                  <w:tcBorders>
                    <w:tl2br w:val="nil"/>
                    <w:tr2bl w:val="nil"/>
                  </w:tcBorders>
                  <w:vAlign w:val="center"/>
                </w:tcPr>
                <w:p w14:paraId="20F634B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95</w:t>
                  </w:r>
                </w:p>
              </w:tc>
              <w:tc>
                <w:tcPr>
                  <w:tcW w:w="491" w:type="dxa"/>
                  <w:tcBorders>
                    <w:tl2br w:val="nil"/>
                    <w:tr2bl w:val="nil"/>
                  </w:tcBorders>
                  <w:shd w:val="clear" w:color="auto" w:fill="auto"/>
                  <w:vAlign w:val="center"/>
                </w:tcPr>
                <w:p w14:paraId="3325A25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5833F2CA">
                  <w:pPr>
                    <w:bidi w:val="0"/>
                    <w:jc w:val="center"/>
                    <w:rPr>
                      <w:rFonts w:hint="eastAsia"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5</w:t>
                  </w:r>
                </w:p>
              </w:tc>
              <w:tc>
                <w:tcPr>
                  <w:tcW w:w="622" w:type="dxa"/>
                  <w:tcBorders>
                    <w:tl2br w:val="nil"/>
                    <w:tr2bl w:val="nil"/>
                  </w:tcBorders>
                  <w:vAlign w:val="center"/>
                </w:tcPr>
                <w:p w14:paraId="29F15968">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65</w:t>
                  </w:r>
                </w:p>
              </w:tc>
              <w:tc>
                <w:tcPr>
                  <w:tcW w:w="622" w:type="dxa"/>
                  <w:tcBorders>
                    <w:tl2br w:val="nil"/>
                    <w:tr2bl w:val="nil"/>
                  </w:tcBorders>
                  <w:vAlign w:val="center"/>
                </w:tcPr>
                <w:p w14:paraId="0650DA82">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5D0A951F">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3BFA05E3">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18A2BE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dxa"/>
                  <w:vMerge w:val="continue"/>
                  <w:tcBorders>
                    <w:tl2br w:val="nil"/>
                    <w:tr2bl w:val="nil"/>
                  </w:tcBorders>
                  <w:vAlign w:val="center"/>
                </w:tcPr>
                <w:p w14:paraId="0617B9A7">
                  <w:pPr>
                    <w:pStyle w:val="210"/>
                    <w:ind w:firstLine="0" w:firstLineChars="0"/>
                    <w:jc w:val="center"/>
                    <w:rPr>
                      <w:rFonts w:hint="eastAsia" w:ascii="Times New Roman" w:hAnsi="Times New Roman" w:cs="Times New Roman"/>
                      <w:color w:val="auto"/>
                      <w:kern w:val="2"/>
                      <w:sz w:val="18"/>
                      <w:szCs w:val="18"/>
                      <w:lang w:val="en-US" w:eastAsia="zh-CN" w:bidi="ar-SA"/>
                    </w:rPr>
                  </w:pPr>
                </w:p>
              </w:tc>
              <w:tc>
                <w:tcPr>
                  <w:tcW w:w="997" w:type="dxa"/>
                  <w:tcBorders>
                    <w:tl2br w:val="nil"/>
                    <w:tr2bl w:val="nil"/>
                  </w:tcBorders>
                  <w:vAlign w:val="center"/>
                </w:tcPr>
                <w:p w14:paraId="0F35D1EB">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碾环机</w:t>
                  </w:r>
                </w:p>
              </w:tc>
              <w:tc>
                <w:tcPr>
                  <w:tcW w:w="555" w:type="dxa"/>
                  <w:tcBorders>
                    <w:tl2br w:val="nil"/>
                    <w:tr2bl w:val="nil"/>
                  </w:tcBorders>
                  <w:shd w:val="clear" w:color="auto" w:fill="auto"/>
                  <w:vAlign w:val="center"/>
                </w:tcPr>
                <w:p w14:paraId="33F651D2">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675" w:type="dxa"/>
                  <w:tcBorders>
                    <w:tl2br w:val="nil"/>
                    <w:tr2bl w:val="nil"/>
                  </w:tcBorders>
                  <w:vAlign w:val="center"/>
                </w:tcPr>
                <w:p w14:paraId="30DF6A23">
                  <w:pPr>
                    <w:bidi w:val="0"/>
                    <w:jc w:val="center"/>
                    <w:rPr>
                      <w:rFonts w:hint="default" w:cs="Times New Roman"/>
                      <w:color w:val="auto"/>
                      <w:sz w:val="18"/>
                      <w:szCs w:val="18"/>
                      <w:lang w:val="en-US" w:eastAsia="zh-CN"/>
                    </w:rPr>
                  </w:pPr>
                  <w:r>
                    <w:rPr>
                      <w:rFonts w:hint="eastAsia" w:cs="Times New Roman"/>
                      <w:color w:val="auto"/>
                      <w:sz w:val="18"/>
                      <w:szCs w:val="18"/>
                      <w:lang w:val="en-US" w:eastAsia="zh-CN"/>
                    </w:rPr>
                    <w:t>90</w:t>
                  </w:r>
                </w:p>
              </w:tc>
              <w:tc>
                <w:tcPr>
                  <w:tcW w:w="750" w:type="dxa"/>
                  <w:vMerge w:val="continue"/>
                  <w:tcBorders>
                    <w:tl2br w:val="nil"/>
                    <w:tr2bl w:val="nil"/>
                  </w:tcBorders>
                  <w:vAlign w:val="center"/>
                </w:tcPr>
                <w:p w14:paraId="54E8E4A3">
                  <w:pPr>
                    <w:bidi w:val="0"/>
                    <w:jc w:val="center"/>
                    <w:rPr>
                      <w:rFonts w:hint="eastAsia" w:ascii="Times New Roman" w:hAnsi="Times New Roman" w:eastAsia="宋体" w:cs="Times New Roman"/>
                      <w:color w:val="auto"/>
                      <w:sz w:val="18"/>
                      <w:szCs w:val="18"/>
                      <w:lang w:val="en-US" w:eastAsia="zh-CN"/>
                    </w:rPr>
                  </w:pPr>
                </w:p>
              </w:tc>
              <w:tc>
                <w:tcPr>
                  <w:tcW w:w="495" w:type="dxa"/>
                  <w:tcBorders>
                    <w:tl2br w:val="nil"/>
                    <w:tr2bl w:val="nil"/>
                  </w:tcBorders>
                  <w:vAlign w:val="center"/>
                </w:tcPr>
                <w:p w14:paraId="37C9827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110</w:t>
                  </w:r>
                </w:p>
              </w:tc>
              <w:tc>
                <w:tcPr>
                  <w:tcW w:w="525" w:type="dxa"/>
                  <w:tcBorders>
                    <w:tl2br w:val="nil"/>
                    <w:tr2bl w:val="nil"/>
                  </w:tcBorders>
                  <w:vAlign w:val="center"/>
                </w:tcPr>
                <w:p w14:paraId="6BB848C5">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100</w:t>
                  </w:r>
                </w:p>
              </w:tc>
              <w:tc>
                <w:tcPr>
                  <w:tcW w:w="491" w:type="dxa"/>
                  <w:tcBorders>
                    <w:tl2br w:val="nil"/>
                    <w:tr2bl w:val="nil"/>
                  </w:tcBorders>
                  <w:shd w:val="clear" w:color="auto" w:fill="auto"/>
                  <w:vAlign w:val="center"/>
                </w:tcPr>
                <w:p w14:paraId="57D92F80">
                  <w:pPr>
                    <w:bidi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1</w:t>
                  </w:r>
                </w:p>
              </w:tc>
              <w:tc>
                <w:tcPr>
                  <w:tcW w:w="621" w:type="dxa"/>
                  <w:tcBorders>
                    <w:tl2br w:val="nil"/>
                    <w:tr2bl w:val="nil"/>
                  </w:tcBorders>
                  <w:vAlign w:val="center"/>
                </w:tcPr>
                <w:p w14:paraId="332B6154">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5</w:t>
                  </w:r>
                </w:p>
              </w:tc>
              <w:tc>
                <w:tcPr>
                  <w:tcW w:w="622" w:type="dxa"/>
                  <w:tcBorders>
                    <w:tl2br w:val="nil"/>
                    <w:tr2bl w:val="nil"/>
                  </w:tcBorders>
                  <w:vAlign w:val="center"/>
                </w:tcPr>
                <w:p w14:paraId="51C53FFB">
                  <w:pPr>
                    <w:bidi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65</w:t>
                  </w:r>
                </w:p>
              </w:tc>
              <w:tc>
                <w:tcPr>
                  <w:tcW w:w="622" w:type="dxa"/>
                  <w:tcBorders>
                    <w:tl2br w:val="nil"/>
                    <w:tr2bl w:val="nil"/>
                  </w:tcBorders>
                  <w:vAlign w:val="center"/>
                </w:tcPr>
                <w:p w14:paraId="5479F202">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25</w:t>
                  </w:r>
                </w:p>
              </w:tc>
              <w:tc>
                <w:tcPr>
                  <w:tcW w:w="622" w:type="dxa"/>
                  <w:tcBorders>
                    <w:tl2br w:val="nil"/>
                    <w:tr2bl w:val="nil"/>
                  </w:tcBorders>
                  <w:vAlign w:val="center"/>
                </w:tcPr>
                <w:p w14:paraId="5F3817D5">
                  <w:pPr>
                    <w:jc w:val="center"/>
                    <w:rPr>
                      <w:rFonts w:hint="eastAsia" w:ascii="Times New Roman" w:hAnsi="Times New Roman" w:eastAsia="宋体" w:cs="Times New Roman"/>
                      <w:bCs/>
                      <w:color w:val="auto"/>
                      <w:spacing w:val="-10"/>
                      <w:kern w:val="2"/>
                      <w:sz w:val="18"/>
                      <w:szCs w:val="18"/>
                      <w:lang w:val="en-US" w:eastAsia="zh-CN" w:bidi="ar-SA"/>
                    </w:rPr>
                  </w:pPr>
                  <w:r>
                    <w:rPr>
                      <w:rFonts w:hint="eastAsia"/>
                      <w:bCs/>
                      <w:color w:val="auto"/>
                      <w:spacing w:val="-10"/>
                      <w:sz w:val="18"/>
                      <w:szCs w:val="18"/>
                    </w:rPr>
                    <w:t>40</w:t>
                  </w:r>
                </w:p>
              </w:tc>
              <w:tc>
                <w:tcPr>
                  <w:tcW w:w="622" w:type="dxa"/>
                  <w:tcBorders>
                    <w:tl2br w:val="nil"/>
                    <w:tr2bl w:val="nil"/>
                  </w:tcBorders>
                  <w:vAlign w:val="center"/>
                </w:tcPr>
                <w:p w14:paraId="505A1AAD">
                  <w:pPr>
                    <w:jc w:val="center"/>
                    <w:rPr>
                      <w:rFonts w:hint="eastAsia" w:ascii="Times New Roman" w:hAnsi="Times New Roman" w:eastAsia="宋体" w:cs="Times New Roman"/>
                      <w:bCs/>
                      <w:color w:val="auto"/>
                      <w:spacing w:val="-10"/>
                      <w:kern w:val="2"/>
                      <w:sz w:val="18"/>
                      <w:szCs w:val="18"/>
                      <w:lang w:val="en-US" w:eastAsia="zh-CN" w:bidi="ar-SA"/>
                    </w:rPr>
                  </w:pPr>
                  <w:r>
                    <w:rPr>
                      <w:bCs/>
                      <w:color w:val="auto"/>
                      <w:spacing w:val="-10"/>
                      <w:sz w:val="18"/>
                      <w:szCs w:val="18"/>
                    </w:rPr>
                    <w:t>1m</w:t>
                  </w:r>
                </w:p>
              </w:tc>
            </w:tr>
            <w:tr w14:paraId="271C7A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71" w:type="dxa"/>
                  <w:gridSpan w:val="13"/>
                  <w:tcBorders>
                    <w:tl2br w:val="nil"/>
                    <w:tr2bl w:val="nil"/>
                  </w:tcBorders>
                  <w:vAlign w:val="center"/>
                </w:tcPr>
                <w:p w14:paraId="45479E8C">
                  <w:pPr>
                    <w:pStyle w:val="182"/>
                    <w:adjustRightInd w:val="0"/>
                    <w:snapToGrid w:val="0"/>
                    <w:spacing w:line="240" w:lineRule="auto"/>
                    <w:ind w:left="0" w:firstLine="0"/>
                    <w:rPr>
                      <w:rFonts w:hint="eastAsia" w:eastAsia="宋体"/>
                      <w:bCs/>
                      <w:color w:val="auto"/>
                      <w:spacing w:val="-10"/>
                      <w:sz w:val="18"/>
                      <w:szCs w:val="18"/>
                      <w:lang w:val="en-US" w:eastAsia="zh-CN"/>
                    </w:rPr>
                  </w:pPr>
                  <w:r>
                    <w:rPr>
                      <w:rFonts w:hint="eastAsia"/>
                      <w:bCs/>
                      <w:color w:val="auto"/>
                      <w:spacing w:val="-10"/>
                      <w:sz w:val="18"/>
                      <w:szCs w:val="18"/>
                      <w:lang w:val="en-US" w:eastAsia="zh-CN"/>
                    </w:rPr>
                    <w:t>注：</w:t>
                  </w:r>
                  <w:r>
                    <w:rPr>
                      <w:rFonts w:hint="eastAsia" w:ascii="Times New Roman" w:hAnsi="Times New Roman"/>
                      <w:b/>
                      <w:bCs/>
                      <w:color w:val="auto"/>
                      <w:sz w:val="18"/>
                      <w:szCs w:val="18"/>
                    </w:rPr>
                    <w:t>*</w:t>
                  </w:r>
                  <w:r>
                    <w:rPr>
                      <w:color w:val="auto"/>
                      <w:spacing w:val="-3"/>
                      <w:sz w:val="18"/>
                      <w:szCs w:val="18"/>
                    </w:rPr>
                    <w:t>以厂界西北角为原点，长边方向为</w:t>
                  </w:r>
                  <w:r>
                    <w:rPr>
                      <w:color w:val="auto"/>
                      <w:spacing w:val="-41"/>
                      <w:sz w:val="18"/>
                      <w:szCs w:val="18"/>
                    </w:rPr>
                    <w:t xml:space="preserve"> </w:t>
                  </w:r>
                  <w:r>
                    <w:rPr>
                      <w:rFonts w:ascii="Times New Roman" w:hAnsi="Times New Roman" w:eastAsia="Times New Roman"/>
                      <w:color w:val="auto"/>
                      <w:spacing w:val="-3"/>
                      <w:sz w:val="18"/>
                      <w:szCs w:val="18"/>
                    </w:rPr>
                    <w:t xml:space="preserve">X </w:t>
                  </w:r>
                  <w:r>
                    <w:rPr>
                      <w:color w:val="auto"/>
                      <w:spacing w:val="-3"/>
                      <w:sz w:val="18"/>
                      <w:szCs w:val="18"/>
                    </w:rPr>
                    <w:t>轴，短边方向为</w:t>
                  </w:r>
                  <w:r>
                    <w:rPr>
                      <w:color w:val="auto"/>
                      <w:spacing w:val="-59"/>
                      <w:sz w:val="18"/>
                      <w:szCs w:val="18"/>
                    </w:rPr>
                    <w:t xml:space="preserve"> </w:t>
                  </w:r>
                  <w:r>
                    <w:rPr>
                      <w:rFonts w:ascii="Times New Roman" w:hAnsi="Times New Roman" w:eastAsia="Times New Roman"/>
                      <w:color w:val="auto"/>
                      <w:spacing w:val="-3"/>
                      <w:sz w:val="18"/>
                      <w:szCs w:val="18"/>
                    </w:rPr>
                    <w:t xml:space="preserve">Y </w:t>
                  </w:r>
                  <w:r>
                    <w:rPr>
                      <w:color w:val="auto"/>
                      <w:spacing w:val="-3"/>
                      <w:sz w:val="18"/>
                      <w:szCs w:val="18"/>
                    </w:rPr>
                    <w:t>轴。</w:t>
                  </w:r>
                </w:p>
              </w:tc>
            </w:tr>
          </w:tbl>
          <w:p w14:paraId="580469C9">
            <w:pPr>
              <w:pStyle w:val="182"/>
              <w:adjustRightInd w:val="0"/>
              <w:snapToGrid w:val="0"/>
              <w:spacing w:line="360" w:lineRule="auto"/>
              <w:ind w:left="0" w:firstLine="0"/>
              <w:jc w:val="center"/>
              <w:rPr>
                <w:rFonts w:hint="eastAsia"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lang w:val="en-US" w:eastAsia="zh-CN"/>
              </w:rPr>
              <w:t>表4-13工业企业噪声源强调查清单（室外声源）</w:t>
            </w:r>
          </w:p>
          <w:tbl>
            <w:tblPr>
              <w:tblStyle w:val="4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20"/>
              <w:gridCol w:w="1020"/>
              <w:gridCol w:w="1065"/>
              <w:gridCol w:w="705"/>
              <w:gridCol w:w="630"/>
              <w:gridCol w:w="675"/>
              <w:gridCol w:w="645"/>
              <w:gridCol w:w="645"/>
            </w:tblGrid>
            <w:tr w14:paraId="0AC7E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l2br w:val="nil"/>
                    <w:tr2bl w:val="nil"/>
                  </w:tcBorders>
                  <w:vAlign w:val="center"/>
                </w:tcPr>
                <w:p w14:paraId="17183383">
                  <w:pPr>
                    <w:pStyle w:val="35"/>
                    <w:bidi w:val="0"/>
                    <w:jc w:val="center"/>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建筑物</w:t>
                  </w:r>
                </w:p>
                <w:p w14:paraId="2B8B6542">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名称</w:t>
                  </w:r>
                </w:p>
              </w:tc>
              <w:tc>
                <w:tcPr>
                  <w:tcW w:w="1320" w:type="dxa"/>
                  <w:vMerge w:val="restart"/>
                  <w:tcBorders>
                    <w:tl2br w:val="nil"/>
                    <w:tr2bl w:val="nil"/>
                  </w:tcBorders>
                  <w:vAlign w:val="center"/>
                </w:tcPr>
                <w:p w14:paraId="2E5434B5">
                  <w:pPr>
                    <w:pStyle w:val="35"/>
                    <w:bidi w:val="0"/>
                    <w:jc w:val="center"/>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声源</w:t>
                  </w:r>
                </w:p>
                <w:p w14:paraId="7530A958">
                  <w:pPr>
                    <w:pStyle w:val="35"/>
                    <w:bidi w:val="0"/>
                    <w:jc w:val="center"/>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名称</w:t>
                  </w:r>
                </w:p>
              </w:tc>
              <w:tc>
                <w:tcPr>
                  <w:tcW w:w="1020" w:type="dxa"/>
                  <w:vMerge w:val="restart"/>
                  <w:tcBorders>
                    <w:tl2br w:val="nil"/>
                    <w:tr2bl w:val="nil"/>
                  </w:tcBorders>
                  <w:vAlign w:val="center"/>
                </w:tcPr>
                <w:p w14:paraId="2B996161">
                  <w:pPr>
                    <w:pStyle w:val="35"/>
                    <w:bidi w:val="0"/>
                    <w:jc w:val="center"/>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数量</w:t>
                  </w:r>
                </w:p>
                <w:p w14:paraId="2B590AE7">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台/套</w:t>
                  </w:r>
                </w:p>
              </w:tc>
              <w:tc>
                <w:tcPr>
                  <w:tcW w:w="1065" w:type="dxa"/>
                  <w:vMerge w:val="restart"/>
                  <w:tcBorders>
                    <w:tl2br w:val="nil"/>
                    <w:tr2bl w:val="nil"/>
                  </w:tcBorders>
                  <w:vAlign w:val="center"/>
                </w:tcPr>
                <w:p w14:paraId="4457A773">
                  <w:pPr>
                    <w:pStyle w:val="35"/>
                    <w:bidi w:val="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声源源强/声功率级dB（A）</w:t>
                  </w:r>
                </w:p>
              </w:tc>
              <w:tc>
                <w:tcPr>
                  <w:tcW w:w="2010" w:type="dxa"/>
                  <w:gridSpan w:val="3"/>
                  <w:tcBorders>
                    <w:tl2br w:val="nil"/>
                    <w:tr2bl w:val="nil"/>
                  </w:tcBorders>
                  <w:vAlign w:val="center"/>
                </w:tcPr>
                <w:p w14:paraId="5D90FE82">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空间相对位置/m</w:t>
                  </w:r>
                </w:p>
              </w:tc>
              <w:tc>
                <w:tcPr>
                  <w:tcW w:w="645" w:type="dxa"/>
                  <w:vMerge w:val="restart"/>
                  <w:tcBorders>
                    <w:tl2br w:val="nil"/>
                    <w:tr2bl w:val="nil"/>
                  </w:tcBorders>
                  <w:vAlign w:val="center"/>
                </w:tcPr>
                <w:p w14:paraId="1C82B3AF">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声源控制措施</w:t>
                  </w:r>
                </w:p>
              </w:tc>
              <w:tc>
                <w:tcPr>
                  <w:tcW w:w="645" w:type="dxa"/>
                  <w:vMerge w:val="restart"/>
                  <w:tcBorders>
                    <w:tl2br w:val="nil"/>
                    <w:tr2bl w:val="nil"/>
                  </w:tcBorders>
                  <w:vAlign w:val="center"/>
                </w:tcPr>
                <w:p w14:paraId="200A894E">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运行时段</w:t>
                  </w:r>
                </w:p>
              </w:tc>
            </w:tr>
            <w:tr w14:paraId="67B23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l2br w:val="nil"/>
                    <w:tr2bl w:val="nil"/>
                  </w:tcBorders>
                  <w:vAlign w:val="center"/>
                </w:tcPr>
                <w:p w14:paraId="00214F26">
                  <w:pPr>
                    <w:pStyle w:val="35"/>
                    <w:bidi w:val="0"/>
                    <w:jc w:val="center"/>
                    <w:rPr>
                      <w:rFonts w:hint="default" w:ascii="Times New Roman" w:hAnsi="Times New Roman" w:cs="Times New Roman"/>
                      <w:b w:val="0"/>
                      <w:bCs w:val="0"/>
                      <w:color w:val="auto"/>
                      <w:sz w:val="18"/>
                      <w:szCs w:val="18"/>
                      <w:lang w:val="en-US" w:eastAsia="zh-CN"/>
                    </w:rPr>
                  </w:pPr>
                </w:p>
              </w:tc>
              <w:tc>
                <w:tcPr>
                  <w:tcW w:w="1320" w:type="dxa"/>
                  <w:vMerge w:val="continue"/>
                  <w:tcBorders>
                    <w:tl2br w:val="nil"/>
                    <w:tr2bl w:val="nil"/>
                  </w:tcBorders>
                  <w:vAlign w:val="center"/>
                </w:tcPr>
                <w:p w14:paraId="749B6617">
                  <w:pPr>
                    <w:pStyle w:val="35"/>
                    <w:bidi w:val="0"/>
                    <w:jc w:val="center"/>
                    <w:rPr>
                      <w:rFonts w:hint="default" w:ascii="Times New Roman" w:hAnsi="Times New Roman" w:cs="Times New Roman"/>
                      <w:b w:val="0"/>
                      <w:bCs w:val="0"/>
                      <w:color w:val="auto"/>
                      <w:sz w:val="18"/>
                      <w:szCs w:val="18"/>
                      <w:lang w:val="en-US" w:eastAsia="zh-CN"/>
                    </w:rPr>
                  </w:pPr>
                </w:p>
              </w:tc>
              <w:tc>
                <w:tcPr>
                  <w:tcW w:w="1020" w:type="dxa"/>
                  <w:vMerge w:val="continue"/>
                  <w:tcBorders>
                    <w:tl2br w:val="nil"/>
                    <w:tr2bl w:val="nil"/>
                  </w:tcBorders>
                  <w:vAlign w:val="center"/>
                </w:tcPr>
                <w:p w14:paraId="27CA4324">
                  <w:pPr>
                    <w:pStyle w:val="35"/>
                    <w:bidi w:val="0"/>
                    <w:jc w:val="center"/>
                    <w:rPr>
                      <w:rFonts w:hint="default" w:ascii="Times New Roman" w:hAnsi="Times New Roman" w:cs="Times New Roman"/>
                      <w:b w:val="0"/>
                      <w:bCs w:val="0"/>
                      <w:color w:val="auto"/>
                      <w:sz w:val="18"/>
                      <w:szCs w:val="18"/>
                      <w:lang w:val="en-US" w:eastAsia="zh-CN"/>
                    </w:rPr>
                  </w:pPr>
                </w:p>
              </w:tc>
              <w:tc>
                <w:tcPr>
                  <w:tcW w:w="1065" w:type="dxa"/>
                  <w:vMerge w:val="continue"/>
                  <w:tcBorders>
                    <w:tl2br w:val="nil"/>
                    <w:tr2bl w:val="nil"/>
                  </w:tcBorders>
                  <w:vAlign w:val="center"/>
                </w:tcPr>
                <w:p w14:paraId="10E6FE7A">
                  <w:pPr>
                    <w:pStyle w:val="35"/>
                    <w:bidi w:val="0"/>
                    <w:jc w:val="center"/>
                    <w:rPr>
                      <w:rFonts w:hint="eastAsia" w:ascii="Times New Roman" w:hAnsi="Times New Roman" w:cs="Times New Roman"/>
                      <w:b w:val="0"/>
                      <w:bCs w:val="0"/>
                      <w:color w:val="auto"/>
                      <w:sz w:val="18"/>
                      <w:szCs w:val="18"/>
                      <w:lang w:val="en-US" w:eastAsia="zh-CN"/>
                    </w:rPr>
                  </w:pPr>
                </w:p>
              </w:tc>
              <w:tc>
                <w:tcPr>
                  <w:tcW w:w="705" w:type="dxa"/>
                  <w:tcBorders>
                    <w:tl2br w:val="nil"/>
                    <w:tr2bl w:val="nil"/>
                  </w:tcBorders>
                  <w:vAlign w:val="center"/>
                </w:tcPr>
                <w:p w14:paraId="62972FFA">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X</w:t>
                  </w:r>
                </w:p>
              </w:tc>
              <w:tc>
                <w:tcPr>
                  <w:tcW w:w="630" w:type="dxa"/>
                  <w:tcBorders>
                    <w:tl2br w:val="nil"/>
                    <w:tr2bl w:val="nil"/>
                  </w:tcBorders>
                  <w:vAlign w:val="center"/>
                </w:tcPr>
                <w:p w14:paraId="70EBC836">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Y</w:t>
                  </w:r>
                </w:p>
              </w:tc>
              <w:tc>
                <w:tcPr>
                  <w:tcW w:w="675" w:type="dxa"/>
                  <w:tcBorders>
                    <w:tl2br w:val="nil"/>
                    <w:tr2bl w:val="nil"/>
                  </w:tcBorders>
                  <w:vAlign w:val="center"/>
                </w:tcPr>
                <w:p w14:paraId="126EB787">
                  <w:pPr>
                    <w:pStyle w:val="35"/>
                    <w:bidi w:val="0"/>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Z</w:t>
                  </w:r>
                </w:p>
              </w:tc>
              <w:tc>
                <w:tcPr>
                  <w:tcW w:w="645" w:type="dxa"/>
                  <w:vMerge w:val="continue"/>
                  <w:tcBorders>
                    <w:tl2br w:val="nil"/>
                    <w:tr2bl w:val="nil"/>
                  </w:tcBorders>
                  <w:vAlign w:val="center"/>
                </w:tcPr>
                <w:p w14:paraId="4C738EFF">
                  <w:pPr>
                    <w:pStyle w:val="35"/>
                    <w:bidi w:val="0"/>
                    <w:jc w:val="center"/>
                    <w:rPr>
                      <w:rFonts w:hint="default"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1B3F7377">
                  <w:pPr>
                    <w:pStyle w:val="35"/>
                    <w:bidi w:val="0"/>
                    <w:jc w:val="center"/>
                    <w:rPr>
                      <w:rFonts w:hint="default" w:ascii="Times New Roman" w:hAnsi="Times New Roman" w:cs="Times New Roman"/>
                      <w:b w:val="0"/>
                      <w:bCs w:val="0"/>
                      <w:color w:val="auto"/>
                      <w:sz w:val="18"/>
                      <w:szCs w:val="18"/>
                      <w:lang w:val="en-US" w:eastAsia="zh-CN"/>
                    </w:rPr>
                  </w:pPr>
                </w:p>
              </w:tc>
            </w:tr>
            <w:tr w14:paraId="0671C1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56D61DFF">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锻造车间北侧</w:t>
                  </w:r>
                </w:p>
              </w:tc>
              <w:tc>
                <w:tcPr>
                  <w:tcW w:w="1320" w:type="dxa"/>
                  <w:tcBorders>
                    <w:tl2br w:val="nil"/>
                    <w:tr2bl w:val="nil"/>
                  </w:tcBorders>
                  <w:vAlign w:val="center"/>
                </w:tcPr>
                <w:p w14:paraId="6392417E">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eastAsia="zh-CN"/>
                    </w:rPr>
                    <w:t>电动机</w:t>
                  </w:r>
                </w:p>
              </w:tc>
              <w:tc>
                <w:tcPr>
                  <w:tcW w:w="1020" w:type="dxa"/>
                  <w:tcBorders>
                    <w:tl2br w:val="nil"/>
                    <w:tr2bl w:val="nil"/>
                  </w:tcBorders>
                  <w:shd w:val="clear" w:color="auto" w:fill="auto"/>
                  <w:vAlign w:val="center"/>
                </w:tcPr>
                <w:p w14:paraId="514946D8">
                  <w:pPr>
                    <w:bidi w:val="0"/>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11D548AA">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049CF58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30" w:type="dxa"/>
                  <w:tcBorders>
                    <w:tl2br w:val="nil"/>
                    <w:tr2bl w:val="nil"/>
                  </w:tcBorders>
                  <w:vAlign w:val="center"/>
                </w:tcPr>
                <w:p w14:paraId="3E7ED953">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30</w:t>
                  </w:r>
                </w:p>
              </w:tc>
              <w:tc>
                <w:tcPr>
                  <w:tcW w:w="675" w:type="dxa"/>
                  <w:tcBorders>
                    <w:tl2br w:val="nil"/>
                    <w:tr2bl w:val="nil"/>
                  </w:tcBorders>
                  <w:vAlign w:val="center"/>
                </w:tcPr>
                <w:p w14:paraId="0BDA0AEE">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restart"/>
                  <w:tcBorders>
                    <w:tl2br w:val="nil"/>
                    <w:tr2bl w:val="nil"/>
                  </w:tcBorders>
                  <w:vAlign w:val="center"/>
                </w:tcPr>
                <w:p w14:paraId="31F7A16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b w:val="0"/>
                      <w:bCs w:val="0"/>
                      <w:color w:val="auto"/>
                      <w:sz w:val="18"/>
                      <w:szCs w:val="13"/>
                      <w:highlight w:val="none"/>
                    </w:rPr>
                    <w:t>隔声、减振</w:t>
                  </w:r>
                </w:p>
              </w:tc>
              <w:tc>
                <w:tcPr>
                  <w:tcW w:w="645" w:type="dxa"/>
                  <w:vMerge w:val="restart"/>
                  <w:tcBorders>
                    <w:tl2br w:val="nil"/>
                    <w:tr2bl w:val="nil"/>
                  </w:tcBorders>
                  <w:vAlign w:val="center"/>
                </w:tcPr>
                <w:p w14:paraId="5233D36E">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生产时</w:t>
                  </w:r>
                </w:p>
              </w:tc>
            </w:tr>
            <w:tr w14:paraId="278A9A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2878B6A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锻造车间北侧</w:t>
                  </w:r>
                </w:p>
              </w:tc>
              <w:tc>
                <w:tcPr>
                  <w:tcW w:w="1320" w:type="dxa"/>
                  <w:tcBorders>
                    <w:tl2br w:val="nil"/>
                    <w:tr2bl w:val="nil"/>
                  </w:tcBorders>
                  <w:vAlign w:val="center"/>
                </w:tcPr>
                <w:p w14:paraId="34CCBB64">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电动机</w:t>
                  </w:r>
                </w:p>
              </w:tc>
              <w:tc>
                <w:tcPr>
                  <w:tcW w:w="1020" w:type="dxa"/>
                  <w:tcBorders>
                    <w:tl2br w:val="nil"/>
                    <w:tr2bl w:val="nil"/>
                  </w:tcBorders>
                  <w:shd w:val="clear" w:color="auto" w:fill="auto"/>
                  <w:vAlign w:val="center"/>
                </w:tcPr>
                <w:p w14:paraId="767EFF02">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05941E95">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1C21F31F">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30" w:type="dxa"/>
                  <w:tcBorders>
                    <w:tl2br w:val="nil"/>
                    <w:tr2bl w:val="nil"/>
                  </w:tcBorders>
                  <w:vAlign w:val="center"/>
                </w:tcPr>
                <w:p w14:paraId="39354749">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60</w:t>
                  </w:r>
                </w:p>
              </w:tc>
              <w:tc>
                <w:tcPr>
                  <w:tcW w:w="675" w:type="dxa"/>
                  <w:tcBorders>
                    <w:tl2br w:val="nil"/>
                    <w:tr2bl w:val="nil"/>
                  </w:tcBorders>
                  <w:vAlign w:val="center"/>
                </w:tcPr>
                <w:p w14:paraId="17E6399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1045BC36">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527DA3E8">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67D341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17A40F16">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锻造车间北侧</w:t>
                  </w:r>
                </w:p>
              </w:tc>
              <w:tc>
                <w:tcPr>
                  <w:tcW w:w="1320" w:type="dxa"/>
                  <w:tcBorders>
                    <w:tl2br w:val="nil"/>
                    <w:tr2bl w:val="nil"/>
                  </w:tcBorders>
                  <w:vAlign w:val="center"/>
                </w:tcPr>
                <w:p w14:paraId="0DBCF566">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电动机</w:t>
                  </w:r>
                </w:p>
              </w:tc>
              <w:tc>
                <w:tcPr>
                  <w:tcW w:w="1020" w:type="dxa"/>
                  <w:tcBorders>
                    <w:tl2br w:val="nil"/>
                    <w:tr2bl w:val="nil"/>
                  </w:tcBorders>
                  <w:shd w:val="clear" w:color="auto" w:fill="auto"/>
                  <w:vAlign w:val="center"/>
                </w:tcPr>
                <w:p w14:paraId="704CC78A">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67831620">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197FD4F7">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30" w:type="dxa"/>
                  <w:tcBorders>
                    <w:tl2br w:val="nil"/>
                    <w:tr2bl w:val="nil"/>
                  </w:tcBorders>
                  <w:vAlign w:val="center"/>
                </w:tcPr>
                <w:p w14:paraId="5E486B78">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90</w:t>
                  </w:r>
                </w:p>
              </w:tc>
              <w:tc>
                <w:tcPr>
                  <w:tcW w:w="675" w:type="dxa"/>
                  <w:tcBorders>
                    <w:tl2br w:val="nil"/>
                    <w:tr2bl w:val="nil"/>
                  </w:tcBorders>
                  <w:vAlign w:val="center"/>
                </w:tcPr>
                <w:p w14:paraId="38AAF648">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35065ACD">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4CAC23C7">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78F25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05E3BAE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下料车间西侧</w:t>
                  </w:r>
                </w:p>
              </w:tc>
              <w:tc>
                <w:tcPr>
                  <w:tcW w:w="1320" w:type="dxa"/>
                  <w:tcBorders>
                    <w:tl2br w:val="nil"/>
                    <w:tr2bl w:val="nil"/>
                  </w:tcBorders>
                  <w:vAlign w:val="center"/>
                </w:tcPr>
                <w:p w14:paraId="1FD9241B">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电动机</w:t>
                  </w:r>
                </w:p>
              </w:tc>
              <w:tc>
                <w:tcPr>
                  <w:tcW w:w="1020" w:type="dxa"/>
                  <w:tcBorders>
                    <w:tl2br w:val="nil"/>
                    <w:tr2bl w:val="nil"/>
                  </w:tcBorders>
                  <w:shd w:val="clear" w:color="auto" w:fill="auto"/>
                  <w:vAlign w:val="center"/>
                </w:tcPr>
                <w:p w14:paraId="5EC59E3E">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40B5C8C1">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6A3ACC4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30" w:type="dxa"/>
                  <w:tcBorders>
                    <w:tl2br w:val="nil"/>
                    <w:tr2bl w:val="nil"/>
                  </w:tcBorders>
                  <w:vAlign w:val="center"/>
                </w:tcPr>
                <w:p w14:paraId="64EB563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90</w:t>
                  </w:r>
                </w:p>
              </w:tc>
              <w:tc>
                <w:tcPr>
                  <w:tcW w:w="675" w:type="dxa"/>
                  <w:tcBorders>
                    <w:tl2br w:val="nil"/>
                    <w:tr2bl w:val="nil"/>
                  </w:tcBorders>
                  <w:vAlign w:val="center"/>
                </w:tcPr>
                <w:p w14:paraId="08CE9A2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6378CFB6">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0809643B">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36A62F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4095E58E">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下料车间西侧</w:t>
                  </w:r>
                </w:p>
              </w:tc>
              <w:tc>
                <w:tcPr>
                  <w:tcW w:w="1320" w:type="dxa"/>
                  <w:tcBorders>
                    <w:tl2br w:val="nil"/>
                    <w:tr2bl w:val="nil"/>
                  </w:tcBorders>
                  <w:vAlign w:val="center"/>
                </w:tcPr>
                <w:p w14:paraId="7D87B62A">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电动机</w:t>
                  </w:r>
                </w:p>
              </w:tc>
              <w:tc>
                <w:tcPr>
                  <w:tcW w:w="1020" w:type="dxa"/>
                  <w:tcBorders>
                    <w:tl2br w:val="nil"/>
                    <w:tr2bl w:val="nil"/>
                  </w:tcBorders>
                  <w:shd w:val="clear" w:color="auto" w:fill="auto"/>
                  <w:vAlign w:val="center"/>
                </w:tcPr>
                <w:p w14:paraId="1C742D23">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55F1EB36">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5D32E2C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40</w:t>
                  </w:r>
                </w:p>
              </w:tc>
              <w:tc>
                <w:tcPr>
                  <w:tcW w:w="630" w:type="dxa"/>
                  <w:tcBorders>
                    <w:tl2br w:val="nil"/>
                    <w:tr2bl w:val="nil"/>
                  </w:tcBorders>
                  <w:vAlign w:val="center"/>
                </w:tcPr>
                <w:p w14:paraId="1CD1B9E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75" w:type="dxa"/>
                  <w:tcBorders>
                    <w:tl2br w:val="nil"/>
                    <w:tr2bl w:val="nil"/>
                  </w:tcBorders>
                  <w:vAlign w:val="center"/>
                </w:tcPr>
                <w:p w14:paraId="1AC0189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6EAA799F">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44E4EE56">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442FF3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3205C3F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锻造车间西侧</w:t>
                  </w:r>
                </w:p>
              </w:tc>
              <w:tc>
                <w:tcPr>
                  <w:tcW w:w="1320" w:type="dxa"/>
                  <w:tcBorders>
                    <w:tl2br w:val="nil"/>
                    <w:tr2bl w:val="nil"/>
                  </w:tcBorders>
                  <w:vAlign w:val="center"/>
                </w:tcPr>
                <w:p w14:paraId="12EAA5F3">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空压机</w:t>
                  </w:r>
                </w:p>
              </w:tc>
              <w:tc>
                <w:tcPr>
                  <w:tcW w:w="1020" w:type="dxa"/>
                  <w:tcBorders>
                    <w:tl2br w:val="nil"/>
                    <w:tr2bl w:val="nil"/>
                  </w:tcBorders>
                  <w:shd w:val="clear" w:color="auto" w:fill="auto"/>
                  <w:vAlign w:val="center"/>
                </w:tcPr>
                <w:p w14:paraId="26008349">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752F0569">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2C122EA3">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10</w:t>
                  </w:r>
                </w:p>
              </w:tc>
              <w:tc>
                <w:tcPr>
                  <w:tcW w:w="630" w:type="dxa"/>
                  <w:tcBorders>
                    <w:tl2br w:val="nil"/>
                    <w:tr2bl w:val="nil"/>
                  </w:tcBorders>
                  <w:vAlign w:val="center"/>
                </w:tcPr>
                <w:p w14:paraId="522D3A16">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75" w:type="dxa"/>
                  <w:tcBorders>
                    <w:tl2br w:val="nil"/>
                    <w:tr2bl w:val="nil"/>
                  </w:tcBorders>
                  <w:vAlign w:val="center"/>
                </w:tcPr>
                <w:p w14:paraId="2C3E7146">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3098FFD6">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639BD90B">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04178D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474BD63B">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锻造车间西侧</w:t>
                  </w:r>
                </w:p>
              </w:tc>
              <w:tc>
                <w:tcPr>
                  <w:tcW w:w="1320" w:type="dxa"/>
                  <w:tcBorders>
                    <w:tl2br w:val="nil"/>
                    <w:tr2bl w:val="nil"/>
                  </w:tcBorders>
                  <w:vAlign w:val="center"/>
                </w:tcPr>
                <w:p w14:paraId="5FA0144F">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空压机</w:t>
                  </w:r>
                </w:p>
              </w:tc>
              <w:tc>
                <w:tcPr>
                  <w:tcW w:w="1020" w:type="dxa"/>
                  <w:tcBorders>
                    <w:tl2br w:val="nil"/>
                    <w:tr2bl w:val="nil"/>
                  </w:tcBorders>
                  <w:shd w:val="clear" w:color="auto" w:fill="auto"/>
                  <w:vAlign w:val="center"/>
                </w:tcPr>
                <w:p w14:paraId="2AA66E2F">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1BE98C9C">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74AADB9E">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20</w:t>
                  </w:r>
                </w:p>
              </w:tc>
              <w:tc>
                <w:tcPr>
                  <w:tcW w:w="630" w:type="dxa"/>
                  <w:tcBorders>
                    <w:tl2br w:val="nil"/>
                    <w:tr2bl w:val="nil"/>
                  </w:tcBorders>
                  <w:vAlign w:val="center"/>
                </w:tcPr>
                <w:p w14:paraId="2DFEC44F">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75" w:type="dxa"/>
                  <w:tcBorders>
                    <w:tl2br w:val="nil"/>
                    <w:tr2bl w:val="nil"/>
                  </w:tcBorders>
                  <w:vAlign w:val="center"/>
                </w:tcPr>
                <w:p w14:paraId="262F3230">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1668AF29">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0EE6FCAC">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1B4F8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1D41A07B">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下料车间北侧</w:t>
                  </w:r>
                </w:p>
              </w:tc>
              <w:tc>
                <w:tcPr>
                  <w:tcW w:w="1320" w:type="dxa"/>
                  <w:tcBorders>
                    <w:tl2br w:val="nil"/>
                    <w:tr2bl w:val="nil"/>
                  </w:tcBorders>
                  <w:vAlign w:val="center"/>
                </w:tcPr>
                <w:p w14:paraId="28F164A8">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eastAsia="zh-CN"/>
                    </w:rPr>
                    <w:t>空压机</w:t>
                  </w:r>
                </w:p>
              </w:tc>
              <w:tc>
                <w:tcPr>
                  <w:tcW w:w="1020" w:type="dxa"/>
                  <w:tcBorders>
                    <w:tl2br w:val="nil"/>
                    <w:tr2bl w:val="nil"/>
                  </w:tcBorders>
                  <w:shd w:val="clear" w:color="auto" w:fill="auto"/>
                  <w:vAlign w:val="center"/>
                </w:tcPr>
                <w:p w14:paraId="6FF7E062">
                  <w:pPr>
                    <w:bidi w:val="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342C6859">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5377163A">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50</w:t>
                  </w:r>
                </w:p>
              </w:tc>
              <w:tc>
                <w:tcPr>
                  <w:tcW w:w="630" w:type="dxa"/>
                  <w:tcBorders>
                    <w:tl2br w:val="nil"/>
                    <w:tr2bl w:val="nil"/>
                  </w:tcBorders>
                  <w:vAlign w:val="center"/>
                </w:tcPr>
                <w:p w14:paraId="0ED10187">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w:t>
                  </w:r>
                </w:p>
              </w:tc>
              <w:tc>
                <w:tcPr>
                  <w:tcW w:w="675" w:type="dxa"/>
                  <w:tcBorders>
                    <w:tl2br w:val="nil"/>
                    <w:tr2bl w:val="nil"/>
                  </w:tcBorders>
                  <w:vAlign w:val="center"/>
                </w:tcPr>
                <w:p w14:paraId="57B2B9E5">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50332B5E">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23D19284">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0F6BD2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vAlign w:val="center"/>
                </w:tcPr>
                <w:p w14:paraId="1FD844E2">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锻造车间东北侧</w:t>
                  </w:r>
                </w:p>
              </w:tc>
              <w:tc>
                <w:tcPr>
                  <w:tcW w:w="1320" w:type="dxa"/>
                  <w:tcBorders>
                    <w:tl2br w:val="nil"/>
                    <w:tr2bl w:val="nil"/>
                  </w:tcBorders>
                  <w:vAlign w:val="center"/>
                </w:tcPr>
                <w:p w14:paraId="69408E1F">
                  <w:pPr>
                    <w:spacing w:line="240" w:lineRule="auto"/>
                    <w:jc w:val="center"/>
                    <w:rPr>
                      <w:rFonts w:hint="default"/>
                      <w:color w:val="auto"/>
                      <w:sz w:val="18"/>
                      <w:szCs w:val="18"/>
                      <w:lang w:val="en-US" w:eastAsia="zh-CN"/>
                    </w:rPr>
                  </w:pPr>
                  <w:r>
                    <w:rPr>
                      <w:rFonts w:hint="eastAsia"/>
                      <w:color w:val="auto"/>
                      <w:sz w:val="18"/>
                      <w:szCs w:val="18"/>
                      <w:lang w:val="en-US" w:eastAsia="zh-CN"/>
                    </w:rPr>
                    <w:t>风机</w:t>
                  </w:r>
                </w:p>
              </w:tc>
              <w:tc>
                <w:tcPr>
                  <w:tcW w:w="1020" w:type="dxa"/>
                  <w:tcBorders>
                    <w:tl2br w:val="nil"/>
                    <w:tr2bl w:val="nil"/>
                  </w:tcBorders>
                  <w:shd w:val="clear" w:color="auto" w:fill="auto"/>
                  <w:vAlign w:val="center"/>
                </w:tcPr>
                <w:p w14:paraId="0F5931B9">
                  <w:pPr>
                    <w:bidi w:val="0"/>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w:t>
                  </w:r>
                </w:p>
              </w:tc>
              <w:tc>
                <w:tcPr>
                  <w:tcW w:w="1065" w:type="dxa"/>
                  <w:tcBorders>
                    <w:tl2br w:val="nil"/>
                    <w:tr2bl w:val="nil"/>
                  </w:tcBorders>
                  <w:vAlign w:val="center"/>
                </w:tcPr>
                <w:p w14:paraId="192B2DF5">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85</w:t>
                  </w:r>
                </w:p>
              </w:tc>
              <w:tc>
                <w:tcPr>
                  <w:tcW w:w="705" w:type="dxa"/>
                  <w:tcBorders>
                    <w:tl2br w:val="nil"/>
                    <w:tr2bl w:val="nil"/>
                  </w:tcBorders>
                  <w:vAlign w:val="center"/>
                </w:tcPr>
                <w:p w14:paraId="5852AC6A">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5</w:t>
                  </w:r>
                </w:p>
              </w:tc>
              <w:tc>
                <w:tcPr>
                  <w:tcW w:w="630" w:type="dxa"/>
                  <w:tcBorders>
                    <w:tl2br w:val="nil"/>
                    <w:tr2bl w:val="nil"/>
                  </w:tcBorders>
                  <w:vAlign w:val="center"/>
                </w:tcPr>
                <w:p w14:paraId="3A330A2F">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120</w:t>
                  </w:r>
                </w:p>
              </w:tc>
              <w:tc>
                <w:tcPr>
                  <w:tcW w:w="675" w:type="dxa"/>
                  <w:tcBorders>
                    <w:tl2br w:val="nil"/>
                    <w:tr2bl w:val="nil"/>
                  </w:tcBorders>
                  <w:vAlign w:val="center"/>
                </w:tcPr>
                <w:p w14:paraId="1D734454">
                  <w:pPr>
                    <w:pStyle w:val="35"/>
                    <w:bidi w:val="0"/>
                    <w:spacing w:line="240" w:lineRule="auto"/>
                    <w:jc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2</w:t>
                  </w:r>
                </w:p>
              </w:tc>
              <w:tc>
                <w:tcPr>
                  <w:tcW w:w="645" w:type="dxa"/>
                  <w:vMerge w:val="continue"/>
                  <w:tcBorders>
                    <w:tl2br w:val="nil"/>
                    <w:tr2bl w:val="nil"/>
                  </w:tcBorders>
                  <w:vAlign w:val="center"/>
                </w:tcPr>
                <w:p w14:paraId="11501802">
                  <w:pPr>
                    <w:pStyle w:val="35"/>
                    <w:bidi w:val="0"/>
                    <w:spacing w:line="240" w:lineRule="auto"/>
                    <w:jc w:val="center"/>
                    <w:rPr>
                      <w:rFonts w:hint="eastAsia" w:ascii="Times New Roman" w:hAnsi="Times New Roman" w:cs="Times New Roman"/>
                      <w:b w:val="0"/>
                      <w:bCs w:val="0"/>
                      <w:color w:val="auto"/>
                      <w:sz w:val="18"/>
                      <w:szCs w:val="18"/>
                      <w:lang w:val="en-US" w:eastAsia="zh-CN"/>
                    </w:rPr>
                  </w:pPr>
                </w:p>
              </w:tc>
              <w:tc>
                <w:tcPr>
                  <w:tcW w:w="645" w:type="dxa"/>
                  <w:vMerge w:val="continue"/>
                  <w:tcBorders>
                    <w:tl2br w:val="nil"/>
                    <w:tr2bl w:val="nil"/>
                  </w:tcBorders>
                  <w:vAlign w:val="center"/>
                </w:tcPr>
                <w:p w14:paraId="60203B62">
                  <w:pPr>
                    <w:pStyle w:val="35"/>
                    <w:bidi w:val="0"/>
                    <w:spacing w:line="240" w:lineRule="auto"/>
                    <w:jc w:val="center"/>
                    <w:rPr>
                      <w:rFonts w:hint="eastAsia" w:ascii="Times New Roman" w:hAnsi="Times New Roman" w:cs="Times New Roman"/>
                      <w:b w:val="0"/>
                      <w:bCs w:val="0"/>
                      <w:color w:val="auto"/>
                      <w:sz w:val="18"/>
                      <w:szCs w:val="18"/>
                      <w:lang w:val="en-US" w:eastAsia="zh-CN"/>
                    </w:rPr>
                  </w:pPr>
                </w:p>
              </w:tc>
            </w:tr>
            <w:tr w14:paraId="6CCB2D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71" w:type="dxa"/>
                  <w:gridSpan w:val="9"/>
                  <w:tcBorders>
                    <w:tl2br w:val="nil"/>
                    <w:tr2bl w:val="nil"/>
                  </w:tcBorders>
                  <w:vAlign w:val="center"/>
                </w:tcPr>
                <w:p w14:paraId="14633FE9">
                  <w:pPr>
                    <w:pStyle w:val="35"/>
                    <w:bidi w:val="0"/>
                    <w:spacing w:line="240" w:lineRule="auto"/>
                    <w:jc w:val="left"/>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注：设备以锻造车间西北侧为原点。</w:t>
                  </w:r>
                </w:p>
              </w:tc>
            </w:tr>
          </w:tbl>
          <w:p w14:paraId="7AAB2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通过选用低噪声设备、吸声、隔声、合理布局、减振等措施，可使项目产生的噪声源强削减25dB（A），以减轻噪声对周围环境的影响。上述措施到位时，项目地周围噪声可达标排放。</w:t>
            </w:r>
          </w:p>
          <w:p w14:paraId="1ED77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本项目主要采取以下措施对其降噪：</w:t>
            </w:r>
          </w:p>
          <w:p w14:paraId="1788D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①对</w:t>
            </w:r>
            <w:r>
              <w:rPr>
                <w:rFonts w:hint="eastAsia" w:ascii="Times New Roman" w:hAnsi="Times New Roman" w:eastAsia="宋体" w:cs="Times New Roman"/>
                <w:color w:val="auto"/>
                <w:sz w:val="21"/>
                <w:szCs w:val="21"/>
              </w:rPr>
              <w:t>车间</w:t>
            </w:r>
            <w:r>
              <w:rPr>
                <w:rFonts w:hint="default" w:ascii="Times New Roman" w:hAnsi="Times New Roman" w:eastAsia="宋体" w:cs="Times New Roman"/>
                <w:color w:val="auto"/>
                <w:sz w:val="21"/>
                <w:szCs w:val="21"/>
              </w:rPr>
              <w:t>内部进行合理布局，将高噪声设备尽可能布置在远离厂界的位置；</w:t>
            </w:r>
          </w:p>
          <w:p w14:paraId="07250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②采购时尽量选择低噪声水平的设备，从源头上减少噪声排放；</w:t>
            </w:r>
          </w:p>
          <w:p w14:paraId="58F8D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③对高噪声设备采取安装减振、隔声装置的措施，如关键部位加胶垫以减小振动或安装隔声罩。</w:t>
            </w:r>
          </w:p>
          <w:p w14:paraId="74DC8383">
            <w:pPr>
              <w:spacing w:line="360" w:lineRule="auto"/>
              <w:ind w:firstLine="420" w:firstLineChars="200"/>
              <w:rPr>
                <w:rFonts w:hint="eastAsia" w:ascii="Times New Roman" w:hAnsi="Times New Roman" w:cs="Times New Roman"/>
                <w:bCs/>
                <w:color w:val="auto"/>
                <w:spacing w:val="-10"/>
                <w:sz w:val="21"/>
                <w:szCs w:val="21"/>
                <w:lang w:val="en-US" w:eastAsia="zh-CN"/>
              </w:rPr>
            </w:pPr>
            <w:r>
              <w:rPr>
                <w:rFonts w:hint="default" w:ascii="Times New Roman" w:hAnsi="Times New Roman" w:eastAsia="宋体" w:cs="Times New Roman"/>
                <w:color w:val="auto"/>
                <w:sz w:val="21"/>
                <w:szCs w:val="21"/>
              </w:rPr>
              <w:t>（2）</w:t>
            </w:r>
            <w:r>
              <w:rPr>
                <w:rFonts w:hint="eastAsia" w:ascii="Times New Roman" w:hAnsi="Times New Roman" w:cs="Times New Roman"/>
                <w:bCs/>
                <w:color w:val="auto"/>
                <w:spacing w:val="-10"/>
                <w:sz w:val="21"/>
                <w:szCs w:val="21"/>
                <w:lang w:val="en-US" w:eastAsia="zh-CN"/>
              </w:rPr>
              <w:t>声环境影响分析</w:t>
            </w:r>
          </w:p>
          <w:p w14:paraId="7157C408">
            <w:pPr>
              <w:spacing w:line="360" w:lineRule="auto"/>
              <w:ind w:firstLine="476" w:firstLineChars="200"/>
              <w:rPr>
                <w:rFonts w:ascii="宋体" w:hAnsi="宋体" w:eastAsia="宋体" w:cs="宋体"/>
                <w:color w:val="auto"/>
                <w:sz w:val="21"/>
                <w:szCs w:val="21"/>
              </w:rPr>
            </w:pPr>
            <w:r>
              <w:rPr>
                <w:rFonts w:ascii="宋体" w:hAnsi="宋体" w:eastAsia="宋体" w:cs="宋体"/>
                <w:color w:val="auto"/>
                <w:spacing w:val="14"/>
                <w:sz w:val="21"/>
                <w:szCs w:val="21"/>
              </w:rPr>
              <w:t>根据</w:t>
            </w:r>
            <w:r>
              <w:rPr>
                <w:rFonts w:ascii="宋体" w:hAnsi="宋体" w:eastAsia="宋体" w:cs="宋体"/>
                <w:color w:val="auto"/>
                <w:spacing w:val="13"/>
                <w:sz w:val="21"/>
                <w:szCs w:val="21"/>
              </w:rPr>
              <w:t>声</w:t>
            </w:r>
            <w:r>
              <w:rPr>
                <w:rFonts w:ascii="宋体" w:hAnsi="宋体" w:eastAsia="宋体" w:cs="宋体"/>
                <w:color w:val="auto"/>
                <w:spacing w:val="7"/>
                <w:sz w:val="21"/>
                <w:szCs w:val="21"/>
              </w:rPr>
              <w:t>环境评价导则的规定，选用预测模式，应用过程中将根据具体情况作</w:t>
            </w:r>
            <w:r>
              <w:rPr>
                <w:rFonts w:ascii="宋体" w:hAnsi="宋体" w:eastAsia="宋体" w:cs="宋体"/>
                <w:color w:val="auto"/>
                <w:spacing w:val="6"/>
                <w:sz w:val="21"/>
                <w:szCs w:val="21"/>
              </w:rPr>
              <w:t>必</w:t>
            </w:r>
            <w:r>
              <w:rPr>
                <w:rFonts w:ascii="宋体" w:hAnsi="宋体" w:eastAsia="宋体" w:cs="宋体"/>
                <w:color w:val="auto"/>
                <w:spacing w:val="5"/>
                <w:sz w:val="21"/>
                <w:szCs w:val="21"/>
              </w:rPr>
              <w:t>要简化。</w:t>
            </w:r>
          </w:p>
          <w:p w14:paraId="71EBE45A">
            <w:pPr>
              <w:spacing w:line="240" w:lineRule="auto"/>
              <w:ind w:left="586"/>
              <w:rPr>
                <w:rFonts w:ascii="宋体" w:hAnsi="宋体" w:eastAsia="宋体" w:cs="宋体"/>
                <w:color w:val="auto"/>
                <w:sz w:val="21"/>
                <w:szCs w:val="21"/>
              </w:rPr>
            </w:pPr>
            <w:r>
              <w:rPr>
                <w:rFonts w:ascii="宋体" w:hAnsi="宋体" w:eastAsia="宋体" w:cs="宋体"/>
                <w:color w:val="auto"/>
                <w:spacing w:val="17"/>
                <w:sz w:val="21"/>
                <w:szCs w:val="21"/>
              </w:rPr>
              <w:t>①</w:t>
            </w:r>
            <w:r>
              <w:rPr>
                <w:rFonts w:ascii="宋体" w:hAnsi="宋体" w:eastAsia="宋体" w:cs="宋体"/>
                <w:color w:val="auto"/>
                <w:spacing w:val="9"/>
                <w:sz w:val="21"/>
                <w:szCs w:val="21"/>
              </w:rPr>
              <w:t>室外点声源在预测点的倍频带声压级</w:t>
            </w:r>
          </w:p>
          <w:p w14:paraId="6543DE9D">
            <w:pPr>
              <w:spacing w:before="178" w:line="240" w:lineRule="auto"/>
              <w:ind w:left="587"/>
              <w:rPr>
                <w:rFonts w:ascii="宋体" w:hAnsi="宋体" w:eastAsia="宋体" w:cs="宋体"/>
                <w:color w:val="auto"/>
                <w:sz w:val="21"/>
                <w:szCs w:val="21"/>
              </w:rPr>
            </w:pPr>
            <w:r>
              <w:rPr>
                <w:rFonts w:ascii="Times New Roman" w:hAnsi="Times New Roman" w:eastAsia="Times New Roman" w:cs="Times New Roman"/>
                <w:color w:val="auto"/>
                <w:sz w:val="21"/>
                <w:szCs w:val="21"/>
              </w:rPr>
              <w:t>a</w:t>
            </w:r>
            <w:r>
              <w:rPr>
                <w:rFonts w:ascii="Times New Roman" w:hAnsi="Times New Roman" w:eastAsia="Times New Roman" w:cs="Times New Roman"/>
                <w:color w:val="auto"/>
                <w:spacing w:val="12"/>
                <w:sz w:val="21"/>
                <w:szCs w:val="21"/>
              </w:rPr>
              <w:t>.</w:t>
            </w:r>
            <w:r>
              <w:rPr>
                <w:rFonts w:ascii="宋体" w:hAnsi="宋体" w:eastAsia="宋体" w:cs="宋体"/>
                <w:color w:val="auto"/>
                <w:spacing w:val="9"/>
                <w:sz w:val="21"/>
                <w:szCs w:val="21"/>
              </w:rPr>
              <w:t>某个点源在预测点的倍频带声压级</w:t>
            </w:r>
          </w:p>
          <w:p w14:paraId="0A6D3A9E">
            <w:pPr>
              <w:spacing w:before="66" w:line="360" w:lineRule="auto"/>
              <w:ind w:left="2784"/>
              <w:rPr>
                <w:rFonts w:ascii="Times New Roman" w:hAnsi="Times New Roman" w:eastAsia="Times New Roman" w:cs="Times New Roman"/>
                <w:color w:val="auto"/>
                <w:sz w:val="21"/>
                <w:szCs w:val="21"/>
              </w:rPr>
            </w:pPr>
            <w:r>
              <w:rPr>
                <w:rFonts w:ascii="Times New Roman" w:hAnsi="Times New Roman" w:eastAsia="Times New Roman" w:cs="Times New Roman"/>
                <w:i/>
                <w:iCs/>
                <w:color w:val="auto"/>
                <w:position w:val="16"/>
                <w:sz w:val="21"/>
                <w:szCs w:val="21"/>
              </w:rPr>
              <w:t>L</w:t>
            </w:r>
            <w:r>
              <w:rPr>
                <w:rFonts w:ascii="Times New Roman" w:hAnsi="Times New Roman" w:eastAsia="Times New Roman" w:cs="Times New Roman"/>
                <w:i/>
                <w:iCs/>
                <w:color w:val="auto"/>
                <w:position w:val="11"/>
                <w:sz w:val="21"/>
                <w:szCs w:val="21"/>
              </w:rPr>
              <w:t>oct</w:t>
            </w:r>
            <w:r>
              <w:rPr>
                <w:rFonts w:ascii="Times New Roman" w:hAnsi="Times New Roman" w:eastAsia="Times New Roman" w:cs="Times New Roman"/>
                <w:color w:val="auto"/>
                <w:spacing w:val="4"/>
                <w:position w:val="11"/>
                <w:sz w:val="21"/>
                <w:szCs w:val="21"/>
              </w:rPr>
              <w:t xml:space="preserve"> </w:t>
            </w:r>
            <w:r>
              <w:rPr>
                <w:rFonts w:ascii="Times New Roman" w:hAnsi="Times New Roman" w:eastAsia="Times New Roman" w:cs="Times New Roman"/>
                <w:color w:val="auto"/>
                <w:spacing w:val="4"/>
                <w:position w:val="16"/>
                <w:sz w:val="21"/>
                <w:szCs w:val="21"/>
              </w:rPr>
              <w:t>(</w:t>
            </w:r>
            <w:r>
              <w:rPr>
                <w:rFonts w:ascii="Times New Roman" w:hAnsi="Times New Roman" w:eastAsia="Times New Roman" w:cs="Times New Roman"/>
                <w:i/>
                <w:iCs/>
                <w:color w:val="auto"/>
                <w:position w:val="16"/>
                <w:sz w:val="21"/>
                <w:szCs w:val="21"/>
              </w:rPr>
              <w:t>r</w:t>
            </w:r>
            <w:r>
              <w:rPr>
                <w:rFonts w:ascii="Times New Roman" w:hAnsi="Times New Roman" w:eastAsia="Times New Roman" w:cs="Times New Roman"/>
                <w:color w:val="auto"/>
                <w:spacing w:val="4"/>
                <w:position w:val="16"/>
                <w:sz w:val="21"/>
                <w:szCs w:val="21"/>
              </w:rPr>
              <w:t xml:space="preserve">) </w:t>
            </w:r>
            <w:r>
              <w:rPr>
                <w:rFonts w:ascii="Symbol" w:hAnsi="Symbol" w:eastAsia="Symbol" w:cs="Symbol"/>
                <w:color w:val="auto"/>
                <w:spacing w:val="4"/>
                <w:position w:val="16"/>
                <w:sz w:val="21"/>
                <w:szCs w:val="21"/>
              </w:rPr>
              <w:t xml:space="preserve">= </w:t>
            </w:r>
            <w:r>
              <w:rPr>
                <w:rFonts w:ascii="Times New Roman" w:hAnsi="Times New Roman" w:eastAsia="Times New Roman" w:cs="Times New Roman"/>
                <w:i/>
                <w:iCs/>
                <w:color w:val="auto"/>
                <w:position w:val="16"/>
                <w:sz w:val="21"/>
                <w:szCs w:val="21"/>
              </w:rPr>
              <w:t>L</w:t>
            </w:r>
            <w:r>
              <w:rPr>
                <w:rFonts w:ascii="Times New Roman" w:hAnsi="Times New Roman" w:eastAsia="Times New Roman" w:cs="Times New Roman"/>
                <w:i/>
                <w:iCs/>
                <w:color w:val="auto"/>
                <w:position w:val="11"/>
                <w:sz w:val="21"/>
                <w:szCs w:val="21"/>
              </w:rPr>
              <w:t>oct</w:t>
            </w:r>
            <w:r>
              <w:rPr>
                <w:rFonts w:ascii="Times New Roman" w:hAnsi="Times New Roman" w:eastAsia="Times New Roman" w:cs="Times New Roman"/>
                <w:color w:val="auto"/>
                <w:spacing w:val="4"/>
                <w:position w:val="11"/>
                <w:sz w:val="21"/>
                <w:szCs w:val="21"/>
              </w:rPr>
              <w:t xml:space="preserve"> </w:t>
            </w:r>
            <w:r>
              <w:rPr>
                <w:rFonts w:ascii="Times New Roman" w:hAnsi="Times New Roman" w:eastAsia="Times New Roman" w:cs="Times New Roman"/>
                <w:color w:val="auto"/>
                <w:spacing w:val="4"/>
                <w:position w:val="16"/>
                <w:sz w:val="21"/>
                <w:szCs w:val="21"/>
              </w:rPr>
              <w:t>(</w:t>
            </w:r>
            <w:r>
              <w:rPr>
                <w:rFonts w:ascii="Times New Roman" w:hAnsi="Times New Roman" w:eastAsia="Times New Roman" w:cs="Times New Roman"/>
                <w:i/>
                <w:iCs/>
                <w:color w:val="auto"/>
                <w:position w:val="16"/>
                <w:sz w:val="21"/>
                <w:szCs w:val="21"/>
              </w:rPr>
              <w:t>r</w:t>
            </w:r>
            <w:r>
              <w:rPr>
                <w:rFonts w:ascii="Times New Roman" w:hAnsi="Times New Roman" w:eastAsia="Times New Roman" w:cs="Times New Roman"/>
                <w:color w:val="auto"/>
                <w:spacing w:val="3"/>
                <w:position w:val="11"/>
                <w:sz w:val="21"/>
                <w:szCs w:val="21"/>
              </w:rPr>
              <w:t>0</w:t>
            </w:r>
            <w:r>
              <w:rPr>
                <w:rFonts w:ascii="Times New Roman" w:hAnsi="Times New Roman" w:eastAsia="Times New Roman" w:cs="Times New Roman"/>
                <w:color w:val="auto"/>
                <w:spacing w:val="2"/>
                <w:position w:val="11"/>
                <w:sz w:val="21"/>
                <w:szCs w:val="21"/>
              </w:rPr>
              <w:t xml:space="preserve"> </w:t>
            </w:r>
            <w:r>
              <w:rPr>
                <w:rFonts w:ascii="Times New Roman" w:hAnsi="Times New Roman" w:eastAsia="Times New Roman" w:cs="Times New Roman"/>
                <w:color w:val="auto"/>
                <w:spacing w:val="2"/>
                <w:position w:val="16"/>
                <w:sz w:val="21"/>
                <w:szCs w:val="21"/>
              </w:rPr>
              <w:t xml:space="preserve">) </w:t>
            </w:r>
            <w:r>
              <w:rPr>
                <w:rFonts w:ascii="Symbol" w:hAnsi="Symbol" w:eastAsia="Symbol" w:cs="Symbol"/>
                <w:color w:val="auto"/>
                <w:spacing w:val="2"/>
                <w:position w:val="16"/>
                <w:sz w:val="21"/>
                <w:szCs w:val="21"/>
              </w:rPr>
              <w:t xml:space="preserve">- </w:t>
            </w:r>
            <w:r>
              <w:rPr>
                <w:rFonts w:ascii="Times New Roman" w:hAnsi="Times New Roman" w:eastAsia="Times New Roman" w:cs="Times New Roman"/>
                <w:color w:val="auto"/>
                <w:spacing w:val="2"/>
                <w:position w:val="16"/>
                <w:sz w:val="21"/>
                <w:szCs w:val="21"/>
              </w:rPr>
              <w:t>20</w:t>
            </w:r>
            <w:r>
              <w:rPr>
                <w:rFonts w:ascii="Times New Roman" w:hAnsi="Times New Roman" w:eastAsia="Times New Roman" w:cs="Times New Roman"/>
                <w:color w:val="auto"/>
                <w:position w:val="16"/>
                <w:sz w:val="21"/>
                <w:szCs w:val="21"/>
              </w:rPr>
              <w:t>lg</w:t>
            </w:r>
            <w:r>
              <w:rPr>
                <w:rFonts w:ascii="Symbol" w:hAnsi="Symbol" w:eastAsia="Symbol" w:cs="Symbol"/>
                <w:color w:val="auto"/>
                <w:spacing w:val="2"/>
                <w:position w:val="16"/>
                <w:sz w:val="21"/>
                <w:szCs w:val="21"/>
              </w:rPr>
              <w:t>(</w:t>
            </w:r>
            <w:r>
              <w:rPr>
                <w:rFonts w:ascii="Times New Roman" w:hAnsi="Times New Roman" w:eastAsia="Times New Roman" w:cs="Times New Roman"/>
                <w:i/>
                <w:iCs/>
                <w:color w:val="auto"/>
                <w:position w:val="16"/>
                <w:sz w:val="21"/>
                <w:szCs w:val="21"/>
              </w:rPr>
              <w:t>r</w:t>
            </w:r>
            <w:r>
              <w:rPr>
                <w:color w:val="auto"/>
                <w:position w:val="11"/>
                <w:sz w:val="21"/>
                <w:szCs w:val="21"/>
              </w:rPr>
              <w:drawing>
                <wp:inline distT="0" distB="0" distL="0" distR="0">
                  <wp:extent cx="54610" cy="161925"/>
                  <wp:effectExtent l="0" t="0" r="2540" b="9525"/>
                  <wp:docPr id="13" name="IM 7"/>
                  <wp:cNvGraphicFramePr/>
                  <a:graphic xmlns:a="http://schemas.openxmlformats.org/drawingml/2006/main">
                    <a:graphicData uri="http://schemas.openxmlformats.org/drawingml/2006/picture">
                      <pic:pic xmlns:pic="http://schemas.openxmlformats.org/drawingml/2006/picture">
                        <pic:nvPicPr>
                          <pic:cNvPr id="13" name="IM 7"/>
                          <pic:cNvPicPr/>
                        </pic:nvPicPr>
                        <pic:blipFill>
                          <a:blip r:embed="rId11"/>
                          <a:stretch>
                            <a:fillRect/>
                          </a:stretch>
                        </pic:blipFill>
                        <pic:spPr>
                          <a:xfrm>
                            <a:off x="0" y="0"/>
                            <a:ext cx="55022" cy="162293"/>
                          </a:xfrm>
                          <a:prstGeom prst="rect">
                            <a:avLst/>
                          </a:prstGeom>
                        </pic:spPr>
                      </pic:pic>
                    </a:graphicData>
                  </a:graphic>
                </wp:inline>
              </w:drawing>
            </w:r>
            <w:r>
              <w:rPr>
                <w:rFonts w:ascii="Times New Roman" w:hAnsi="Times New Roman" w:eastAsia="Times New Roman" w:cs="Times New Roman"/>
                <w:i/>
                <w:iCs/>
                <w:color w:val="auto"/>
                <w:position w:val="16"/>
                <w:sz w:val="21"/>
                <w:szCs w:val="21"/>
              </w:rPr>
              <w:t>r</w:t>
            </w:r>
            <w:r>
              <w:rPr>
                <w:rFonts w:ascii="Times New Roman" w:hAnsi="Times New Roman" w:eastAsia="Times New Roman" w:cs="Times New Roman"/>
                <w:color w:val="auto"/>
                <w:spacing w:val="2"/>
                <w:position w:val="11"/>
                <w:sz w:val="21"/>
                <w:szCs w:val="21"/>
              </w:rPr>
              <w:t xml:space="preserve">0 </w:t>
            </w:r>
            <w:r>
              <w:rPr>
                <w:rFonts w:ascii="Symbol" w:hAnsi="Symbol" w:eastAsia="Symbol" w:cs="Symbol"/>
                <w:color w:val="auto"/>
                <w:spacing w:val="2"/>
                <w:position w:val="16"/>
                <w:sz w:val="21"/>
                <w:szCs w:val="21"/>
              </w:rPr>
              <w:t xml:space="preserve">) - </w:t>
            </w:r>
            <w:r>
              <w:rPr>
                <w:color w:val="auto"/>
                <w:position w:val="12"/>
                <w:sz w:val="21"/>
                <w:szCs w:val="21"/>
              </w:rPr>
              <w:drawing>
                <wp:inline distT="0" distB="0" distL="0" distR="0">
                  <wp:extent cx="87630" cy="184785"/>
                  <wp:effectExtent l="0" t="0" r="7620" b="4445"/>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12"/>
                          <a:stretch>
                            <a:fillRect/>
                          </a:stretch>
                        </pic:blipFill>
                        <pic:spPr>
                          <a:xfrm>
                            <a:off x="0" y="0"/>
                            <a:ext cx="88235" cy="185045"/>
                          </a:xfrm>
                          <a:prstGeom prst="rect">
                            <a:avLst/>
                          </a:prstGeom>
                        </pic:spPr>
                      </pic:pic>
                    </a:graphicData>
                  </a:graphic>
                </wp:inline>
              </w:drawing>
            </w:r>
            <w:r>
              <w:rPr>
                <w:rFonts w:ascii="Times New Roman" w:hAnsi="Times New Roman" w:eastAsia="Times New Roman" w:cs="Times New Roman"/>
                <w:i/>
                <w:iCs/>
                <w:color w:val="auto"/>
                <w:position w:val="16"/>
                <w:sz w:val="21"/>
                <w:szCs w:val="21"/>
              </w:rPr>
              <w:t>L</w:t>
            </w:r>
            <w:r>
              <w:rPr>
                <w:rFonts w:ascii="Times New Roman" w:hAnsi="Times New Roman" w:eastAsia="Times New Roman" w:cs="Times New Roman"/>
                <w:i/>
                <w:iCs/>
                <w:color w:val="auto"/>
                <w:position w:val="11"/>
                <w:sz w:val="21"/>
                <w:szCs w:val="21"/>
              </w:rPr>
              <w:t>oct</w:t>
            </w:r>
          </w:p>
          <w:p w14:paraId="450AF0C4">
            <w:pPr>
              <w:spacing w:line="240" w:lineRule="auto"/>
              <w:ind w:left="592"/>
              <w:rPr>
                <w:rFonts w:ascii="宋体" w:hAnsi="宋体" w:eastAsia="宋体" w:cs="宋体"/>
                <w:color w:val="auto"/>
                <w:sz w:val="21"/>
                <w:szCs w:val="21"/>
              </w:rPr>
            </w:pPr>
            <w:r>
              <w:rPr>
                <w:rFonts w:ascii="宋体" w:hAnsi="宋体" w:eastAsia="宋体" w:cs="宋体"/>
                <w:color w:val="auto"/>
                <w:spacing w:val="4"/>
                <w:position w:val="1"/>
                <w:sz w:val="21"/>
                <w:szCs w:val="21"/>
              </w:rPr>
              <w:t>式中：</w:t>
            </w:r>
            <w:r>
              <w:rPr>
                <w:rFonts w:ascii="Times New Roman" w:hAnsi="Times New Roman" w:eastAsia="Times New Roman" w:cs="Times New Roman"/>
                <w:color w:val="auto"/>
                <w:position w:val="1"/>
                <w:sz w:val="21"/>
                <w:szCs w:val="21"/>
              </w:rPr>
              <w:t>L</w:t>
            </w:r>
            <w:r>
              <w:rPr>
                <w:rFonts w:ascii="Times New Roman" w:hAnsi="Times New Roman" w:eastAsia="Times New Roman" w:cs="Times New Roman"/>
                <w:color w:val="auto"/>
                <w:sz w:val="21"/>
                <w:szCs w:val="21"/>
              </w:rPr>
              <w:t>oct</w:t>
            </w:r>
            <w:r>
              <w:rPr>
                <w:rFonts w:ascii="Times New Roman" w:hAnsi="Times New Roman" w:eastAsia="Times New Roman" w:cs="Times New Roman"/>
                <w:color w:val="auto"/>
                <w:spacing w:val="4"/>
                <w:sz w:val="21"/>
                <w:szCs w:val="21"/>
              </w:rPr>
              <w:t xml:space="preserve">   </w:t>
            </w:r>
            <w:r>
              <w:rPr>
                <w:rFonts w:ascii="宋体" w:hAnsi="宋体" w:eastAsia="宋体" w:cs="宋体"/>
                <w:color w:val="auto"/>
                <w:spacing w:val="4"/>
                <w:position w:val="1"/>
                <w:sz w:val="21"/>
                <w:szCs w:val="21"/>
              </w:rPr>
              <w:t>(</w:t>
            </w:r>
            <w:r>
              <w:rPr>
                <w:rFonts w:ascii="Times New Roman" w:hAnsi="Times New Roman" w:eastAsia="Times New Roman" w:cs="Times New Roman"/>
                <w:color w:val="auto"/>
                <w:position w:val="1"/>
                <w:sz w:val="21"/>
                <w:szCs w:val="21"/>
              </w:rPr>
              <w:t>r</w:t>
            </w:r>
            <w:r>
              <w:rPr>
                <w:rFonts w:ascii="Times New Roman" w:hAnsi="Times New Roman" w:eastAsia="Times New Roman" w:cs="Times New Roman"/>
                <w:color w:val="auto"/>
                <w:spacing w:val="4"/>
                <w:position w:val="1"/>
                <w:sz w:val="21"/>
                <w:szCs w:val="21"/>
              </w:rPr>
              <w:t xml:space="preserve"> </w:t>
            </w:r>
            <w:r>
              <w:rPr>
                <w:rFonts w:ascii="宋体" w:hAnsi="宋体" w:eastAsia="宋体" w:cs="宋体"/>
                <w:color w:val="auto"/>
                <w:spacing w:val="4"/>
                <w:position w:val="1"/>
                <w:sz w:val="21"/>
                <w:szCs w:val="21"/>
              </w:rPr>
              <w:t xml:space="preserve">) </w:t>
            </w:r>
            <w:r>
              <w:rPr>
                <w:rFonts w:ascii="Times New Roman" w:hAnsi="Times New Roman" w:eastAsia="Times New Roman" w:cs="Times New Roman"/>
                <w:color w:val="auto"/>
                <w:spacing w:val="4"/>
                <w:position w:val="1"/>
                <w:sz w:val="21"/>
                <w:szCs w:val="21"/>
              </w:rPr>
              <w:t xml:space="preserve">—— </w:t>
            </w:r>
            <w:r>
              <w:rPr>
                <w:rFonts w:ascii="宋体" w:hAnsi="宋体" w:eastAsia="宋体" w:cs="宋体"/>
                <w:color w:val="auto"/>
                <w:spacing w:val="4"/>
                <w:position w:val="1"/>
                <w:sz w:val="21"/>
                <w:szCs w:val="21"/>
              </w:rPr>
              <w:t>点声源在预测点产生的倍频带声压级</w:t>
            </w:r>
            <w:r>
              <w:rPr>
                <w:rFonts w:ascii="宋体" w:hAnsi="宋体" w:eastAsia="宋体" w:cs="宋体"/>
                <w:color w:val="auto"/>
                <w:spacing w:val="2"/>
                <w:position w:val="1"/>
                <w:sz w:val="21"/>
                <w:szCs w:val="21"/>
              </w:rPr>
              <w:t>；</w:t>
            </w:r>
          </w:p>
          <w:p w14:paraId="78CA6DCC">
            <w:pPr>
              <w:spacing w:before="145" w:line="240" w:lineRule="auto"/>
              <w:ind w:left="1303"/>
              <w:outlineLvl w:val="0"/>
              <w:rPr>
                <w:rFonts w:ascii="宋体" w:hAnsi="宋体" w:eastAsia="宋体" w:cs="宋体"/>
                <w:color w:val="auto"/>
                <w:sz w:val="21"/>
                <w:szCs w:val="21"/>
              </w:rPr>
            </w:pPr>
            <w:r>
              <w:rPr>
                <w:rFonts w:ascii="Times New Roman" w:hAnsi="Times New Roman" w:eastAsia="Times New Roman" w:cs="Times New Roman"/>
                <w:color w:val="auto"/>
                <w:position w:val="1"/>
                <w:sz w:val="21"/>
                <w:szCs w:val="21"/>
              </w:rPr>
              <w:t>L</w:t>
            </w:r>
            <w:r>
              <w:rPr>
                <w:rFonts w:ascii="Times New Roman" w:hAnsi="Times New Roman" w:eastAsia="Times New Roman" w:cs="Times New Roman"/>
                <w:color w:val="auto"/>
                <w:sz w:val="21"/>
                <w:szCs w:val="21"/>
              </w:rPr>
              <w:t>oct</w:t>
            </w:r>
            <w:r>
              <w:rPr>
                <w:rFonts w:ascii="Times New Roman" w:hAnsi="Times New Roman" w:eastAsia="Times New Roman" w:cs="Times New Roman"/>
                <w:color w:val="auto"/>
                <w:spacing w:val="6"/>
                <w:sz w:val="21"/>
                <w:szCs w:val="21"/>
              </w:rPr>
              <w:t xml:space="preserve">   </w:t>
            </w:r>
            <w:r>
              <w:rPr>
                <w:rFonts w:ascii="宋体" w:hAnsi="宋体" w:eastAsia="宋体" w:cs="宋体"/>
                <w:color w:val="auto"/>
                <w:spacing w:val="5"/>
                <w:position w:val="1"/>
                <w:sz w:val="21"/>
                <w:szCs w:val="21"/>
              </w:rPr>
              <w:t>(</w:t>
            </w:r>
            <w:r>
              <w:rPr>
                <w:rFonts w:ascii="Times New Roman" w:hAnsi="Times New Roman" w:eastAsia="Times New Roman" w:cs="Times New Roman"/>
                <w:color w:val="auto"/>
                <w:position w:val="1"/>
                <w:sz w:val="21"/>
                <w:szCs w:val="21"/>
              </w:rPr>
              <w:t>r</w:t>
            </w:r>
            <w:r>
              <w:rPr>
                <w:rFonts w:ascii="Times New Roman" w:hAnsi="Times New Roman" w:eastAsia="Times New Roman" w:cs="Times New Roman"/>
                <w:color w:val="auto"/>
                <w:spacing w:val="3"/>
                <w:sz w:val="21"/>
                <w:szCs w:val="21"/>
              </w:rPr>
              <w:t xml:space="preserve">0 </w:t>
            </w:r>
            <w:r>
              <w:rPr>
                <w:rFonts w:ascii="宋体" w:hAnsi="宋体" w:eastAsia="宋体" w:cs="宋体"/>
                <w:color w:val="auto"/>
                <w:spacing w:val="3"/>
                <w:position w:val="1"/>
                <w:sz w:val="21"/>
                <w:szCs w:val="21"/>
              </w:rPr>
              <w:t xml:space="preserve">) </w:t>
            </w:r>
            <w:r>
              <w:rPr>
                <w:rFonts w:ascii="Times New Roman" w:hAnsi="Times New Roman" w:eastAsia="Times New Roman" w:cs="Times New Roman"/>
                <w:color w:val="auto"/>
                <w:spacing w:val="3"/>
                <w:position w:val="1"/>
                <w:sz w:val="21"/>
                <w:szCs w:val="21"/>
              </w:rPr>
              <w:t>——</w:t>
            </w:r>
            <w:r>
              <w:rPr>
                <w:rFonts w:ascii="宋体" w:hAnsi="宋体" w:eastAsia="宋体" w:cs="宋体"/>
                <w:color w:val="auto"/>
                <w:spacing w:val="3"/>
                <w:position w:val="1"/>
                <w:sz w:val="21"/>
                <w:szCs w:val="21"/>
              </w:rPr>
              <w:t xml:space="preserve">参考位置 </w:t>
            </w:r>
            <w:r>
              <w:rPr>
                <w:rFonts w:ascii="Times New Roman" w:hAnsi="Times New Roman" w:eastAsia="Times New Roman" w:cs="Times New Roman"/>
                <w:color w:val="auto"/>
                <w:position w:val="1"/>
                <w:sz w:val="21"/>
                <w:szCs w:val="21"/>
              </w:rPr>
              <w:t>r</w:t>
            </w:r>
            <w:r>
              <w:rPr>
                <w:rFonts w:ascii="Times New Roman" w:hAnsi="Times New Roman" w:eastAsia="Times New Roman" w:cs="Times New Roman"/>
                <w:color w:val="auto"/>
                <w:spacing w:val="3"/>
                <w:sz w:val="21"/>
                <w:szCs w:val="21"/>
              </w:rPr>
              <w:t xml:space="preserve">0 </w:t>
            </w:r>
            <w:r>
              <w:rPr>
                <w:rFonts w:ascii="宋体" w:hAnsi="宋体" w:eastAsia="宋体" w:cs="宋体"/>
                <w:color w:val="auto"/>
                <w:spacing w:val="3"/>
                <w:position w:val="1"/>
                <w:sz w:val="21"/>
                <w:szCs w:val="21"/>
              </w:rPr>
              <w:t>处的倍频带声压级；</w:t>
            </w:r>
          </w:p>
          <w:p w14:paraId="4BD1412A">
            <w:pPr>
              <w:spacing w:before="146" w:line="240" w:lineRule="auto"/>
              <w:ind w:left="1300"/>
              <w:rPr>
                <w:rFonts w:ascii="宋体" w:hAnsi="宋体" w:eastAsia="宋体" w:cs="宋体"/>
                <w:color w:val="auto"/>
                <w:sz w:val="21"/>
                <w:szCs w:val="21"/>
              </w:rPr>
            </w:pPr>
            <w:r>
              <w:rPr>
                <w:rFonts w:ascii="Times New Roman" w:hAnsi="Times New Roman" w:eastAsia="Times New Roman" w:cs="Times New Roman"/>
                <w:color w:val="auto"/>
                <w:position w:val="17"/>
                <w:sz w:val="21"/>
                <w:szCs w:val="21"/>
              </w:rPr>
              <w:t>r</w:t>
            </w:r>
            <w:r>
              <w:rPr>
                <w:rFonts w:ascii="Times New Roman" w:hAnsi="Times New Roman" w:eastAsia="Times New Roman" w:cs="Times New Roman"/>
                <w:color w:val="auto"/>
                <w:spacing w:val="10"/>
                <w:position w:val="17"/>
                <w:sz w:val="21"/>
                <w:szCs w:val="21"/>
              </w:rPr>
              <w:t>——</w:t>
            </w:r>
            <w:r>
              <w:rPr>
                <w:rFonts w:ascii="宋体" w:hAnsi="宋体" w:eastAsia="宋体" w:cs="宋体"/>
                <w:color w:val="auto"/>
                <w:spacing w:val="10"/>
                <w:position w:val="17"/>
                <w:sz w:val="21"/>
                <w:szCs w:val="21"/>
              </w:rPr>
              <w:t>预测点距声源的距离，</w:t>
            </w:r>
            <w:r>
              <w:rPr>
                <w:rFonts w:ascii="Times New Roman" w:hAnsi="Times New Roman" w:eastAsia="Times New Roman" w:cs="Times New Roman"/>
                <w:color w:val="auto"/>
                <w:position w:val="17"/>
                <w:sz w:val="21"/>
                <w:szCs w:val="21"/>
              </w:rPr>
              <w:t>m</w:t>
            </w:r>
            <w:r>
              <w:rPr>
                <w:rFonts w:ascii="宋体" w:hAnsi="宋体" w:eastAsia="宋体" w:cs="宋体"/>
                <w:color w:val="auto"/>
                <w:spacing w:val="8"/>
                <w:position w:val="17"/>
                <w:sz w:val="21"/>
                <w:szCs w:val="21"/>
              </w:rPr>
              <w:t>；</w:t>
            </w:r>
          </w:p>
          <w:p w14:paraId="679D81B1">
            <w:pPr>
              <w:spacing w:line="240" w:lineRule="auto"/>
              <w:ind w:left="1300"/>
              <w:rPr>
                <w:rFonts w:ascii="宋体" w:hAnsi="宋体" w:eastAsia="宋体" w:cs="宋体"/>
                <w:color w:val="auto"/>
                <w:sz w:val="21"/>
                <w:szCs w:val="21"/>
              </w:rPr>
            </w:pPr>
            <w:r>
              <w:rPr>
                <w:rFonts w:ascii="Times New Roman" w:hAnsi="Times New Roman" w:eastAsia="Times New Roman" w:cs="Times New Roman"/>
                <w:color w:val="auto"/>
                <w:sz w:val="21"/>
                <w:szCs w:val="21"/>
              </w:rPr>
              <w:t>r</w:t>
            </w:r>
            <w:r>
              <w:rPr>
                <w:rFonts w:ascii="Times New Roman" w:hAnsi="Times New Roman" w:eastAsia="Times New Roman" w:cs="Times New Roman"/>
                <w:color w:val="auto"/>
                <w:spacing w:val="14"/>
                <w:position w:val="-1"/>
                <w:sz w:val="21"/>
                <w:szCs w:val="21"/>
              </w:rPr>
              <w:t>0</w:t>
            </w:r>
            <w:r>
              <w:rPr>
                <w:rFonts w:ascii="Times New Roman" w:hAnsi="Times New Roman" w:eastAsia="Times New Roman" w:cs="Times New Roman"/>
                <w:color w:val="auto"/>
                <w:spacing w:val="9"/>
                <w:sz w:val="21"/>
                <w:szCs w:val="21"/>
              </w:rPr>
              <w:t>——</w:t>
            </w:r>
            <w:r>
              <w:rPr>
                <w:rFonts w:ascii="宋体" w:hAnsi="宋体" w:eastAsia="宋体" w:cs="宋体"/>
                <w:color w:val="auto"/>
                <w:spacing w:val="9"/>
                <w:sz w:val="21"/>
                <w:szCs w:val="21"/>
              </w:rPr>
              <w:t>参考位置距声源的距离，</w:t>
            </w:r>
            <w:r>
              <w:rPr>
                <w:rFonts w:ascii="Times New Roman" w:hAnsi="Times New Roman" w:eastAsia="Times New Roman" w:cs="Times New Roman"/>
                <w:color w:val="auto"/>
                <w:sz w:val="21"/>
                <w:szCs w:val="21"/>
              </w:rPr>
              <w:t>m</w:t>
            </w:r>
            <w:r>
              <w:rPr>
                <w:rFonts w:ascii="宋体" w:hAnsi="宋体" w:eastAsia="宋体" w:cs="宋体"/>
                <w:color w:val="auto"/>
                <w:spacing w:val="9"/>
                <w:sz w:val="21"/>
                <w:szCs w:val="21"/>
              </w:rPr>
              <w:t>；</w:t>
            </w:r>
          </w:p>
          <w:p w14:paraId="14DA8C70">
            <w:pPr>
              <w:spacing w:before="176" w:line="240" w:lineRule="auto"/>
              <w:ind w:firstLine="1190" w:firstLineChars="500"/>
              <w:rPr>
                <w:rFonts w:hint="default" w:ascii="宋体" w:hAnsi="宋体" w:eastAsia="宋体" w:cs="宋体"/>
                <w:color w:val="auto"/>
                <w:spacing w:val="10"/>
                <w:position w:val="15"/>
                <w:sz w:val="21"/>
                <w:szCs w:val="21"/>
                <w:lang w:val="en-US" w:eastAsia="zh-CN"/>
              </w:rPr>
            </w:pPr>
            <w:r>
              <w:rPr>
                <w:rFonts w:ascii="Times New Roman" w:hAnsi="Times New Roman" w:eastAsia="Times New Roman" w:cs="Times New Roman"/>
                <w:color w:val="auto"/>
                <w:spacing w:val="14"/>
                <w:position w:val="15"/>
                <w:sz w:val="21"/>
                <w:szCs w:val="21"/>
              </w:rPr>
              <w:t>Δ</w:t>
            </w:r>
            <w:r>
              <w:rPr>
                <w:rFonts w:ascii="Times New Roman" w:hAnsi="Times New Roman" w:eastAsia="Times New Roman" w:cs="Times New Roman"/>
                <w:color w:val="auto"/>
                <w:position w:val="15"/>
                <w:sz w:val="21"/>
                <w:szCs w:val="21"/>
              </w:rPr>
              <w:t>L</w:t>
            </w:r>
            <w:r>
              <w:rPr>
                <w:rFonts w:ascii="Times New Roman" w:hAnsi="Times New Roman" w:eastAsia="Times New Roman" w:cs="Times New Roman"/>
                <w:color w:val="auto"/>
                <w:position w:val="14"/>
                <w:sz w:val="21"/>
                <w:szCs w:val="21"/>
              </w:rPr>
              <w:t>oct</w:t>
            </w:r>
            <w:r>
              <w:rPr>
                <w:rFonts w:ascii="Times New Roman" w:hAnsi="Times New Roman" w:eastAsia="Times New Roman" w:cs="Times New Roman"/>
                <w:color w:val="auto"/>
                <w:spacing w:val="10"/>
                <w:position w:val="15"/>
                <w:sz w:val="21"/>
                <w:szCs w:val="21"/>
              </w:rPr>
              <w:t>——</w:t>
            </w:r>
            <w:r>
              <w:rPr>
                <w:rFonts w:ascii="宋体" w:hAnsi="宋体" w:eastAsia="宋体" w:cs="宋体"/>
                <w:color w:val="auto"/>
                <w:spacing w:val="10"/>
                <w:position w:val="15"/>
                <w:sz w:val="21"/>
                <w:szCs w:val="21"/>
              </w:rPr>
              <w:t>各种因素引起的衰减量，包括声屏障、空气吸收和</w:t>
            </w:r>
            <w:r>
              <w:rPr>
                <w:rFonts w:hint="eastAsia" w:ascii="宋体" w:hAnsi="宋体" w:eastAsia="宋体" w:cs="宋体"/>
                <w:color w:val="auto"/>
                <w:spacing w:val="10"/>
                <w:position w:val="15"/>
                <w:sz w:val="21"/>
                <w:szCs w:val="21"/>
                <w:lang w:val="en-US" w:eastAsia="zh-CN"/>
              </w:rPr>
              <w:t>地面效应引起的衰减，其计算方式分别为：</w:t>
            </w:r>
          </w:p>
          <w:p w14:paraId="54C64E57">
            <w:pPr>
              <w:spacing w:before="65" w:line="360" w:lineRule="auto"/>
              <w:ind w:firstLine="2349"/>
              <w:textAlignment w:val="center"/>
              <w:rPr>
                <w:color w:val="auto"/>
                <w:sz w:val="21"/>
                <w:szCs w:val="21"/>
              </w:rPr>
            </w:pPr>
            <w:r>
              <w:rPr>
                <w:color w:val="auto"/>
                <w:sz w:val="21"/>
                <w:szCs w:val="21"/>
              </w:rPr>
              <w:drawing>
                <wp:inline distT="0" distB="0" distL="0" distR="0">
                  <wp:extent cx="2532380" cy="403225"/>
                  <wp:effectExtent l="0" t="0" r="1270" b="15875"/>
                  <wp:docPr id="19" name="IM 9"/>
                  <wp:cNvGraphicFramePr/>
                  <a:graphic xmlns:a="http://schemas.openxmlformats.org/drawingml/2006/main">
                    <a:graphicData uri="http://schemas.openxmlformats.org/drawingml/2006/picture">
                      <pic:pic xmlns:pic="http://schemas.openxmlformats.org/drawingml/2006/picture">
                        <pic:nvPicPr>
                          <pic:cNvPr id="19" name="IM 9"/>
                          <pic:cNvPicPr/>
                        </pic:nvPicPr>
                        <pic:blipFill>
                          <a:blip r:embed="rId13"/>
                          <a:stretch>
                            <a:fillRect/>
                          </a:stretch>
                        </pic:blipFill>
                        <pic:spPr>
                          <a:xfrm>
                            <a:off x="0" y="0"/>
                            <a:ext cx="2532887" cy="403859"/>
                          </a:xfrm>
                          <a:prstGeom prst="rect">
                            <a:avLst/>
                          </a:prstGeom>
                        </pic:spPr>
                      </pic:pic>
                    </a:graphicData>
                  </a:graphic>
                </wp:inline>
              </w:drawing>
            </w:r>
          </w:p>
          <w:p w14:paraId="65F65FCB">
            <w:pPr>
              <w:spacing w:before="145" w:line="360" w:lineRule="auto"/>
              <w:ind w:left="3489"/>
              <w:rPr>
                <w:rFonts w:ascii="宋体" w:hAnsi="宋体" w:eastAsia="宋体" w:cs="宋体"/>
                <w:color w:val="auto"/>
                <w:sz w:val="21"/>
                <w:szCs w:val="21"/>
              </w:rPr>
            </w:pPr>
            <w:r>
              <w:rPr>
                <w:rFonts w:ascii="Times New Roman" w:hAnsi="Times New Roman" w:eastAsia="Times New Roman" w:cs="Times New Roman"/>
                <w:color w:val="auto"/>
                <w:position w:val="15"/>
                <w:sz w:val="21"/>
                <w:szCs w:val="21"/>
              </w:rPr>
              <w:t>A</w:t>
            </w:r>
            <w:r>
              <w:rPr>
                <w:rFonts w:ascii="Times New Roman" w:hAnsi="Times New Roman" w:eastAsia="Times New Roman" w:cs="Times New Roman"/>
                <w:color w:val="auto"/>
                <w:position w:val="14"/>
                <w:sz w:val="21"/>
                <w:szCs w:val="21"/>
              </w:rPr>
              <w:t>oct</w:t>
            </w:r>
            <w:r>
              <w:rPr>
                <w:rFonts w:ascii="Times New Roman" w:hAnsi="Times New Roman" w:eastAsia="Times New Roman" w:cs="Times New Roman"/>
                <w:color w:val="auto"/>
                <w:spacing w:val="7"/>
                <w:position w:val="14"/>
                <w:sz w:val="21"/>
                <w:szCs w:val="21"/>
              </w:rPr>
              <w:t xml:space="preserve"> </w:t>
            </w:r>
            <w:r>
              <w:rPr>
                <w:rFonts w:ascii="Times New Roman" w:hAnsi="Times New Roman" w:eastAsia="Times New Roman" w:cs="Times New Roman"/>
                <w:color w:val="auto"/>
                <w:position w:val="14"/>
                <w:sz w:val="21"/>
                <w:szCs w:val="21"/>
              </w:rPr>
              <w:t>atm</w:t>
            </w:r>
            <w:r>
              <w:rPr>
                <w:rFonts w:ascii="Times New Roman" w:hAnsi="Times New Roman" w:eastAsia="Times New Roman" w:cs="Times New Roman"/>
                <w:color w:val="auto"/>
                <w:spacing w:val="5"/>
                <w:position w:val="15"/>
                <w:sz w:val="21"/>
                <w:szCs w:val="21"/>
              </w:rPr>
              <w:t>=α(</w:t>
            </w:r>
            <w:r>
              <w:rPr>
                <w:rFonts w:ascii="Times New Roman" w:hAnsi="Times New Roman" w:eastAsia="Times New Roman" w:cs="Times New Roman"/>
                <w:color w:val="auto"/>
                <w:position w:val="15"/>
                <w:sz w:val="21"/>
                <w:szCs w:val="21"/>
              </w:rPr>
              <w:t>r</w:t>
            </w:r>
            <w:r>
              <w:rPr>
                <w:rFonts w:ascii="Times New Roman" w:hAnsi="Times New Roman" w:eastAsia="Times New Roman" w:cs="Times New Roman"/>
                <w:color w:val="auto"/>
                <w:spacing w:val="5"/>
                <w:position w:val="15"/>
                <w:sz w:val="21"/>
                <w:szCs w:val="21"/>
              </w:rPr>
              <w:t>-</w:t>
            </w:r>
            <w:r>
              <w:rPr>
                <w:rFonts w:ascii="Times New Roman" w:hAnsi="Times New Roman" w:eastAsia="Times New Roman" w:cs="Times New Roman"/>
                <w:color w:val="auto"/>
                <w:position w:val="15"/>
                <w:sz w:val="21"/>
                <w:szCs w:val="21"/>
              </w:rPr>
              <w:t>r</w:t>
            </w:r>
            <w:r>
              <w:rPr>
                <w:rFonts w:ascii="Times New Roman" w:hAnsi="Times New Roman" w:eastAsia="Times New Roman" w:cs="Times New Roman"/>
                <w:color w:val="auto"/>
                <w:spacing w:val="5"/>
                <w:position w:val="14"/>
                <w:sz w:val="21"/>
                <w:szCs w:val="21"/>
              </w:rPr>
              <w:t>0</w:t>
            </w:r>
            <w:r>
              <w:rPr>
                <w:rFonts w:ascii="Times New Roman" w:hAnsi="Times New Roman" w:eastAsia="Times New Roman" w:cs="Times New Roman"/>
                <w:color w:val="auto"/>
                <w:spacing w:val="5"/>
                <w:position w:val="15"/>
                <w:sz w:val="21"/>
                <w:szCs w:val="21"/>
              </w:rPr>
              <w:t>)/100</w:t>
            </w:r>
            <w:r>
              <w:rPr>
                <w:rFonts w:ascii="宋体" w:hAnsi="宋体" w:eastAsia="宋体" w:cs="宋体"/>
                <w:color w:val="auto"/>
                <w:spacing w:val="5"/>
                <w:position w:val="15"/>
                <w:sz w:val="21"/>
                <w:szCs w:val="21"/>
              </w:rPr>
              <w:t>；</w:t>
            </w:r>
          </w:p>
          <w:p w14:paraId="020AE4A8">
            <w:pPr>
              <w:spacing w:line="360" w:lineRule="auto"/>
              <w:ind w:left="3734"/>
              <w:rPr>
                <w:rFonts w:ascii="宋体" w:hAnsi="宋体" w:eastAsia="宋体" w:cs="宋体"/>
                <w:color w:val="auto"/>
                <w:sz w:val="21"/>
                <w:szCs w:val="21"/>
              </w:rPr>
            </w:pPr>
            <w:r>
              <w:rPr>
                <w:rFonts w:ascii="Times New Roman" w:hAnsi="Times New Roman" w:eastAsia="Times New Roman" w:cs="Times New Roman"/>
                <w:color w:val="auto"/>
                <w:position w:val="4"/>
                <w:sz w:val="21"/>
                <w:szCs w:val="21"/>
              </w:rPr>
              <w:t>A</w:t>
            </w:r>
            <w:r>
              <w:rPr>
                <w:rFonts w:ascii="Times New Roman" w:hAnsi="Times New Roman" w:eastAsia="Times New Roman" w:cs="Times New Roman"/>
                <w:color w:val="auto"/>
                <w:position w:val="3"/>
                <w:sz w:val="21"/>
                <w:szCs w:val="21"/>
              </w:rPr>
              <w:t>exc</w:t>
            </w:r>
            <w:r>
              <w:rPr>
                <w:rFonts w:ascii="Times New Roman" w:hAnsi="Times New Roman" w:eastAsia="Times New Roman" w:cs="Times New Roman"/>
                <w:color w:val="auto"/>
                <w:spacing w:val="7"/>
                <w:position w:val="4"/>
                <w:sz w:val="21"/>
                <w:szCs w:val="21"/>
              </w:rPr>
              <w:t>=</w:t>
            </w:r>
            <w:r>
              <w:rPr>
                <w:rFonts w:ascii="Times New Roman" w:hAnsi="Times New Roman" w:eastAsia="Times New Roman" w:cs="Times New Roman"/>
                <w:color w:val="auto"/>
                <w:spacing w:val="6"/>
                <w:position w:val="4"/>
                <w:sz w:val="21"/>
                <w:szCs w:val="21"/>
              </w:rPr>
              <w:t>5</w:t>
            </w:r>
            <w:r>
              <w:rPr>
                <w:rFonts w:ascii="Times New Roman" w:hAnsi="Times New Roman" w:eastAsia="Times New Roman" w:cs="Times New Roman"/>
                <w:color w:val="auto"/>
                <w:position w:val="4"/>
                <w:sz w:val="21"/>
                <w:szCs w:val="21"/>
              </w:rPr>
              <w:t>lg</w:t>
            </w:r>
            <w:r>
              <w:rPr>
                <w:rFonts w:ascii="Times New Roman" w:hAnsi="Times New Roman" w:eastAsia="Times New Roman" w:cs="Times New Roman"/>
                <w:color w:val="auto"/>
                <w:spacing w:val="6"/>
                <w:position w:val="4"/>
                <w:sz w:val="21"/>
                <w:szCs w:val="21"/>
              </w:rPr>
              <w:t>(</w:t>
            </w:r>
            <w:r>
              <w:rPr>
                <w:rFonts w:ascii="Times New Roman" w:hAnsi="Times New Roman" w:eastAsia="Times New Roman" w:cs="Times New Roman"/>
                <w:color w:val="auto"/>
                <w:position w:val="4"/>
                <w:sz w:val="21"/>
                <w:szCs w:val="21"/>
              </w:rPr>
              <w:t>r</w:t>
            </w:r>
            <w:r>
              <w:rPr>
                <w:rFonts w:ascii="Times New Roman" w:hAnsi="Times New Roman" w:eastAsia="Times New Roman" w:cs="Times New Roman"/>
                <w:color w:val="auto"/>
                <w:spacing w:val="6"/>
                <w:position w:val="4"/>
                <w:sz w:val="21"/>
                <w:szCs w:val="21"/>
              </w:rPr>
              <w:t>-</w:t>
            </w:r>
            <w:r>
              <w:rPr>
                <w:rFonts w:ascii="Times New Roman" w:hAnsi="Times New Roman" w:eastAsia="Times New Roman" w:cs="Times New Roman"/>
                <w:color w:val="auto"/>
                <w:position w:val="4"/>
                <w:sz w:val="21"/>
                <w:szCs w:val="21"/>
              </w:rPr>
              <w:t>r</w:t>
            </w:r>
            <w:r>
              <w:rPr>
                <w:rFonts w:ascii="Times New Roman" w:hAnsi="Times New Roman" w:eastAsia="Times New Roman" w:cs="Times New Roman"/>
                <w:color w:val="auto"/>
                <w:spacing w:val="6"/>
                <w:position w:val="3"/>
                <w:sz w:val="21"/>
                <w:szCs w:val="21"/>
              </w:rPr>
              <w:t>0</w:t>
            </w:r>
            <w:r>
              <w:rPr>
                <w:rFonts w:ascii="Times New Roman" w:hAnsi="Times New Roman" w:eastAsia="Times New Roman" w:cs="Times New Roman"/>
                <w:color w:val="auto"/>
                <w:spacing w:val="6"/>
                <w:position w:val="4"/>
                <w:sz w:val="21"/>
                <w:szCs w:val="21"/>
              </w:rPr>
              <w:t>)</w:t>
            </w:r>
            <w:r>
              <w:rPr>
                <w:rFonts w:ascii="宋体" w:hAnsi="宋体" w:eastAsia="宋体" w:cs="宋体"/>
                <w:color w:val="auto"/>
                <w:spacing w:val="6"/>
                <w:position w:val="4"/>
                <w:sz w:val="21"/>
                <w:szCs w:val="21"/>
              </w:rPr>
              <w:t>；</w:t>
            </w:r>
          </w:p>
          <w:p w14:paraId="28DB1AF8">
            <w:pPr>
              <w:spacing w:before="138" w:line="360" w:lineRule="auto"/>
              <w:ind w:right="105" w:firstLine="420" w:firstLineChars="200"/>
              <w:rPr>
                <w:rFonts w:ascii="宋体" w:hAnsi="宋体" w:eastAsia="宋体" w:cs="宋体"/>
                <w:color w:val="auto"/>
                <w:sz w:val="21"/>
                <w:szCs w:val="21"/>
              </w:rPr>
            </w:pPr>
            <w:r>
              <w:rPr>
                <w:rFonts w:ascii="Times New Roman" w:hAnsi="Times New Roman" w:eastAsia="Times New Roman" w:cs="Times New Roman"/>
                <w:color w:val="auto"/>
                <w:sz w:val="21"/>
                <w:szCs w:val="21"/>
              </w:rPr>
              <w:t>b</w:t>
            </w:r>
            <w:r>
              <w:rPr>
                <w:rFonts w:ascii="Times New Roman" w:hAnsi="Times New Roman" w:eastAsia="Times New Roman" w:cs="Times New Roman"/>
                <w:color w:val="auto"/>
                <w:spacing w:val="22"/>
                <w:sz w:val="21"/>
                <w:szCs w:val="21"/>
              </w:rPr>
              <w:t>.</w:t>
            </w:r>
            <w:r>
              <w:rPr>
                <w:rFonts w:ascii="宋体" w:hAnsi="宋体" w:eastAsia="宋体" w:cs="宋体"/>
                <w:color w:val="auto"/>
                <w:spacing w:val="22"/>
                <w:sz w:val="21"/>
                <w:szCs w:val="21"/>
              </w:rPr>
              <w:t>如</w:t>
            </w:r>
            <w:r>
              <w:rPr>
                <w:rFonts w:ascii="宋体" w:hAnsi="宋体" w:eastAsia="宋体" w:cs="宋体"/>
                <w:color w:val="auto"/>
                <w:spacing w:val="11"/>
                <w:sz w:val="21"/>
                <w:szCs w:val="21"/>
              </w:rPr>
              <w:t xml:space="preserve">果已知声源的倍频带声功率级 </w:t>
            </w:r>
            <w:r>
              <w:rPr>
                <w:rFonts w:ascii="Times New Roman" w:hAnsi="Times New Roman" w:eastAsia="Times New Roman" w:cs="Times New Roman"/>
                <w:color w:val="auto"/>
                <w:sz w:val="21"/>
                <w:szCs w:val="21"/>
              </w:rPr>
              <w:t>L</w:t>
            </w:r>
            <w:r>
              <w:rPr>
                <w:rFonts w:ascii="Times New Roman" w:hAnsi="Times New Roman" w:eastAsia="Times New Roman" w:cs="Times New Roman"/>
                <w:color w:val="auto"/>
                <w:position w:val="-1"/>
                <w:sz w:val="21"/>
                <w:szCs w:val="21"/>
              </w:rPr>
              <w:t>w</w:t>
            </w:r>
            <w:r>
              <w:rPr>
                <w:rFonts w:ascii="Times New Roman" w:hAnsi="Times New Roman" w:eastAsia="Times New Roman" w:cs="Times New Roman"/>
                <w:color w:val="auto"/>
                <w:spacing w:val="11"/>
                <w:position w:val="-1"/>
                <w:sz w:val="21"/>
                <w:szCs w:val="21"/>
              </w:rPr>
              <w:t xml:space="preserve"> </w:t>
            </w:r>
            <w:r>
              <w:rPr>
                <w:rFonts w:ascii="Times New Roman" w:hAnsi="Times New Roman" w:eastAsia="Times New Roman" w:cs="Times New Roman"/>
                <w:color w:val="auto"/>
                <w:position w:val="-1"/>
                <w:sz w:val="21"/>
                <w:szCs w:val="21"/>
              </w:rPr>
              <w:t>cot</w:t>
            </w:r>
            <w:r>
              <w:rPr>
                <w:rFonts w:ascii="Times New Roman" w:hAnsi="Times New Roman" w:eastAsia="Times New Roman" w:cs="Times New Roman"/>
                <w:color w:val="auto"/>
                <w:spacing w:val="11"/>
                <w:position w:val="-1"/>
                <w:sz w:val="21"/>
                <w:szCs w:val="21"/>
              </w:rPr>
              <w:t xml:space="preserve"> </w:t>
            </w:r>
            <w:r>
              <w:rPr>
                <w:rFonts w:ascii="宋体" w:hAnsi="宋体" w:eastAsia="宋体" w:cs="宋体"/>
                <w:color w:val="auto"/>
                <w:spacing w:val="11"/>
                <w:sz w:val="21"/>
                <w:szCs w:val="21"/>
              </w:rPr>
              <w:t>，且声源可看作是位于地面上</w:t>
            </w:r>
            <w:r>
              <w:rPr>
                <w:rFonts w:ascii="宋体" w:hAnsi="宋体" w:eastAsia="宋体" w:cs="宋体"/>
                <w:color w:val="auto"/>
                <w:sz w:val="21"/>
                <w:szCs w:val="21"/>
              </w:rPr>
              <w:t xml:space="preserve"> 的，则：</w:t>
            </w:r>
          </w:p>
          <w:p w14:paraId="4D3D258B">
            <w:pPr>
              <w:spacing w:line="360" w:lineRule="auto"/>
              <w:ind w:firstLine="420" w:firstLineChars="200"/>
              <w:jc w:val="center"/>
              <w:rPr>
                <w:rFonts w:ascii="Times New Roman" w:hAnsi="Times New Roman" w:eastAsia="Times New Roman" w:cs="Times New Roman"/>
                <w:color w:val="auto"/>
                <w:spacing w:val="9"/>
                <w:position w:val="4"/>
                <w:sz w:val="21"/>
                <w:szCs w:val="21"/>
              </w:rPr>
            </w:pP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position w:val="3"/>
                <w:sz w:val="21"/>
                <w:szCs w:val="21"/>
              </w:rPr>
              <w:t>cot</w:t>
            </w:r>
            <w:r>
              <w:rPr>
                <w:rFonts w:ascii="Times New Roman" w:hAnsi="Times New Roman" w:eastAsia="Times New Roman" w:cs="Times New Roman"/>
                <w:color w:val="auto"/>
                <w:spacing w:val="9"/>
                <w:position w:val="4"/>
                <w:sz w:val="21"/>
                <w:szCs w:val="21"/>
              </w:rPr>
              <w:t>=</w:t>
            </w: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position w:val="3"/>
                <w:sz w:val="21"/>
                <w:szCs w:val="21"/>
              </w:rPr>
              <w:t>w</w:t>
            </w:r>
            <w:r>
              <w:rPr>
                <w:rFonts w:ascii="Times New Roman" w:hAnsi="Times New Roman" w:eastAsia="Times New Roman" w:cs="Times New Roman"/>
                <w:color w:val="auto"/>
                <w:spacing w:val="9"/>
                <w:position w:val="3"/>
                <w:sz w:val="21"/>
                <w:szCs w:val="21"/>
              </w:rPr>
              <w:t xml:space="preserve"> </w:t>
            </w:r>
            <w:r>
              <w:rPr>
                <w:rFonts w:ascii="Times New Roman" w:hAnsi="Times New Roman" w:eastAsia="Times New Roman" w:cs="Times New Roman"/>
                <w:color w:val="auto"/>
                <w:position w:val="3"/>
                <w:sz w:val="21"/>
                <w:szCs w:val="21"/>
              </w:rPr>
              <w:t>cot</w:t>
            </w:r>
            <w:r>
              <w:rPr>
                <w:rFonts w:ascii="Times New Roman" w:hAnsi="Times New Roman" w:eastAsia="Times New Roman" w:cs="Times New Roman"/>
                <w:color w:val="auto"/>
                <w:spacing w:val="9"/>
                <w:position w:val="4"/>
                <w:sz w:val="21"/>
                <w:szCs w:val="21"/>
              </w:rPr>
              <w:t>-20</w:t>
            </w:r>
            <w:r>
              <w:rPr>
                <w:rFonts w:ascii="Times New Roman" w:hAnsi="Times New Roman" w:eastAsia="Times New Roman" w:cs="Times New Roman"/>
                <w:color w:val="auto"/>
                <w:position w:val="4"/>
                <w:sz w:val="21"/>
                <w:szCs w:val="21"/>
              </w:rPr>
              <w:t>lgr</w:t>
            </w:r>
            <w:r>
              <w:rPr>
                <w:rFonts w:ascii="Times New Roman" w:hAnsi="Times New Roman" w:eastAsia="Times New Roman" w:cs="Times New Roman"/>
                <w:color w:val="auto"/>
                <w:spacing w:val="9"/>
                <w:position w:val="3"/>
                <w:sz w:val="21"/>
                <w:szCs w:val="21"/>
              </w:rPr>
              <w:t>0</w:t>
            </w:r>
            <w:r>
              <w:rPr>
                <w:rFonts w:ascii="Times New Roman" w:hAnsi="Times New Roman" w:eastAsia="Times New Roman" w:cs="Times New Roman"/>
                <w:color w:val="auto"/>
                <w:spacing w:val="9"/>
                <w:position w:val="4"/>
                <w:sz w:val="21"/>
                <w:szCs w:val="21"/>
              </w:rPr>
              <w:t>-8</w:t>
            </w:r>
          </w:p>
          <w:p w14:paraId="3669FBB9">
            <w:pPr>
              <w:spacing w:before="167" w:line="360" w:lineRule="auto"/>
              <w:ind w:firstLine="420" w:firstLineChars="200"/>
              <w:rPr>
                <w:rFonts w:ascii="宋体" w:hAnsi="宋体" w:eastAsia="宋体" w:cs="宋体"/>
                <w:color w:val="auto"/>
                <w:sz w:val="21"/>
                <w:szCs w:val="21"/>
              </w:rPr>
            </w:pPr>
            <w:r>
              <w:rPr>
                <w:rFonts w:ascii="Times New Roman" w:hAnsi="Times New Roman" w:eastAsia="Times New Roman" w:cs="Times New Roman"/>
                <w:color w:val="auto"/>
                <w:sz w:val="21"/>
                <w:szCs w:val="21"/>
              </w:rPr>
              <w:t>c</w:t>
            </w:r>
            <w:r>
              <w:rPr>
                <w:rFonts w:ascii="Times New Roman" w:hAnsi="Times New Roman" w:eastAsia="Times New Roman" w:cs="Times New Roman"/>
                <w:color w:val="auto"/>
                <w:spacing w:val="4"/>
                <w:sz w:val="21"/>
                <w:szCs w:val="21"/>
              </w:rPr>
              <w:t xml:space="preserve">. </w:t>
            </w:r>
            <w:r>
              <w:rPr>
                <w:rFonts w:ascii="宋体" w:hAnsi="宋体" w:eastAsia="宋体" w:cs="宋体"/>
                <w:color w:val="auto"/>
                <w:spacing w:val="3"/>
                <w:sz w:val="21"/>
                <w:szCs w:val="21"/>
              </w:rPr>
              <w:t>由</w:t>
            </w:r>
            <w:r>
              <w:rPr>
                <w:rFonts w:ascii="宋体" w:hAnsi="宋体" w:eastAsia="宋体" w:cs="宋体"/>
                <w:color w:val="auto"/>
                <w:spacing w:val="2"/>
                <w:sz w:val="21"/>
                <w:szCs w:val="21"/>
              </w:rPr>
              <w:t xml:space="preserve">各倍频带声压级合成计算出该声源产生的 </w:t>
            </w:r>
            <w:r>
              <w:rPr>
                <w:rFonts w:ascii="Times New Roman" w:hAnsi="Times New Roman" w:eastAsia="Times New Roman" w:cs="Times New Roman"/>
                <w:color w:val="auto"/>
                <w:sz w:val="21"/>
                <w:szCs w:val="21"/>
              </w:rPr>
              <w:t>A</w:t>
            </w:r>
            <w:r>
              <w:rPr>
                <w:rFonts w:ascii="Times New Roman" w:hAnsi="Times New Roman" w:eastAsia="Times New Roman" w:cs="Times New Roman"/>
                <w:color w:val="auto"/>
                <w:spacing w:val="2"/>
                <w:sz w:val="21"/>
                <w:szCs w:val="21"/>
              </w:rPr>
              <w:t xml:space="preserve"> </w:t>
            </w:r>
            <w:r>
              <w:rPr>
                <w:rFonts w:ascii="宋体" w:hAnsi="宋体" w:eastAsia="宋体" w:cs="宋体"/>
                <w:color w:val="auto"/>
                <w:spacing w:val="2"/>
                <w:sz w:val="21"/>
                <w:szCs w:val="21"/>
              </w:rPr>
              <w:t xml:space="preserve">声级 </w:t>
            </w:r>
            <w:r>
              <w:rPr>
                <w:rFonts w:ascii="Times New Roman" w:hAnsi="Times New Roman" w:eastAsia="Times New Roman" w:cs="Times New Roman"/>
                <w:color w:val="auto"/>
                <w:sz w:val="21"/>
                <w:szCs w:val="21"/>
              </w:rPr>
              <w:t>L</w:t>
            </w:r>
            <w:r>
              <w:rPr>
                <w:rFonts w:ascii="Times New Roman" w:hAnsi="Times New Roman" w:eastAsia="Times New Roman" w:cs="Times New Roman"/>
                <w:color w:val="auto"/>
                <w:position w:val="-1"/>
                <w:sz w:val="21"/>
                <w:szCs w:val="21"/>
              </w:rPr>
              <w:t>A</w:t>
            </w:r>
            <w:r>
              <w:rPr>
                <w:rFonts w:ascii="宋体" w:hAnsi="宋体" w:eastAsia="宋体" w:cs="宋体"/>
                <w:color w:val="auto"/>
                <w:spacing w:val="2"/>
                <w:sz w:val="21"/>
                <w:szCs w:val="21"/>
              </w:rPr>
              <w:t>：</w:t>
            </w:r>
          </w:p>
          <w:p w14:paraId="146DBCC9">
            <w:pPr>
              <w:spacing w:before="1" w:line="360" w:lineRule="auto"/>
              <w:ind w:firstLine="3150" w:firstLineChars="1500"/>
              <w:jc w:val="left"/>
              <w:rPr>
                <w:rFonts w:ascii="微软雅黑" w:hAnsi="微软雅黑" w:eastAsia="微软雅黑" w:cs="微软雅黑"/>
                <w:color w:val="auto"/>
                <w:sz w:val="21"/>
                <w:szCs w:val="21"/>
              </w:rPr>
            </w:pPr>
            <w:r>
              <w:rPr>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2548890</wp:posOffset>
                      </wp:positionH>
                      <wp:positionV relativeFrom="paragraph">
                        <wp:posOffset>304165</wp:posOffset>
                      </wp:positionV>
                      <wp:extent cx="2009775" cy="246380"/>
                      <wp:effectExtent l="0" t="0" r="0" b="0"/>
                      <wp:wrapNone/>
                      <wp:docPr id="43" name="文本框 43"/>
                      <wp:cNvGraphicFramePr/>
                      <a:graphic xmlns:a="http://schemas.openxmlformats.org/drawingml/2006/main">
                        <a:graphicData uri="http://schemas.microsoft.com/office/word/2010/wordprocessingShape">
                          <wps:wsp>
                            <wps:cNvSpPr txBox="1"/>
                            <wps:spPr>
                              <a:xfrm flipV="1">
                                <a:off x="0" y="0"/>
                                <a:ext cx="2009775" cy="246380"/>
                              </a:xfrm>
                              <a:prstGeom prst="rect">
                                <a:avLst/>
                              </a:prstGeom>
                              <a:noFill/>
                              <a:ln>
                                <a:noFill/>
                              </a:ln>
                            </wps:spPr>
                            <wps:txbx>
                              <w:txbxContent>
                                <w:p w14:paraId="22A1F001">
                                  <w:pPr>
                                    <w:spacing w:before="19" w:line="222" w:lineRule="auto"/>
                                    <w:ind w:left="20"/>
                                    <w:rPr>
                                      <w:rFonts w:ascii="微软雅黑" w:hAnsi="微软雅黑" w:eastAsia="微软雅黑" w:cs="微软雅黑"/>
                                      <w:sz w:val="24"/>
                                      <w:szCs w:val="24"/>
                                    </w:rPr>
                                  </w:pPr>
                                  <w:r>
                                    <w:rPr>
                                      <w:rFonts w:ascii="微软雅黑" w:hAnsi="微软雅黑" w:eastAsia="微软雅黑" w:cs="微软雅黑"/>
                                      <w:sz w:val="24"/>
                                      <w:szCs w:val="24"/>
                                    </w:rPr>
                                    <w:t>L</w:t>
                                  </w:r>
                                  <w:r>
                                    <w:rPr>
                                      <w:rFonts w:ascii="微软雅黑" w:hAnsi="微软雅黑" w:eastAsia="微软雅黑" w:cs="微软雅黑"/>
                                      <w:spacing w:val="-3"/>
                                      <w:sz w:val="24"/>
                                      <w:szCs w:val="24"/>
                                    </w:rPr>
                                    <w:t xml:space="preserve"> </w:t>
                                  </w:r>
                                  <w:r>
                                    <w:rPr>
                                      <w:rFonts w:ascii="Times New Roman" w:hAnsi="Times New Roman" w:eastAsia="Times New Roman" w:cs="Times New Roman"/>
                                      <w:i/>
                                      <w:iCs/>
                                      <w:sz w:val="14"/>
                                      <w:szCs w:val="14"/>
                                    </w:rPr>
                                    <w:t>i</w:t>
                                  </w:r>
                                  <w:r>
                                    <w:rPr>
                                      <w:rFonts w:ascii="微软雅黑" w:hAnsi="微软雅黑" w:eastAsia="微软雅黑" w:cs="微软雅黑"/>
                                      <w:spacing w:val="-3"/>
                                      <w:sz w:val="14"/>
                                      <w:szCs w:val="14"/>
                                    </w:rPr>
                                    <w:t>=</w:t>
                                  </w:r>
                                  <w:r>
                                    <w:rPr>
                                      <w:rFonts w:ascii="Times New Roman" w:hAnsi="Times New Roman" w:eastAsia="Times New Roman" w:cs="Times New Roman"/>
                                      <w:spacing w:val="-3"/>
                                      <w:sz w:val="14"/>
                                      <w:szCs w:val="14"/>
                                    </w:rPr>
                                    <w:t xml:space="preserve">1                              </w:t>
                                  </w:r>
                                </w:p>
                              </w:txbxContent>
                            </wps:txbx>
                            <wps:bodyPr lIns="0" tIns="0" rIns="0" bIns="0" upright="1"/>
                          </wps:wsp>
                        </a:graphicData>
                      </a:graphic>
                    </wp:anchor>
                  </w:drawing>
                </mc:Choice>
                <mc:Fallback>
                  <w:pict>
                    <v:shape id="_x0000_s1026" o:spid="_x0000_s1026" o:spt="202" type="#_x0000_t202" style="position:absolute;left:0pt;flip:y;margin-left:200.7pt;margin-top:23.95pt;height:19.4pt;width:158.25pt;z-index:251664384;mso-width-relative:page;mso-height-relative:page;" filled="f" stroked="f" coordsize="21600,21600" o:gfxdata="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gn9V1wAAAAkBAAAPAAAAAAAAAAEAIAAAACIAAABkcnMvZG93bnJl&#10;di54bWxQSwECFAAUAAAACACHTuJAJxiPcMUBAAB+AwAADgAAAAAAAAABACAAAAAmAQAAZHJzL2Uy&#10;b0RvYy54bWxQSwUGAAAAAAYABgBZAQAAXQUAAAAA&#10;">
                      <v:fill on="f" focussize="0,0"/>
                      <v:stroke on="f"/>
                      <v:imagedata o:title=""/>
                      <o:lock v:ext="edit" aspectratio="f"/>
                      <v:textbox inset="0mm,0mm,0mm,0mm">
                        <w:txbxContent>
                          <w:p w14:paraId="22A1F001">
                            <w:pPr>
                              <w:spacing w:before="19" w:line="222" w:lineRule="auto"/>
                              <w:ind w:left="20"/>
                              <w:rPr>
                                <w:rFonts w:ascii="微软雅黑" w:hAnsi="微软雅黑" w:eastAsia="微软雅黑" w:cs="微软雅黑"/>
                                <w:sz w:val="24"/>
                                <w:szCs w:val="24"/>
                              </w:rPr>
                            </w:pPr>
                            <w:r>
                              <w:rPr>
                                <w:rFonts w:ascii="微软雅黑" w:hAnsi="微软雅黑" w:eastAsia="微软雅黑" w:cs="微软雅黑"/>
                                <w:sz w:val="24"/>
                                <w:szCs w:val="24"/>
                              </w:rPr>
                              <w:t>L</w:t>
                            </w:r>
                            <w:r>
                              <w:rPr>
                                <w:rFonts w:ascii="微软雅黑" w:hAnsi="微软雅黑" w:eastAsia="微软雅黑" w:cs="微软雅黑"/>
                                <w:spacing w:val="-3"/>
                                <w:sz w:val="24"/>
                                <w:szCs w:val="24"/>
                              </w:rPr>
                              <w:t xml:space="preserve"> </w:t>
                            </w:r>
                            <w:r>
                              <w:rPr>
                                <w:rFonts w:ascii="Times New Roman" w:hAnsi="Times New Roman" w:eastAsia="Times New Roman" w:cs="Times New Roman"/>
                                <w:i/>
                                <w:iCs/>
                                <w:sz w:val="14"/>
                                <w:szCs w:val="14"/>
                              </w:rPr>
                              <w:t>i</w:t>
                            </w:r>
                            <w:r>
                              <w:rPr>
                                <w:rFonts w:ascii="微软雅黑" w:hAnsi="微软雅黑" w:eastAsia="微软雅黑" w:cs="微软雅黑"/>
                                <w:spacing w:val="-3"/>
                                <w:sz w:val="14"/>
                                <w:szCs w:val="14"/>
                              </w:rPr>
                              <w:t>=</w:t>
                            </w:r>
                            <w:r>
                              <w:rPr>
                                <w:rFonts w:ascii="Times New Roman" w:hAnsi="Times New Roman" w:eastAsia="Times New Roman" w:cs="Times New Roman"/>
                                <w:spacing w:val="-3"/>
                                <w:sz w:val="14"/>
                                <w:szCs w:val="14"/>
                              </w:rPr>
                              <w:t xml:space="preserve">1                              </w:t>
                            </w:r>
                          </w:p>
                        </w:txbxContent>
                      </v:textbox>
                    </v:shape>
                  </w:pict>
                </mc:Fallback>
              </mc:AlternateContent>
            </w:r>
            <w:r>
              <w:rPr>
                <w:rFonts w:ascii="Times New Roman" w:hAnsi="Times New Roman" w:eastAsia="Times New Roman" w:cs="Times New Roman"/>
                <w:i/>
                <w:iCs/>
                <w:color w:val="auto"/>
                <w:spacing w:val="-8"/>
                <w:position w:val="-3"/>
                <w:sz w:val="21"/>
                <w:szCs w:val="21"/>
              </w:rPr>
              <w:t>L</w:t>
            </w:r>
            <w:r>
              <w:rPr>
                <w:rFonts w:ascii="Times New Roman" w:hAnsi="Times New Roman" w:eastAsia="Times New Roman" w:cs="Times New Roman"/>
                <w:i/>
                <w:iCs/>
                <w:color w:val="auto"/>
                <w:spacing w:val="-8"/>
                <w:position w:val="-9"/>
                <w:sz w:val="21"/>
                <w:szCs w:val="21"/>
              </w:rPr>
              <w:t>A</w:t>
            </w:r>
            <w:r>
              <w:rPr>
                <w:rFonts w:ascii="Times New Roman" w:hAnsi="Times New Roman" w:eastAsia="Times New Roman" w:cs="Times New Roman"/>
                <w:color w:val="auto"/>
                <w:spacing w:val="-16"/>
                <w:position w:val="-9"/>
                <w:sz w:val="21"/>
                <w:szCs w:val="21"/>
              </w:rPr>
              <w:t xml:space="preserve">  </w:t>
            </w:r>
            <w:r>
              <w:rPr>
                <w:rFonts w:ascii="微软雅黑" w:hAnsi="微软雅黑" w:eastAsia="微软雅黑" w:cs="微软雅黑"/>
                <w:color w:val="auto"/>
                <w:spacing w:val="-8"/>
                <w:position w:val="-3"/>
                <w:sz w:val="21"/>
                <w:szCs w:val="21"/>
              </w:rPr>
              <w:t xml:space="preserve">= </w:t>
            </w:r>
            <w:r>
              <w:rPr>
                <w:rFonts w:ascii="Times New Roman" w:hAnsi="Times New Roman" w:eastAsia="Times New Roman" w:cs="Times New Roman"/>
                <w:color w:val="auto"/>
                <w:spacing w:val="-8"/>
                <w:position w:val="-3"/>
                <w:sz w:val="21"/>
                <w:szCs w:val="21"/>
              </w:rPr>
              <w:t>10lg</w:t>
            </w:r>
            <w:r>
              <w:rPr>
                <w:rFonts w:ascii="微软雅黑" w:hAnsi="微软雅黑" w:eastAsia="微软雅黑" w:cs="微软雅黑"/>
                <w:color w:val="auto"/>
                <w:spacing w:val="-8"/>
                <w:sz w:val="21"/>
                <w:szCs w:val="21"/>
              </w:rPr>
              <w:t>「|</w:t>
            </w:r>
            <w:r>
              <w:rPr>
                <w:rFonts w:ascii="微软雅黑" w:hAnsi="微软雅黑" w:eastAsia="微软雅黑" w:cs="微软雅黑"/>
                <w:color w:val="auto"/>
                <w:spacing w:val="-8"/>
                <w:position w:val="-8"/>
                <w:sz w:val="21"/>
                <w:szCs w:val="21"/>
              </w:rPr>
              <w:t>x</w:t>
            </w:r>
            <w:r>
              <w:rPr>
                <w:rFonts w:ascii="Times New Roman" w:hAnsi="Times New Roman" w:eastAsia="Times New Roman" w:cs="Times New Roman"/>
                <w:i/>
                <w:iCs/>
                <w:color w:val="auto"/>
                <w:spacing w:val="-8"/>
                <w:position w:val="21"/>
                <w:sz w:val="21"/>
                <w:szCs w:val="21"/>
              </w:rPr>
              <w:t>n</w:t>
            </w:r>
            <w:r>
              <w:rPr>
                <w:rFonts w:ascii="Times New Roman" w:hAnsi="Times New Roman" w:eastAsia="Times New Roman" w:cs="Times New Roman"/>
                <w:color w:val="auto"/>
                <w:spacing w:val="-8"/>
                <w:position w:val="-3"/>
                <w:sz w:val="21"/>
                <w:szCs w:val="21"/>
              </w:rPr>
              <w:t>10</w:t>
            </w:r>
            <w:r>
              <w:rPr>
                <w:rFonts w:ascii="Times New Roman" w:hAnsi="Times New Roman" w:eastAsia="Times New Roman" w:cs="Times New Roman"/>
                <w:color w:val="auto"/>
                <w:spacing w:val="-8"/>
                <w:position w:val="10"/>
                <w:sz w:val="21"/>
                <w:szCs w:val="21"/>
              </w:rPr>
              <w:t>0. 1</w:t>
            </w:r>
            <w:r>
              <w:rPr>
                <w:rFonts w:ascii="微软雅黑" w:hAnsi="微软雅黑" w:eastAsia="微软雅黑" w:cs="微软雅黑"/>
                <w:color w:val="auto"/>
                <w:spacing w:val="-8"/>
                <w:position w:val="10"/>
                <w:sz w:val="21"/>
                <w:szCs w:val="21"/>
              </w:rPr>
              <w:t>(</w:t>
            </w:r>
            <w:r>
              <w:rPr>
                <w:rFonts w:ascii="Times New Roman" w:hAnsi="Times New Roman" w:eastAsia="Times New Roman" w:cs="Times New Roman"/>
                <w:i/>
                <w:iCs/>
                <w:color w:val="auto"/>
                <w:spacing w:val="-8"/>
                <w:position w:val="10"/>
                <w:sz w:val="21"/>
                <w:szCs w:val="21"/>
              </w:rPr>
              <w:t>L</w:t>
            </w:r>
            <w:r>
              <w:rPr>
                <w:rFonts w:ascii="Times New Roman" w:hAnsi="Times New Roman" w:eastAsia="Times New Roman" w:cs="Times New Roman"/>
                <w:i/>
                <w:iCs/>
                <w:color w:val="auto"/>
                <w:spacing w:val="-8"/>
                <w:position w:val="6"/>
                <w:sz w:val="21"/>
                <w:szCs w:val="21"/>
              </w:rPr>
              <w:t>pi</w:t>
            </w:r>
            <w:r>
              <w:rPr>
                <w:rFonts w:ascii="Times New Roman" w:hAnsi="Times New Roman" w:eastAsia="Times New Roman" w:cs="Times New Roman"/>
                <w:color w:val="auto"/>
                <w:spacing w:val="-8"/>
                <w:position w:val="6"/>
                <w:sz w:val="21"/>
                <w:szCs w:val="21"/>
              </w:rPr>
              <w:t xml:space="preserve"> </w:t>
            </w:r>
            <w:r>
              <w:rPr>
                <w:rFonts w:ascii="微软雅黑" w:hAnsi="微软雅黑" w:eastAsia="微软雅黑" w:cs="微软雅黑"/>
                <w:color w:val="auto"/>
                <w:spacing w:val="-8"/>
                <w:position w:val="10"/>
                <w:sz w:val="21"/>
                <w:szCs w:val="21"/>
              </w:rPr>
              <w:t>-编</w:t>
            </w:r>
            <w:r>
              <w:rPr>
                <w:rFonts w:ascii="Times New Roman" w:hAnsi="Times New Roman" w:eastAsia="Times New Roman" w:cs="Times New Roman"/>
                <w:i/>
                <w:iCs/>
                <w:color w:val="auto"/>
                <w:spacing w:val="-8"/>
                <w:position w:val="10"/>
                <w:sz w:val="21"/>
                <w:szCs w:val="21"/>
              </w:rPr>
              <w:t>L</w:t>
            </w:r>
            <w:r>
              <w:rPr>
                <w:rFonts w:ascii="Times New Roman" w:hAnsi="Times New Roman" w:eastAsia="Times New Roman" w:cs="Times New Roman"/>
                <w:i/>
                <w:iCs/>
                <w:color w:val="auto"/>
                <w:spacing w:val="-8"/>
                <w:position w:val="6"/>
                <w:sz w:val="21"/>
                <w:szCs w:val="21"/>
              </w:rPr>
              <w:t>i</w:t>
            </w:r>
            <w:r>
              <w:rPr>
                <w:rFonts w:ascii="Times New Roman" w:hAnsi="Times New Roman" w:eastAsia="Times New Roman" w:cs="Times New Roman"/>
                <w:color w:val="auto"/>
                <w:spacing w:val="-8"/>
                <w:position w:val="6"/>
                <w:sz w:val="21"/>
                <w:szCs w:val="21"/>
              </w:rPr>
              <w:t xml:space="preserve"> </w:t>
            </w:r>
            <w:r>
              <w:rPr>
                <w:rFonts w:ascii="微软雅黑" w:hAnsi="微软雅黑" w:eastAsia="微软雅黑" w:cs="微软雅黑"/>
                <w:color w:val="auto"/>
                <w:spacing w:val="-8"/>
                <w:position w:val="10"/>
                <w:sz w:val="21"/>
                <w:szCs w:val="21"/>
              </w:rPr>
              <w:t>)</w:t>
            </w:r>
            <w:r>
              <w:rPr>
                <w:rFonts w:ascii="微软雅黑" w:hAnsi="微软雅黑" w:eastAsia="微软雅黑" w:cs="微软雅黑"/>
                <w:color w:val="auto"/>
                <w:spacing w:val="-8"/>
                <w:position w:val="12"/>
                <w:sz w:val="21"/>
                <w:szCs w:val="21"/>
              </w:rPr>
              <w:t>]</w:t>
            </w:r>
            <w:r>
              <w:rPr>
                <w:rFonts w:ascii="微软雅黑" w:hAnsi="微软雅黑" w:eastAsia="微软雅黑" w:cs="微软雅黑"/>
                <w:color w:val="auto"/>
                <w:spacing w:val="-8"/>
                <w:position w:val="-11"/>
                <w:sz w:val="21"/>
                <w:szCs w:val="21"/>
              </w:rPr>
              <w:t>|</w:t>
            </w:r>
          </w:p>
          <w:p w14:paraId="39BAFA7B">
            <w:pPr>
              <w:spacing w:before="3" w:line="360" w:lineRule="auto"/>
              <w:ind w:left="592"/>
              <w:rPr>
                <w:rFonts w:ascii="宋体" w:hAnsi="宋体" w:eastAsia="宋体" w:cs="宋体"/>
                <w:color w:val="auto"/>
                <w:sz w:val="21"/>
                <w:szCs w:val="21"/>
              </w:rPr>
            </w:pPr>
            <w:r>
              <w:rPr>
                <w:rFonts w:ascii="宋体" w:hAnsi="宋体" w:eastAsia="宋体" w:cs="宋体"/>
                <w:color w:val="auto"/>
                <w:spacing w:val="4"/>
                <w:position w:val="1"/>
                <w:sz w:val="21"/>
                <w:szCs w:val="21"/>
              </w:rPr>
              <w:t>式中</w:t>
            </w:r>
            <w:r>
              <w:rPr>
                <w:rFonts w:ascii="Times New Roman" w:hAnsi="Times New Roman" w:eastAsia="Times New Roman" w:cs="Times New Roman"/>
                <w:color w:val="auto"/>
                <w:spacing w:val="4"/>
                <w:position w:val="1"/>
                <w:sz w:val="21"/>
                <w:szCs w:val="21"/>
              </w:rPr>
              <w:t>Δ</w:t>
            </w:r>
            <w:r>
              <w:rPr>
                <w:rFonts w:ascii="Times New Roman" w:hAnsi="Times New Roman" w:eastAsia="Times New Roman" w:cs="Times New Roman"/>
                <w:color w:val="auto"/>
                <w:position w:val="1"/>
                <w:sz w:val="21"/>
                <w:szCs w:val="21"/>
              </w:rPr>
              <w:t>Li</w:t>
            </w:r>
            <w:r>
              <w:rPr>
                <w:rFonts w:ascii="Times New Roman" w:hAnsi="Times New Roman" w:eastAsia="Times New Roman" w:cs="Times New Roman"/>
                <w:color w:val="auto"/>
                <w:spacing w:val="4"/>
                <w:position w:val="1"/>
                <w:sz w:val="21"/>
                <w:szCs w:val="21"/>
              </w:rPr>
              <w:t xml:space="preserve"> </w:t>
            </w:r>
            <w:r>
              <w:rPr>
                <w:rFonts w:ascii="宋体" w:hAnsi="宋体" w:eastAsia="宋体" w:cs="宋体"/>
                <w:color w:val="auto"/>
                <w:spacing w:val="4"/>
                <w:position w:val="1"/>
                <w:sz w:val="21"/>
                <w:szCs w:val="21"/>
              </w:rPr>
              <w:t xml:space="preserve">为 </w:t>
            </w:r>
            <w:r>
              <w:rPr>
                <w:rFonts w:ascii="Times New Roman" w:hAnsi="Times New Roman" w:eastAsia="Times New Roman" w:cs="Times New Roman"/>
                <w:color w:val="auto"/>
                <w:position w:val="1"/>
                <w:sz w:val="21"/>
                <w:szCs w:val="21"/>
              </w:rPr>
              <w:t>A</w:t>
            </w:r>
            <w:r>
              <w:rPr>
                <w:rFonts w:ascii="Times New Roman" w:hAnsi="Times New Roman" w:eastAsia="Times New Roman" w:cs="Times New Roman"/>
                <w:color w:val="auto"/>
                <w:spacing w:val="4"/>
                <w:position w:val="1"/>
                <w:sz w:val="21"/>
                <w:szCs w:val="21"/>
              </w:rPr>
              <w:t xml:space="preserve"> </w:t>
            </w:r>
            <w:r>
              <w:rPr>
                <w:rFonts w:ascii="宋体" w:hAnsi="宋体" w:eastAsia="宋体" w:cs="宋体"/>
                <w:color w:val="auto"/>
                <w:spacing w:val="4"/>
                <w:position w:val="1"/>
                <w:sz w:val="21"/>
                <w:szCs w:val="21"/>
              </w:rPr>
              <w:t>计权网络修正值</w:t>
            </w:r>
            <w:r>
              <w:rPr>
                <w:rFonts w:ascii="宋体" w:hAnsi="宋体" w:eastAsia="宋体" w:cs="宋体"/>
                <w:color w:val="auto"/>
                <w:spacing w:val="1"/>
                <w:position w:val="1"/>
                <w:sz w:val="21"/>
                <w:szCs w:val="21"/>
              </w:rPr>
              <w:t>。</w:t>
            </w:r>
          </w:p>
          <w:p w14:paraId="54A79CB4">
            <w:pPr>
              <w:spacing w:before="137" w:line="360" w:lineRule="auto"/>
              <w:ind w:left="1066"/>
              <w:rPr>
                <w:rFonts w:ascii="宋体" w:hAnsi="宋体" w:eastAsia="宋体" w:cs="宋体"/>
                <w:color w:val="auto"/>
                <w:sz w:val="21"/>
                <w:szCs w:val="21"/>
              </w:rPr>
            </w:pPr>
            <w:r>
              <w:rPr>
                <w:rFonts w:ascii="Times New Roman" w:hAnsi="Times New Roman" w:eastAsia="Times New Roman" w:cs="Times New Roman"/>
                <w:color w:val="auto"/>
                <w:position w:val="1"/>
                <w:sz w:val="21"/>
                <w:szCs w:val="21"/>
              </w:rPr>
              <w:t>d</w:t>
            </w:r>
            <w:r>
              <w:rPr>
                <w:rFonts w:ascii="Times New Roman" w:hAnsi="Times New Roman" w:eastAsia="Times New Roman" w:cs="Times New Roman"/>
                <w:color w:val="auto"/>
                <w:spacing w:val="14"/>
                <w:position w:val="1"/>
                <w:sz w:val="21"/>
                <w:szCs w:val="21"/>
              </w:rPr>
              <w:t>.</w:t>
            </w:r>
            <w:r>
              <w:rPr>
                <w:rFonts w:ascii="宋体" w:hAnsi="宋体" w:eastAsia="宋体" w:cs="宋体"/>
                <w:color w:val="auto"/>
                <w:spacing w:val="9"/>
                <w:position w:val="1"/>
                <w:sz w:val="21"/>
                <w:szCs w:val="21"/>
              </w:rPr>
              <w:t>各声源在预测点产生的声级的合成</w:t>
            </w:r>
          </w:p>
          <w:p w14:paraId="09E52222">
            <w:pPr>
              <w:spacing w:line="360" w:lineRule="auto"/>
              <w:ind w:left="3423"/>
              <w:rPr>
                <w:color w:val="auto"/>
                <w:sz w:val="21"/>
                <w:szCs w:val="21"/>
              </w:rPr>
            </w:pPr>
            <w:r>
              <w:rPr>
                <w:rFonts w:ascii="Times New Roman" w:hAnsi="Times New Roman" w:eastAsia="Times New Roman" w:cs="Times New Roman"/>
                <w:i/>
                <w:iCs/>
                <w:color w:val="auto"/>
                <w:position w:val="3"/>
                <w:sz w:val="21"/>
                <w:szCs w:val="21"/>
              </w:rPr>
              <w:t>L</w:t>
            </w:r>
            <w:r>
              <w:rPr>
                <w:rFonts w:ascii="Times New Roman" w:hAnsi="Times New Roman" w:eastAsia="Times New Roman" w:cs="Times New Roman"/>
                <w:i/>
                <w:iCs/>
                <w:color w:val="auto"/>
                <w:position w:val="-2"/>
                <w:sz w:val="21"/>
                <w:szCs w:val="21"/>
              </w:rPr>
              <w:t>TP</w:t>
            </w:r>
            <w:r>
              <w:rPr>
                <w:rFonts w:ascii="Times New Roman" w:hAnsi="Times New Roman" w:eastAsia="Times New Roman" w:cs="Times New Roman"/>
                <w:color w:val="auto"/>
                <w:spacing w:val="6"/>
                <w:position w:val="-2"/>
                <w:sz w:val="21"/>
                <w:szCs w:val="21"/>
              </w:rPr>
              <w:t xml:space="preserve">   </w:t>
            </w:r>
            <w:r>
              <w:rPr>
                <w:rFonts w:ascii="微软雅黑" w:hAnsi="微软雅黑" w:eastAsia="微软雅黑" w:cs="微软雅黑"/>
                <w:color w:val="auto"/>
                <w:spacing w:val="5"/>
                <w:position w:val="3"/>
                <w:sz w:val="21"/>
                <w:szCs w:val="21"/>
              </w:rPr>
              <w:t>=</w:t>
            </w:r>
            <w:r>
              <w:rPr>
                <w:rFonts w:ascii="微软雅黑" w:hAnsi="微软雅黑" w:eastAsia="微软雅黑" w:cs="微软雅黑"/>
                <w:color w:val="auto"/>
                <w:spacing w:val="3"/>
                <w:position w:val="3"/>
                <w:sz w:val="21"/>
                <w:szCs w:val="21"/>
              </w:rPr>
              <w:t xml:space="preserve"> </w:t>
            </w:r>
            <w:r>
              <w:rPr>
                <w:rFonts w:ascii="Times New Roman" w:hAnsi="Times New Roman" w:eastAsia="Times New Roman" w:cs="Times New Roman"/>
                <w:color w:val="auto"/>
                <w:spacing w:val="3"/>
                <w:position w:val="3"/>
                <w:sz w:val="21"/>
                <w:szCs w:val="21"/>
              </w:rPr>
              <w:t>10</w:t>
            </w:r>
            <w:r>
              <w:rPr>
                <w:rFonts w:ascii="Times New Roman" w:hAnsi="Times New Roman" w:eastAsia="Times New Roman" w:cs="Times New Roman"/>
                <w:color w:val="auto"/>
                <w:position w:val="3"/>
                <w:sz w:val="21"/>
                <w:szCs w:val="21"/>
              </w:rPr>
              <w:t>lg</w:t>
            </w:r>
            <w:r>
              <w:rPr>
                <w:color w:val="auto"/>
                <w:position w:val="-24"/>
                <w:sz w:val="21"/>
                <w:szCs w:val="21"/>
              </w:rPr>
              <w:drawing>
                <wp:inline distT="0" distB="0" distL="0" distR="0">
                  <wp:extent cx="62230" cy="422910"/>
                  <wp:effectExtent l="0" t="0" r="13970" b="15240"/>
                  <wp:docPr id="20" name="IM 10"/>
                  <wp:cNvGraphicFramePr/>
                  <a:graphic xmlns:a="http://schemas.openxmlformats.org/drawingml/2006/main">
                    <a:graphicData uri="http://schemas.openxmlformats.org/drawingml/2006/picture">
                      <pic:pic xmlns:pic="http://schemas.openxmlformats.org/drawingml/2006/picture">
                        <pic:nvPicPr>
                          <pic:cNvPr id="20" name="IM 10"/>
                          <pic:cNvPicPr/>
                        </pic:nvPicPr>
                        <pic:blipFill>
                          <a:blip r:embed="rId14"/>
                          <a:stretch>
                            <a:fillRect/>
                          </a:stretch>
                        </pic:blipFill>
                        <pic:spPr>
                          <a:xfrm>
                            <a:off x="0" y="0"/>
                            <a:ext cx="62365" cy="423148"/>
                          </a:xfrm>
                          <a:prstGeom prst="rect">
                            <a:avLst/>
                          </a:prstGeom>
                        </pic:spPr>
                      </pic:pic>
                    </a:graphicData>
                  </a:graphic>
                </wp:inline>
              </w:drawing>
            </w:r>
            <w:r>
              <w:rPr>
                <w:color w:val="auto"/>
                <w:position w:val="-22"/>
                <w:sz w:val="21"/>
                <w:szCs w:val="21"/>
              </w:rPr>
              <w:drawing>
                <wp:inline distT="0" distB="0" distL="0" distR="0">
                  <wp:extent cx="168275" cy="361950"/>
                  <wp:effectExtent l="0" t="0" r="3175" b="0"/>
                  <wp:docPr id="35" name="IM 11"/>
                  <wp:cNvGraphicFramePr/>
                  <a:graphic xmlns:a="http://schemas.openxmlformats.org/drawingml/2006/main">
                    <a:graphicData uri="http://schemas.openxmlformats.org/drawingml/2006/picture">
                      <pic:pic xmlns:pic="http://schemas.openxmlformats.org/drawingml/2006/picture">
                        <pic:nvPicPr>
                          <pic:cNvPr id="35" name="IM 11"/>
                          <pic:cNvPicPr/>
                        </pic:nvPicPr>
                        <pic:blipFill>
                          <a:blip r:embed="rId15"/>
                          <a:stretch>
                            <a:fillRect/>
                          </a:stretch>
                        </pic:blipFill>
                        <pic:spPr>
                          <a:xfrm>
                            <a:off x="0" y="0"/>
                            <a:ext cx="168778" cy="362331"/>
                          </a:xfrm>
                          <a:prstGeom prst="rect">
                            <a:avLst/>
                          </a:prstGeom>
                        </pic:spPr>
                      </pic:pic>
                    </a:graphicData>
                  </a:graphic>
                </wp:inline>
              </w:drawing>
            </w:r>
            <w:r>
              <w:rPr>
                <w:rFonts w:ascii="Times New Roman" w:hAnsi="Times New Roman" w:eastAsia="Times New Roman" w:cs="Times New Roman"/>
                <w:color w:val="auto"/>
                <w:spacing w:val="3"/>
                <w:position w:val="3"/>
                <w:sz w:val="21"/>
                <w:szCs w:val="21"/>
              </w:rPr>
              <w:t>10</w:t>
            </w:r>
            <w:r>
              <w:rPr>
                <w:rFonts w:ascii="Times New Roman" w:hAnsi="Times New Roman" w:eastAsia="Times New Roman" w:cs="Times New Roman"/>
                <w:color w:val="auto"/>
                <w:spacing w:val="3"/>
                <w:position w:val="16"/>
                <w:sz w:val="21"/>
                <w:szCs w:val="21"/>
              </w:rPr>
              <w:t>0. 1</w:t>
            </w:r>
            <w:r>
              <w:rPr>
                <w:rFonts w:ascii="Times New Roman" w:hAnsi="Times New Roman" w:eastAsia="Times New Roman" w:cs="Times New Roman"/>
                <w:i/>
                <w:iCs/>
                <w:color w:val="auto"/>
                <w:position w:val="16"/>
                <w:sz w:val="21"/>
                <w:szCs w:val="21"/>
              </w:rPr>
              <w:t>L</w:t>
            </w:r>
            <w:r>
              <w:rPr>
                <w:rFonts w:ascii="Times New Roman" w:hAnsi="Times New Roman" w:eastAsia="Times New Roman" w:cs="Times New Roman"/>
                <w:i/>
                <w:iCs/>
                <w:color w:val="auto"/>
                <w:position w:val="13"/>
                <w:sz w:val="21"/>
                <w:szCs w:val="21"/>
              </w:rPr>
              <w:t>pi</w:t>
            </w:r>
            <w:r>
              <w:rPr>
                <w:rFonts w:ascii="Times New Roman" w:hAnsi="Times New Roman" w:eastAsia="Times New Roman" w:cs="Times New Roman"/>
                <w:color w:val="auto"/>
                <w:spacing w:val="3"/>
                <w:position w:val="13"/>
                <w:sz w:val="21"/>
                <w:szCs w:val="21"/>
              </w:rPr>
              <w:t xml:space="preserve">  </w:t>
            </w:r>
            <w:r>
              <w:rPr>
                <w:color w:val="auto"/>
                <w:position w:val="-24"/>
                <w:sz w:val="21"/>
                <w:szCs w:val="21"/>
              </w:rPr>
              <w:drawing>
                <wp:inline distT="0" distB="0" distL="0" distR="0">
                  <wp:extent cx="59055" cy="422910"/>
                  <wp:effectExtent l="0" t="0" r="17145" b="15240"/>
                  <wp:docPr id="21" name="IM 12"/>
                  <wp:cNvGraphicFramePr/>
                  <a:graphic xmlns:a="http://schemas.openxmlformats.org/drawingml/2006/main">
                    <a:graphicData uri="http://schemas.openxmlformats.org/drawingml/2006/picture">
                      <pic:pic xmlns:pic="http://schemas.openxmlformats.org/drawingml/2006/picture">
                        <pic:nvPicPr>
                          <pic:cNvPr id="21" name="IM 12"/>
                          <pic:cNvPicPr/>
                        </pic:nvPicPr>
                        <pic:blipFill>
                          <a:blip r:embed="rId16"/>
                          <a:stretch>
                            <a:fillRect/>
                          </a:stretch>
                        </pic:blipFill>
                        <pic:spPr>
                          <a:xfrm>
                            <a:off x="0" y="0"/>
                            <a:ext cx="59597" cy="423148"/>
                          </a:xfrm>
                          <a:prstGeom prst="rect">
                            <a:avLst/>
                          </a:prstGeom>
                        </pic:spPr>
                      </pic:pic>
                    </a:graphicData>
                  </a:graphic>
                </wp:inline>
              </w:drawing>
            </w:r>
          </w:p>
          <w:p w14:paraId="748E4710">
            <w:pPr>
              <w:spacing w:line="360" w:lineRule="auto"/>
              <w:ind w:left="1066"/>
              <w:outlineLvl w:val="0"/>
              <w:rPr>
                <w:rFonts w:ascii="宋体" w:hAnsi="宋体" w:eastAsia="宋体" w:cs="宋体"/>
                <w:color w:val="auto"/>
                <w:sz w:val="21"/>
                <w:szCs w:val="21"/>
              </w:rPr>
            </w:pPr>
            <w:r>
              <w:rPr>
                <w:rFonts w:ascii="宋体" w:hAnsi="宋体" w:eastAsia="宋体" w:cs="宋体"/>
                <w:color w:val="auto"/>
                <w:spacing w:val="20"/>
                <w:sz w:val="21"/>
                <w:szCs w:val="21"/>
              </w:rPr>
              <w:t>②</w:t>
            </w:r>
            <w:r>
              <w:rPr>
                <w:rFonts w:ascii="宋体" w:hAnsi="宋体" w:eastAsia="宋体" w:cs="宋体"/>
                <w:color w:val="auto"/>
                <w:spacing w:val="19"/>
                <w:sz w:val="21"/>
                <w:szCs w:val="21"/>
              </w:rPr>
              <w:t>室内点声源的预测</w:t>
            </w:r>
          </w:p>
          <w:p w14:paraId="4950EED5">
            <w:pPr>
              <w:spacing w:before="180" w:line="360" w:lineRule="auto"/>
              <w:ind w:left="1067"/>
              <w:rPr>
                <w:rFonts w:ascii="宋体" w:hAnsi="宋体" w:eastAsia="宋体" w:cs="宋体"/>
                <w:color w:val="auto"/>
                <w:sz w:val="21"/>
                <w:szCs w:val="21"/>
              </w:rPr>
            </w:pPr>
            <w:r>
              <w:rPr>
                <w:rFonts w:ascii="Times New Roman" w:hAnsi="Times New Roman" w:eastAsia="Times New Roman" w:cs="Times New Roman"/>
                <w:color w:val="auto"/>
                <w:sz w:val="21"/>
                <w:szCs w:val="21"/>
              </w:rPr>
              <w:t>a</w:t>
            </w:r>
            <w:r>
              <w:rPr>
                <w:rFonts w:ascii="Times New Roman" w:hAnsi="Times New Roman" w:eastAsia="Times New Roman" w:cs="Times New Roman"/>
                <w:color w:val="auto"/>
                <w:spacing w:val="16"/>
                <w:sz w:val="21"/>
                <w:szCs w:val="21"/>
              </w:rPr>
              <w:t>.</w:t>
            </w:r>
            <w:r>
              <w:rPr>
                <w:rFonts w:ascii="宋体" w:hAnsi="宋体" w:eastAsia="宋体" w:cs="宋体"/>
                <w:color w:val="auto"/>
                <w:spacing w:val="13"/>
                <w:sz w:val="21"/>
                <w:szCs w:val="21"/>
              </w:rPr>
              <w:t>室</w:t>
            </w:r>
            <w:r>
              <w:rPr>
                <w:rFonts w:ascii="宋体" w:hAnsi="宋体" w:eastAsia="宋体" w:cs="宋体"/>
                <w:color w:val="auto"/>
                <w:spacing w:val="8"/>
                <w:sz w:val="21"/>
                <w:szCs w:val="21"/>
              </w:rPr>
              <w:t>内靠近围护结构处的倍频带声压级：</w:t>
            </w:r>
          </w:p>
          <w:p w14:paraId="68A08231">
            <w:pPr>
              <w:spacing w:before="78" w:line="360" w:lineRule="auto"/>
              <w:ind w:firstLine="2801"/>
              <w:textAlignment w:val="center"/>
              <w:rPr>
                <w:color w:val="auto"/>
                <w:sz w:val="21"/>
                <w:szCs w:val="21"/>
              </w:rPr>
            </w:pPr>
            <w:r>
              <w:rPr>
                <w:color w:val="auto"/>
                <w:sz w:val="21"/>
                <w:szCs w:val="21"/>
              </w:rPr>
              <w:drawing>
                <wp:inline distT="0" distB="0" distL="0" distR="0">
                  <wp:extent cx="1957705" cy="528320"/>
                  <wp:effectExtent l="0" t="0" r="4445" b="5080"/>
                  <wp:docPr id="22" name="IM 13"/>
                  <wp:cNvGraphicFramePr/>
                  <a:graphic xmlns:a="http://schemas.openxmlformats.org/drawingml/2006/main">
                    <a:graphicData uri="http://schemas.openxmlformats.org/drawingml/2006/picture">
                      <pic:pic xmlns:pic="http://schemas.openxmlformats.org/drawingml/2006/picture">
                        <pic:nvPicPr>
                          <pic:cNvPr id="22" name="IM 13"/>
                          <pic:cNvPicPr/>
                        </pic:nvPicPr>
                        <pic:blipFill>
                          <a:blip r:embed="rId17"/>
                          <a:stretch>
                            <a:fillRect/>
                          </a:stretch>
                        </pic:blipFill>
                        <pic:spPr>
                          <a:xfrm>
                            <a:off x="0" y="0"/>
                            <a:ext cx="1958339" cy="528828"/>
                          </a:xfrm>
                          <a:prstGeom prst="rect">
                            <a:avLst/>
                          </a:prstGeom>
                        </pic:spPr>
                      </pic:pic>
                    </a:graphicData>
                  </a:graphic>
                </wp:inline>
              </w:drawing>
            </w:r>
          </w:p>
          <w:p w14:paraId="3256B559">
            <w:pPr>
              <w:spacing w:before="260" w:line="240" w:lineRule="auto"/>
              <w:ind w:left="1072"/>
              <w:rPr>
                <w:rFonts w:ascii="宋体" w:hAnsi="宋体" w:eastAsia="宋体" w:cs="宋体"/>
                <w:color w:val="auto"/>
                <w:sz w:val="21"/>
                <w:szCs w:val="21"/>
              </w:rPr>
            </w:pPr>
            <w:r>
              <w:rPr>
                <w:rFonts w:ascii="宋体" w:hAnsi="宋体" w:eastAsia="宋体" w:cs="宋体"/>
                <w:color w:val="auto"/>
                <w:spacing w:val="13"/>
                <w:sz w:val="21"/>
                <w:szCs w:val="21"/>
              </w:rPr>
              <w:t>式</w:t>
            </w:r>
            <w:r>
              <w:rPr>
                <w:rFonts w:ascii="宋体" w:hAnsi="宋体" w:eastAsia="宋体" w:cs="宋体"/>
                <w:color w:val="auto"/>
                <w:spacing w:val="8"/>
                <w:sz w:val="21"/>
                <w:szCs w:val="21"/>
              </w:rPr>
              <w:t>中：</w:t>
            </w:r>
            <w:r>
              <w:rPr>
                <w:rFonts w:ascii="Times New Roman" w:hAnsi="Times New Roman" w:eastAsia="Times New Roman" w:cs="Times New Roman"/>
                <w:color w:val="auto"/>
                <w:sz w:val="21"/>
                <w:szCs w:val="21"/>
              </w:rPr>
              <w:t>r</w:t>
            </w:r>
            <w:r>
              <w:rPr>
                <w:rFonts w:ascii="Times New Roman" w:hAnsi="Times New Roman" w:eastAsia="Times New Roman" w:cs="Times New Roman"/>
                <w:color w:val="auto"/>
                <w:spacing w:val="8"/>
                <w:sz w:val="21"/>
                <w:szCs w:val="21"/>
              </w:rPr>
              <w:t xml:space="preserve">1 </w:t>
            </w:r>
            <w:r>
              <w:rPr>
                <w:rFonts w:ascii="宋体" w:hAnsi="宋体" w:eastAsia="宋体" w:cs="宋体"/>
                <w:color w:val="auto"/>
                <w:spacing w:val="8"/>
                <w:sz w:val="21"/>
                <w:szCs w:val="21"/>
              </w:rPr>
              <w:t>为室内某源距离围护结构的距离；</w:t>
            </w:r>
          </w:p>
          <w:p w14:paraId="027B3EC2">
            <w:pPr>
              <w:spacing w:before="179" w:line="240" w:lineRule="auto"/>
              <w:ind w:left="582" w:firstLine="1050" w:firstLineChars="500"/>
              <w:outlineLvl w:val="0"/>
              <w:rPr>
                <w:rFonts w:ascii="宋体" w:hAnsi="宋体" w:eastAsia="宋体" w:cs="宋体"/>
                <w:color w:val="auto"/>
                <w:sz w:val="21"/>
                <w:szCs w:val="21"/>
              </w:rPr>
            </w:pPr>
            <w:r>
              <w:rPr>
                <w:rFonts w:ascii="Times New Roman" w:hAnsi="Times New Roman" w:eastAsia="Times New Roman" w:cs="Times New Roman"/>
                <w:color w:val="auto"/>
                <w:sz w:val="21"/>
                <w:szCs w:val="21"/>
              </w:rPr>
              <w:t>R</w:t>
            </w:r>
            <w:r>
              <w:rPr>
                <w:rFonts w:ascii="Times New Roman" w:hAnsi="Times New Roman" w:eastAsia="Times New Roman" w:cs="Times New Roman"/>
                <w:color w:val="auto"/>
                <w:spacing w:val="8"/>
                <w:sz w:val="21"/>
                <w:szCs w:val="21"/>
              </w:rPr>
              <w:t xml:space="preserve"> </w:t>
            </w:r>
            <w:r>
              <w:rPr>
                <w:rFonts w:ascii="宋体" w:hAnsi="宋体" w:eastAsia="宋体" w:cs="宋体"/>
                <w:color w:val="auto"/>
                <w:spacing w:val="8"/>
                <w:sz w:val="21"/>
                <w:szCs w:val="21"/>
              </w:rPr>
              <w:t>为房间常数</w:t>
            </w:r>
            <w:r>
              <w:rPr>
                <w:rFonts w:ascii="宋体" w:hAnsi="宋体" w:eastAsia="宋体" w:cs="宋体"/>
                <w:color w:val="auto"/>
                <w:spacing w:val="7"/>
                <w:sz w:val="21"/>
                <w:szCs w:val="21"/>
              </w:rPr>
              <w:t>；</w:t>
            </w:r>
          </w:p>
          <w:p w14:paraId="6C5ED107">
            <w:pPr>
              <w:spacing w:before="175" w:line="240" w:lineRule="auto"/>
              <w:ind w:left="1786"/>
              <w:rPr>
                <w:rFonts w:ascii="宋体" w:hAnsi="宋体" w:eastAsia="宋体" w:cs="宋体"/>
                <w:color w:val="auto"/>
                <w:sz w:val="21"/>
                <w:szCs w:val="21"/>
              </w:rPr>
            </w:pPr>
            <w:r>
              <w:rPr>
                <w:rFonts w:ascii="Times New Roman" w:hAnsi="Times New Roman" w:eastAsia="Times New Roman" w:cs="Times New Roman"/>
                <w:color w:val="auto"/>
                <w:sz w:val="21"/>
                <w:szCs w:val="21"/>
              </w:rPr>
              <w:t>Q</w:t>
            </w:r>
            <w:r>
              <w:rPr>
                <w:rFonts w:ascii="Times New Roman" w:hAnsi="Times New Roman" w:eastAsia="Times New Roman" w:cs="Times New Roman"/>
                <w:color w:val="auto"/>
                <w:spacing w:val="11"/>
                <w:sz w:val="21"/>
                <w:szCs w:val="21"/>
              </w:rPr>
              <w:t xml:space="preserve"> </w:t>
            </w:r>
            <w:r>
              <w:rPr>
                <w:rFonts w:ascii="宋体" w:hAnsi="宋体" w:eastAsia="宋体" w:cs="宋体"/>
                <w:color w:val="auto"/>
                <w:spacing w:val="7"/>
                <w:sz w:val="21"/>
                <w:szCs w:val="21"/>
              </w:rPr>
              <w:t>为方向性因子。</w:t>
            </w:r>
          </w:p>
          <w:p w14:paraId="22F76461">
            <w:pPr>
              <w:spacing w:before="143" w:line="360" w:lineRule="auto"/>
              <w:ind w:left="578" w:firstLine="420" w:firstLineChars="200"/>
              <w:rPr>
                <w:rFonts w:ascii="宋体" w:hAnsi="宋体" w:eastAsia="宋体" w:cs="宋体"/>
                <w:color w:val="auto"/>
                <w:sz w:val="21"/>
                <w:szCs w:val="21"/>
              </w:rPr>
            </w:pPr>
            <w:r>
              <w:rPr>
                <w:rFonts w:ascii="Times New Roman" w:hAnsi="Times New Roman" w:eastAsia="Times New Roman" w:cs="Times New Roman"/>
                <w:color w:val="auto"/>
                <w:position w:val="1"/>
                <w:sz w:val="21"/>
                <w:szCs w:val="21"/>
              </w:rPr>
              <w:t>b</w:t>
            </w:r>
            <w:r>
              <w:rPr>
                <w:rFonts w:ascii="Times New Roman" w:hAnsi="Times New Roman" w:eastAsia="Times New Roman" w:cs="Times New Roman"/>
                <w:color w:val="auto"/>
                <w:spacing w:val="18"/>
                <w:position w:val="1"/>
                <w:sz w:val="21"/>
                <w:szCs w:val="21"/>
              </w:rPr>
              <w:t>.</w:t>
            </w:r>
            <w:r>
              <w:rPr>
                <w:rFonts w:ascii="宋体" w:hAnsi="宋体" w:eastAsia="宋体" w:cs="宋体"/>
                <w:color w:val="auto"/>
                <w:spacing w:val="11"/>
                <w:position w:val="1"/>
                <w:sz w:val="21"/>
                <w:szCs w:val="21"/>
              </w:rPr>
              <w:t>室</w:t>
            </w:r>
            <w:r>
              <w:rPr>
                <w:rFonts w:ascii="宋体" w:hAnsi="宋体" w:eastAsia="宋体" w:cs="宋体"/>
                <w:color w:val="auto"/>
                <w:spacing w:val="9"/>
                <w:position w:val="1"/>
                <w:sz w:val="21"/>
                <w:szCs w:val="21"/>
              </w:rPr>
              <w:t>内声源在靠近围护结构处产生的总倍频带声压级：</w:t>
            </w:r>
          </w:p>
          <w:p w14:paraId="1BC10462">
            <w:pPr>
              <w:spacing w:line="360" w:lineRule="auto"/>
              <w:ind w:left="3093"/>
              <w:rPr>
                <w:color w:val="auto"/>
                <w:sz w:val="21"/>
                <w:szCs w:val="21"/>
              </w:rPr>
            </w:pPr>
            <w:r>
              <w:rPr>
                <w:rFonts w:ascii="Times New Roman" w:hAnsi="Times New Roman" w:eastAsia="Times New Roman" w:cs="Times New Roman"/>
                <w:i/>
                <w:iCs/>
                <w:color w:val="auto"/>
                <w:position w:val="2"/>
                <w:sz w:val="21"/>
                <w:szCs w:val="21"/>
              </w:rPr>
              <w:t>L</w:t>
            </w:r>
            <w:r>
              <w:rPr>
                <w:rFonts w:ascii="Times New Roman" w:hAnsi="Times New Roman" w:eastAsia="Times New Roman" w:cs="Times New Roman"/>
                <w:i/>
                <w:iCs/>
                <w:color w:val="auto"/>
                <w:position w:val="-3"/>
                <w:sz w:val="21"/>
                <w:szCs w:val="21"/>
              </w:rPr>
              <w:t>oct</w:t>
            </w:r>
            <w:r>
              <w:rPr>
                <w:rFonts w:ascii="Times New Roman" w:hAnsi="Times New Roman" w:eastAsia="Times New Roman" w:cs="Times New Roman"/>
                <w:color w:val="auto"/>
                <w:spacing w:val="1"/>
                <w:position w:val="-3"/>
                <w:sz w:val="21"/>
                <w:szCs w:val="21"/>
              </w:rPr>
              <w:t xml:space="preserve"> ,1 </w:t>
            </w:r>
            <w:r>
              <w:rPr>
                <w:rFonts w:ascii="Times New Roman" w:hAnsi="Times New Roman" w:eastAsia="Times New Roman" w:cs="Times New Roman"/>
                <w:color w:val="auto"/>
                <w:spacing w:val="1"/>
                <w:position w:val="2"/>
                <w:sz w:val="21"/>
                <w:szCs w:val="21"/>
              </w:rPr>
              <w:t>(</w:t>
            </w:r>
            <w:r>
              <w:rPr>
                <w:rFonts w:ascii="Times New Roman" w:hAnsi="Times New Roman" w:eastAsia="Times New Roman" w:cs="Times New Roman"/>
                <w:i/>
                <w:iCs/>
                <w:color w:val="auto"/>
                <w:position w:val="2"/>
                <w:sz w:val="21"/>
                <w:szCs w:val="21"/>
              </w:rPr>
              <w:t>T</w:t>
            </w:r>
            <w:r>
              <w:rPr>
                <w:rFonts w:ascii="Times New Roman" w:hAnsi="Times New Roman" w:eastAsia="Times New Roman" w:cs="Times New Roman"/>
                <w:color w:val="auto"/>
                <w:spacing w:val="1"/>
                <w:position w:val="2"/>
                <w:sz w:val="21"/>
                <w:szCs w:val="21"/>
              </w:rPr>
              <w:t xml:space="preserve">) </w:t>
            </w:r>
            <w:r>
              <w:rPr>
                <w:rFonts w:ascii="微软雅黑" w:hAnsi="微软雅黑" w:eastAsia="微软雅黑" w:cs="微软雅黑"/>
                <w:color w:val="auto"/>
                <w:spacing w:val="1"/>
                <w:position w:val="2"/>
                <w:sz w:val="21"/>
                <w:szCs w:val="21"/>
              </w:rPr>
              <w:t xml:space="preserve">= </w:t>
            </w:r>
            <w:r>
              <w:rPr>
                <w:rFonts w:ascii="Times New Roman" w:hAnsi="Times New Roman" w:eastAsia="Times New Roman" w:cs="Times New Roman"/>
                <w:color w:val="auto"/>
                <w:spacing w:val="1"/>
                <w:position w:val="2"/>
                <w:sz w:val="21"/>
                <w:szCs w:val="21"/>
              </w:rPr>
              <w:t>10</w:t>
            </w:r>
            <w:r>
              <w:rPr>
                <w:rFonts w:ascii="Times New Roman" w:hAnsi="Times New Roman" w:eastAsia="Times New Roman" w:cs="Times New Roman"/>
                <w:color w:val="auto"/>
                <w:position w:val="2"/>
                <w:sz w:val="21"/>
                <w:szCs w:val="21"/>
              </w:rPr>
              <w:t>lg</w:t>
            </w:r>
            <w:r>
              <w:rPr>
                <w:color w:val="auto"/>
                <w:position w:val="-25"/>
                <w:sz w:val="21"/>
                <w:szCs w:val="21"/>
              </w:rPr>
              <w:drawing>
                <wp:inline distT="0" distB="0" distL="0" distR="0">
                  <wp:extent cx="61595" cy="422275"/>
                  <wp:effectExtent l="0" t="0" r="14605" b="15875"/>
                  <wp:docPr id="48" name="IM 14"/>
                  <wp:cNvGraphicFramePr/>
                  <a:graphic xmlns:a="http://schemas.openxmlformats.org/drawingml/2006/main">
                    <a:graphicData uri="http://schemas.openxmlformats.org/drawingml/2006/picture">
                      <pic:pic xmlns:pic="http://schemas.openxmlformats.org/drawingml/2006/picture">
                        <pic:nvPicPr>
                          <pic:cNvPr id="48" name="IM 14"/>
                          <pic:cNvPicPr/>
                        </pic:nvPicPr>
                        <pic:blipFill>
                          <a:blip r:embed="rId18"/>
                          <a:stretch>
                            <a:fillRect/>
                          </a:stretch>
                        </pic:blipFill>
                        <pic:spPr>
                          <a:xfrm>
                            <a:off x="0" y="0"/>
                            <a:ext cx="62030" cy="422557"/>
                          </a:xfrm>
                          <a:prstGeom prst="rect">
                            <a:avLst/>
                          </a:prstGeom>
                        </pic:spPr>
                      </pic:pic>
                    </a:graphicData>
                  </a:graphic>
                </wp:inline>
              </w:drawing>
            </w:r>
            <w:r>
              <w:rPr>
                <w:color w:val="auto"/>
                <w:position w:val="-24"/>
                <w:sz w:val="21"/>
                <w:szCs w:val="21"/>
              </w:rPr>
              <w:drawing>
                <wp:inline distT="0" distB="0" distL="0" distR="0">
                  <wp:extent cx="167640" cy="361315"/>
                  <wp:effectExtent l="0" t="0" r="3810" b="635"/>
                  <wp:docPr id="49" name="IM 15"/>
                  <wp:cNvGraphicFramePr/>
                  <a:graphic xmlns:a="http://schemas.openxmlformats.org/drawingml/2006/main">
                    <a:graphicData uri="http://schemas.openxmlformats.org/drawingml/2006/picture">
                      <pic:pic xmlns:pic="http://schemas.openxmlformats.org/drawingml/2006/picture">
                        <pic:nvPicPr>
                          <pic:cNvPr id="49" name="IM 15"/>
                          <pic:cNvPicPr/>
                        </pic:nvPicPr>
                        <pic:blipFill>
                          <a:blip r:embed="rId19"/>
                          <a:stretch>
                            <a:fillRect/>
                          </a:stretch>
                        </pic:blipFill>
                        <pic:spPr>
                          <a:xfrm>
                            <a:off x="0" y="0"/>
                            <a:ext cx="167870" cy="361689"/>
                          </a:xfrm>
                          <a:prstGeom prst="rect">
                            <a:avLst/>
                          </a:prstGeom>
                        </pic:spPr>
                      </pic:pic>
                    </a:graphicData>
                  </a:graphic>
                </wp:inline>
              </w:drawing>
            </w:r>
            <w:r>
              <w:rPr>
                <w:rFonts w:ascii="Times New Roman" w:hAnsi="Times New Roman" w:eastAsia="Times New Roman" w:cs="Times New Roman"/>
                <w:color w:val="auto"/>
                <w:spacing w:val="1"/>
                <w:position w:val="2"/>
                <w:sz w:val="21"/>
                <w:szCs w:val="21"/>
              </w:rPr>
              <w:t>10</w:t>
            </w:r>
            <w:r>
              <w:rPr>
                <w:rFonts w:ascii="Times New Roman" w:hAnsi="Times New Roman" w:eastAsia="Times New Roman" w:cs="Times New Roman"/>
                <w:color w:val="auto"/>
                <w:spacing w:val="1"/>
                <w:position w:val="15"/>
                <w:sz w:val="21"/>
                <w:szCs w:val="21"/>
              </w:rPr>
              <w:t>0. 1</w:t>
            </w:r>
            <w:r>
              <w:rPr>
                <w:rFonts w:ascii="Times New Roman" w:hAnsi="Times New Roman" w:eastAsia="Times New Roman" w:cs="Times New Roman"/>
                <w:i/>
                <w:iCs/>
                <w:color w:val="auto"/>
                <w:position w:val="15"/>
                <w:sz w:val="21"/>
                <w:szCs w:val="21"/>
              </w:rPr>
              <w:t>L</w:t>
            </w:r>
            <w:r>
              <w:rPr>
                <w:rFonts w:ascii="Times New Roman" w:hAnsi="Times New Roman" w:eastAsia="Times New Roman" w:cs="Times New Roman"/>
                <w:i/>
                <w:iCs/>
                <w:color w:val="auto"/>
                <w:position w:val="12"/>
                <w:sz w:val="21"/>
                <w:szCs w:val="21"/>
              </w:rPr>
              <w:t>oct</w:t>
            </w:r>
            <w:r>
              <w:rPr>
                <w:rFonts w:ascii="Times New Roman" w:hAnsi="Times New Roman" w:eastAsia="Times New Roman" w:cs="Times New Roman"/>
                <w:color w:val="auto"/>
                <w:spacing w:val="1"/>
                <w:position w:val="12"/>
                <w:sz w:val="21"/>
                <w:szCs w:val="21"/>
              </w:rPr>
              <w:t xml:space="preserve"> , 1</w:t>
            </w:r>
            <w:r>
              <w:rPr>
                <w:rFonts w:ascii="Times New Roman" w:hAnsi="Times New Roman" w:eastAsia="Times New Roman" w:cs="Times New Roman"/>
                <w:color w:val="auto"/>
                <w:position w:val="12"/>
                <w:sz w:val="21"/>
                <w:szCs w:val="21"/>
              </w:rPr>
              <w:t xml:space="preserve">( </w:t>
            </w:r>
            <w:r>
              <w:rPr>
                <w:rFonts w:ascii="Times New Roman" w:hAnsi="Times New Roman" w:eastAsia="Times New Roman" w:cs="Times New Roman"/>
                <w:i/>
                <w:iCs/>
                <w:color w:val="auto"/>
                <w:position w:val="12"/>
                <w:sz w:val="21"/>
                <w:szCs w:val="21"/>
              </w:rPr>
              <w:t>i</w:t>
            </w:r>
            <w:r>
              <w:rPr>
                <w:rFonts w:ascii="Times New Roman" w:hAnsi="Times New Roman" w:eastAsia="Times New Roman" w:cs="Times New Roman"/>
                <w:color w:val="auto"/>
                <w:position w:val="12"/>
                <w:sz w:val="21"/>
                <w:szCs w:val="21"/>
              </w:rPr>
              <w:t xml:space="preserve"> )  </w:t>
            </w:r>
            <w:r>
              <w:rPr>
                <w:color w:val="auto"/>
                <w:position w:val="-25"/>
                <w:sz w:val="21"/>
                <w:szCs w:val="21"/>
              </w:rPr>
              <w:drawing>
                <wp:inline distT="0" distB="0" distL="0" distR="0">
                  <wp:extent cx="59055" cy="422275"/>
                  <wp:effectExtent l="0" t="0" r="17145" b="15875"/>
                  <wp:docPr id="50" name="IM 16"/>
                  <wp:cNvGraphicFramePr/>
                  <a:graphic xmlns:a="http://schemas.openxmlformats.org/drawingml/2006/main">
                    <a:graphicData uri="http://schemas.openxmlformats.org/drawingml/2006/picture">
                      <pic:pic xmlns:pic="http://schemas.openxmlformats.org/drawingml/2006/picture">
                        <pic:nvPicPr>
                          <pic:cNvPr id="50" name="IM 16"/>
                          <pic:cNvPicPr/>
                        </pic:nvPicPr>
                        <pic:blipFill>
                          <a:blip r:embed="rId20"/>
                          <a:stretch>
                            <a:fillRect/>
                          </a:stretch>
                        </pic:blipFill>
                        <pic:spPr>
                          <a:xfrm>
                            <a:off x="0" y="0"/>
                            <a:ext cx="59277" cy="422557"/>
                          </a:xfrm>
                          <a:prstGeom prst="rect">
                            <a:avLst/>
                          </a:prstGeom>
                        </pic:spPr>
                      </pic:pic>
                    </a:graphicData>
                  </a:graphic>
                </wp:inline>
              </w:drawing>
            </w:r>
          </w:p>
          <w:p w14:paraId="7535C62C">
            <w:pPr>
              <w:spacing w:line="360" w:lineRule="auto"/>
              <w:ind w:left="1066"/>
              <w:rPr>
                <w:rFonts w:ascii="宋体" w:hAnsi="宋体" w:eastAsia="宋体" w:cs="宋体"/>
                <w:color w:val="auto"/>
                <w:sz w:val="21"/>
                <w:szCs w:val="21"/>
              </w:rPr>
            </w:pPr>
            <w:r>
              <w:rPr>
                <w:rFonts w:ascii="Times New Roman" w:hAnsi="Times New Roman" w:eastAsia="Times New Roman" w:cs="Times New Roman"/>
                <w:color w:val="auto"/>
                <w:sz w:val="21"/>
                <w:szCs w:val="21"/>
              </w:rPr>
              <w:t>c</w:t>
            </w:r>
            <w:r>
              <w:rPr>
                <w:rFonts w:ascii="Times New Roman" w:hAnsi="Times New Roman" w:eastAsia="Times New Roman" w:cs="Times New Roman"/>
                <w:color w:val="auto"/>
                <w:spacing w:val="18"/>
                <w:sz w:val="21"/>
                <w:szCs w:val="21"/>
              </w:rPr>
              <w:t>.</w:t>
            </w:r>
            <w:r>
              <w:rPr>
                <w:rFonts w:ascii="宋体" w:hAnsi="宋体" w:eastAsia="宋体" w:cs="宋体"/>
                <w:color w:val="auto"/>
                <w:spacing w:val="18"/>
                <w:sz w:val="21"/>
                <w:szCs w:val="21"/>
              </w:rPr>
              <w:t>室外靠近围护结构处的总的声压级</w:t>
            </w:r>
            <w:r>
              <w:rPr>
                <w:rFonts w:ascii="宋体" w:hAnsi="宋体" w:eastAsia="宋体" w:cs="宋体"/>
                <w:color w:val="auto"/>
                <w:spacing w:val="16"/>
                <w:sz w:val="21"/>
                <w:szCs w:val="21"/>
              </w:rPr>
              <w:t>：</w:t>
            </w:r>
          </w:p>
          <w:p w14:paraId="2614B9DE">
            <w:pPr>
              <w:spacing w:before="136" w:line="360" w:lineRule="auto"/>
              <w:ind w:left="3245"/>
              <w:outlineLvl w:val="0"/>
              <w:rPr>
                <w:rFonts w:ascii="Times New Roman" w:hAnsi="Times New Roman" w:eastAsia="Times New Roman" w:cs="Times New Roman"/>
                <w:color w:val="auto"/>
                <w:sz w:val="21"/>
                <w:szCs w:val="21"/>
              </w:rPr>
            </w:pP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position w:val="3"/>
                <w:sz w:val="21"/>
                <w:szCs w:val="21"/>
              </w:rPr>
              <w:t>oct</w:t>
            </w:r>
            <w:r>
              <w:rPr>
                <w:rFonts w:ascii="Times New Roman" w:hAnsi="Times New Roman" w:eastAsia="Times New Roman" w:cs="Times New Roman"/>
                <w:color w:val="auto"/>
                <w:spacing w:val="1"/>
                <w:position w:val="3"/>
                <w:sz w:val="21"/>
                <w:szCs w:val="21"/>
              </w:rPr>
              <w:t>, 1</w:t>
            </w:r>
            <w:r>
              <w:rPr>
                <w:rFonts w:ascii="Times New Roman" w:hAnsi="Times New Roman" w:eastAsia="Times New Roman" w:cs="Times New Roman"/>
                <w:color w:val="auto"/>
                <w:spacing w:val="1"/>
                <w:position w:val="4"/>
                <w:sz w:val="21"/>
                <w:szCs w:val="21"/>
              </w:rPr>
              <w:t>(</w:t>
            </w:r>
            <w:r>
              <w:rPr>
                <w:rFonts w:ascii="Times New Roman" w:hAnsi="Times New Roman" w:eastAsia="Times New Roman" w:cs="Times New Roman"/>
                <w:color w:val="auto"/>
                <w:position w:val="4"/>
                <w:sz w:val="21"/>
                <w:szCs w:val="21"/>
              </w:rPr>
              <w:t>T</w:t>
            </w:r>
            <w:r>
              <w:rPr>
                <w:rFonts w:ascii="Times New Roman" w:hAnsi="Times New Roman" w:eastAsia="Times New Roman" w:cs="Times New Roman"/>
                <w:color w:val="auto"/>
                <w:spacing w:val="1"/>
                <w:position w:val="4"/>
                <w:sz w:val="21"/>
                <w:szCs w:val="21"/>
              </w:rPr>
              <w:t>)=</w:t>
            </w: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spacing w:val="1"/>
                <w:position w:val="3"/>
                <w:sz w:val="21"/>
                <w:szCs w:val="21"/>
              </w:rPr>
              <w:t>0</w:t>
            </w:r>
            <w:r>
              <w:rPr>
                <w:rFonts w:ascii="Times New Roman" w:hAnsi="Times New Roman" w:eastAsia="Times New Roman" w:cs="Times New Roman"/>
                <w:color w:val="auto"/>
                <w:position w:val="3"/>
                <w:sz w:val="21"/>
                <w:szCs w:val="21"/>
              </w:rPr>
              <w:t>ct</w:t>
            </w:r>
            <w:r>
              <w:rPr>
                <w:rFonts w:ascii="Times New Roman" w:hAnsi="Times New Roman" w:eastAsia="Times New Roman" w:cs="Times New Roman"/>
                <w:color w:val="auto"/>
                <w:spacing w:val="1"/>
                <w:position w:val="3"/>
                <w:sz w:val="21"/>
                <w:szCs w:val="21"/>
              </w:rPr>
              <w:t>, 1</w:t>
            </w:r>
            <w:r>
              <w:rPr>
                <w:rFonts w:ascii="Times New Roman" w:hAnsi="Times New Roman" w:eastAsia="Times New Roman" w:cs="Times New Roman"/>
                <w:color w:val="auto"/>
                <w:spacing w:val="1"/>
                <w:position w:val="4"/>
                <w:sz w:val="21"/>
                <w:szCs w:val="21"/>
              </w:rPr>
              <w:t>(</w:t>
            </w:r>
            <w:r>
              <w:rPr>
                <w:rFonts w:ascii="Times New Roman" w:hAnsi="Times New Roman" w:eastAsia="Times New Roman" w:cs="Times New Roman"/>
                <w:color w:val="auto"/>
                <w:position w:val="4"/>
                <w:sz w:val="21"/>
                <w:szCs w:val="21"/>
              </w:rPr>
              <w:t>T</w:t>
            </w:r>
            <w:r>
              <w:rPr>
                <w:rFonts w:ascii="Times New Roman" w:hAnsi="Times New Roman" w:eastAsia="Times New Roman" w:cs="Times New Roman"/>
                <w:color w:val="auto"/>
                <w:spacing w:val="1"/>
                <w:position w:val="4"/>
                <w:sz w:val="21"/>
                <w:szCs w:val="21"/>
              </w:rPr>
              <w:t>)-(</w:t>
            </w:r>
            <w:r>
              <w:rPr>
                <w:rFonts w:ascii="Times New Roman" w:hAnsi="Times New Roman" w:eastAsia="Times New Roman" w:cs="Times New Roman"/>
                <w:color w:val="auto"/>
                <w:position w:val="4"/>
                <w:sz w:val="21"/>
                <w:szCs w:val="21"/>
              </w:rPr>
              <w:t>T</w:t>
            </w:r>
            <w:r>
              <w:rPr>
                <w:rFonts w:ascii="Times New Roman" w:hAnsi="Times New Roman" w:eastAsia="Times New Roman" w:cs="Times New Roman"/>
                <w:color w:val="auto"/>
                <w:position w:val="3"/>
                <w:sz w:val="21"/>
                <w:szCs w:val="21"/>
              </w:rPr>
              <w:t>loct</w:t>
            </w:r>
            <w:r>
              <w:rPr>
                <w:rFonts w:ascii="Times New Roman" w:hAnsi="Times New Roman" w:eastAsia="Times New Roman" w:cs="Times New Roman"/>
                <w:color w:val="auto"/>
                <w:spacing w:val="1"/>
                <w:position w:val="4"/>
                <w:sz w:val="21"/>
                <w:szCs w:val="21"/>
              </w:rPr>
              <w:t>+6</w:t>
            </w:r>
            <w:r>
              <w:rPr>
                <w:rFonts w:ascii="Times New Roman" w:hAnsi="Times New Roman" w:eastAsia="Times New Roman" w:cs="Times New Roman"/>
                <w:color w:val="auto"/>
                <w:position w:val="4"/>
                <w:sz w:val="21"/>
                <w:szCs w:val="21"/>
              </w:rPr>
              <w:t>)</w:t>
            </w:r>
          </w:p>
          <w:p w14:paraId="509AD151">
            <w:pPr>
              <w:spacing w:before="136" w:line="360" w:lineRule="auto"/>
              <w:ind w:left="1066"/>
              <w:rPr>
                <w:rFonts w:ascii="宋体" w:hAnsi="宋体" w:eastAsia="宋体" w:cs="宋体"/>
                <w:color w:val="auto"/>
                <w:sz w:val="21"/>
                <w:szCs w:val="21"/>
              </w:rPr>
            </w:pPr>
            <w:r>
              <w:rPr>
                <w:rFonts w:ascii="Times New Roman" w:hAnsi="Times New Roman" w:eastAsia="Times New Roman" w:cs="Times New Roman"/>
                <w:color w:val="auto"/>
                <w:position w:val="1"/>
                <w:sz w:val="21"/>
                <w:szCs w:val="21"/>
              </w:rPr>
              <w:t>d</w:t>
            </w:r>
            <w:r>
              <w:rPr>
                <w:rFonts w:ascii="Times New Roman" w:hAnsi="Times New Roman" w:eastAsia="Times New Roman" w:cs="Times New Roman"/>
                <w:color w:val="auto"/>
                <w:spacing w:val="16"/>
                <w:position w:val="1"/>
                <w:sz w:val="21"/>
                <w:szCs w:val="21"/>
              </w:rPr>
              <w:t>.</w:t>
            </w:r>
            <w:r>
              <w:rPr>
                <w:rFonts w:ascii="宋体" w:hAnsi="宋体" w:eastAsia="宋体" w:cs="宋体"/>
                <w:color w:val="auto"/>
                <w:spacing w:val="13"/>
                <w:position w:val="1"/>
                <w:sz w:val="21"/>
                <w:szCs w:val="21"/>
              </w:rPr>
              <w:t>室</w:t>
            </w:r>
            <w:r>
              <w:rPr>
                <w:rFonts w:ascii="宋体" w:hAnsi="宋体" w:eastAsia="宋体" w:cs="宋体"/>
                <w:color w:val="auto"/>
                <w:spacing w:val="8"/>
                <w:position w:val="1"/>
                <w:sz w:val="21"/>
                <w:szCs w:val="21"/>
              </w:rPr>
              <w:t>外声压级换算成等效的室外声源：</w:t>
            </w:r>
          </w:p>
          <w:p w14:paraId="1CF9A13F">
            <w:pPr>
              <w:spacing w:before="138" w:line="360" w:lineRule="auto"/>
              <w:ind w:left="3470"/>
              <w:outlineLvl w:val="0"/>
              <w:rPr>
                <w:rFonts w:ascii="Times New Roman" w:hAnsi="Times New Roman" w:eastAsia="Times New Roman" w:cs="Times New Roman"/>
                <w:color w:val="auto"/>
                <w:sz w:val="21"/>
                <w:szCs w:val="21"/>
              </w:rPr>
            </w:pP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position w:val="3"/>
                <w:sz w:val="21"/>
                <w:szCs w:val="21"/>
              </w:rPr>
              <w:t>w</w:t>
            </w:r>
            <w:r>
              <w:rPr>
                <w:rFonts w:ascii="Times New Roman" w:hAnsi="Times New Roman" w:eastAsia="Times New Roman" w:cs="Times New Roman"/>
                <w:color w:val="auto"/>
                <w:spacing w:val="8"/>
                <w:position w:val="3"/>
                <w:sz w:val="21"/>
                <w:szCs w:val="21"/>
              </w:rPr>
              <w:t xml:space="preserve"> </w:t>
            </w:r>
            <w:r>
              <w:rPr>
                <w:rFonts w:ascii="Times New Roman" w:hAnsi="Times New Roman" w:eastAsia="Times New Roman" w:cs="Times New Roman"/>
                <w:color w:val="auto"/>
                <w:position w:val="3"/>
                <w:sz w:val="21"/>
                <w:szCs w:val="21"/>
              </w:rPr>
              <w:t>oct</w:t>
            </w:r>
            <w:r>
              <w:rPr>
                <w:rFonts w:ascii="Times New Roman" w:hAnsi="Times New Roman" w:eastAsia="Times New Roman" w:cs="Times New Roman"/>
                <w:color w:val="auto"/>
                <w:spacing w:val="8"/>
                <w:position w:val="4"/>
                <w:sz w:val="21"/>
                <w:szCs w:val="21"/>
              </w:rPr>
              <w:t>=</w:t>
            </w:r>
            <w:r>
              <w:rPr>
                <w:rFonts w:ascii="Times New Roman" w:hAnsi="Times New Roman" w:eastAsia="Times New Roman" w:cs="Times New Roman"/>
                <w:color w:val="auto"/>
                <w:position w:val="4"/>
                <w:sz w:val="21"/>
                <w:szCs w:val="21"/>
              </w:rPr>
              <w:t>L</w:t>
            </w:r>
            <w:r>
              <w:rPr>
                <w:rFonts w:ascii="Times New Roman" w:hAnsi="Times New Roman" w:eastAsia="Times New Roman" w:cs="Times New Roman"/>
                <w:color w:val="auto"/>
                <w:position w:val="3"/>
                <w:sz w:val="21"/>
                <w:szCs w:val="21"/>
              </w:rPr>
              <w:t>oct</w:t>
            </w:r>
            <w:r>
              <w:rPr>
                <w:rFonts w:ascii="Times New Roman" w:hAnsi="Times New Roman" w:eastAsia="Times New Roman" w:cs="Times New Roman"/>
                <w:color w:val="auto"/>
                <w:spacing w:val="8"/>
                <w:position w:val="3"/>
                <w:sz w:val="21"/>
                <w:szCs w:val="21"/>
              </w:rPr>
              <w:t>,2</w:t>
            </w:r>
            <w:r>
              <w:rPr>
                <w:rFonts w:ascii="Times New Roman" w:hAnsi="Times New Roman" w:eastAsia="Times New Roman" w:cs="Times New Roman"/>
                <w:color w:val="auto"/>
                <w:spacing w:val="8"/>
                <w:position w:val="4"/>
                <w:sz w:val="21"/>
                <w:szCs w:val="21"/>
              </w:rPr>
              <w:t>(</w:t>
            </w:r>
            <w:r>
              <w:rPr>
                <w:rFonts w:ascii="Times New Roman" w:hAnsi="Times New Roman" w:eastAsia="Times New Roman" w:cs="Times New Roman"/>
                <w:color w:val="auto"/>
                <w:position w:val="4"/>
                <w:sz w:val="21"/>
                <w:szCs w:val="21"/>
              </w:rPr>
              <w:t>T</w:t>
            </w:r>
            <w:r>
              <w:rPr>
                <w:rFonts w:ascii="Times New Roman" w:hAnsi="Times New Roman" w:eastAsia="Times New Roman" w:cs="Times New Roman"/>
                <w:color w:val="auto"/>
                <w:spacing w:val="8"/>
                <w:position w:val="4"/>
                <w:sz w:val="21"/>
                <w:szCs w:val="21"/>
              </w:rPr>
              <w:t>)+10</w:t>
            </w:r>
            <w:r>
              <w:rPr>
                <w:rFonts w:ascii="Times New Roman" w:hAnsi="Times New Roman" w:eastAsia="Times New Roman" w:cs="Times New Roman"/>
                <w:color w:val="auto"/>
                <w:position w:val="4"/>
                <w:sz w:val="21"/>
                <w:szCs w:val="21"/>
              </w:rPr>
              <w:t>lgS</w:t>
            </w:r>
          </w:p>
          <w:p w14:paraId="7FCB664D">
            <w:pPr>
              <w:spacing w:before="180" w:line="360" w:lineRule="auto"/>
              <w:ind w:left="1072"/>
              <w:rPr>
                <w:rFonts w:ascii="宋体" w:hAnsi="宋体" w:eastAsia="宋体" w:cs="宋体"/>
                <w:color w:val="auto"/>
                <w:sz w:val="21"/>
                <w:szCs w:val="21"/>
              </w:rPr>
            </w:pPr>
            <w:r>
              <w:rPr>
                <w:rFonts w:ascii="宋体" w:hAnsi="宋体" w:eastAsia="宋体" w:cs="宋体"/>
                <w:color w:val="auto"/>
                <w:spacing w:val="9"/>
                <w:sz w:val="21"/>
                <w:szCs w:val="21"/>
              </w:rPr>
              <w:t>式</w:t>
            </w:r>
            <w:r>
              <w:rPr>
                <w:rFonts w:ascii="宋体" w:hAnsi="宋体" w:eastAsia="宋体" w:cs="宋体"/>
                <w:color w:val="auto"/>
                <w:spacing w:val="7"/>
                <w:sz w:val="21"/>
                <w:szCs w:val="21"/>
              </w:rPr>
              <w:t>中：</w:t>
            </w:r>
            <w:r>
              <w:rPr>
                <w:rFonts w:ascii="Times New Roman" w:hAnsi="Times New Roman" w:eastAsia="Times New Roman" w:cs="Times New Roman"/>
                <w:color w:val="auto"/>
                <w:sz w:val="21"/>
                <w:szCs w:val="21"/>
              </w:rPr>
              <w:t>S</w:t>
            </w:r>
            <w:r>
              <w:rPr>
                <w:rFonts w:ascii="Times New Roman" w:hAnsi="Times New Roman" w:eastAsia="Times New Roman" w:cs="Times New Roman"/>
                <w:color w:val="auto"/>
                <w:spacing w:val="7"/>
                <w:sz w:val="21"/>
                <w:szCs w:val="21"/>
              </w:rPr>
              <w:t xml:space="preserve"> </w:t>
            </w:r>
            <w:r>
              <w:rPr>
                <w:rFonts w:ascii="宋体" w:hAnsi="宋体" w:eastAsia="宋体" w:cs="宋体"/>
                <w:color w:val="auto"/>
                <w:spacing w:val="7"/>
                <w:sz w:val="21"/>
                <w:szCs w:val="21"/>
              </w:rPr>
              <w:t>为透声面积。</w:t>
            </w:r>
          </w:p>
          <w:p w14:paraId="67EB9703">
            <w:pPr>
              <w:spacing w:before="9" w:line="360" w:lineRule="auto"/>
              <w:ind w:left="107" w:right="103" w:firstLine="1524" w:firstLineChars="726"/>
              <w:rPr>
                <w:rFonts w:ascii="Times New Roman" w:hAnsi="Times New Roman" w:eastAsia="Times New Roman" w:cs="Times New Roman"/>
                <w:color w:val="auto"/>
                <w:spacing w:val="6"/>
                <w:position w:val="-1"/>
                <w:sz w:val="21"/>
                <w:szCs w:val="21"/>
              </w:rPr>
            </w:pPr>
            <w:r>
              <w:rPr>
                <w:rFonts w:ascii="Times New Roman" w:hAnsi="Times New Roman" w:eastAsia="Times New Roman" w:cs="Times New Roman"/>
                <w:color w:val="auto"/>
                <w:sz w:val="21"/>
                <w:szCs w:val="21"/>
              </w:rPr>
              <w:t>e</w:t>
            </w:r>
            <w:r>
              <w:rPr>
                <w:rFonts w:ascii="Times New Roman" w:hAnsi="Times New Roman" w:eastAsia="Times New Roman" w:cs="Times New Roman"/>
                <w:color w:val="auto"/>
                <w:spacing w:val="6"/>
                <w:sz w:val="21"/>
                <w:szCs w:val="21"/>
              </w:rPr>
              <w:t>.</w:t>
            </w:r>
            <w:r>
              <w:rPr>
                <w:rFonts w:ascii="宋体" w:hAnsi="宋体" w:eastAsia="宋体" w:cs="宋体"/>
                <w:color w:val="auto"/>
                <w:spacing w:val="6"/>
                <w:sz w:val="21"/>
                <w:szCs w:val="21"/>
              </w:rPr>
              <w:t>等效室外声源的位置为围护结构的位置，其倍频带声功率级为</w:t>
            </w:r>
            <w:r>
              <w:rPr>
                <w:rFonts w:ascii="Times New Roman" w:hAnsi="Times New Roman" w:eastAsia="Times New Roman" w:cs="Times New Roman"/>
                <w:color w:val="auto"/>
                <w:sz w:val="21"/>
                <w:szCs w:val="21"/>
              </w:rPr>
              <w:t>L</w:t>
            </w:r>
            <w:r>
              <w:rPr>
                <w:rFonts w:ascii="Times New Roman" w:hAnsi="Times New Roman" w:eastAsia="Times New Roman" w:cs="Times New Roman"/>
                <w:color w:val="auto"/>
                <w:position w:val="-1"/>
                <w:sz w:val="21"/>
                <w:szCs w:val="21"/>
              </w:rPr>
              <w:t>w</w:t>
            </w:r>
            <w:r>
              <w:rPr>
                <w:rFonts w:ascii="Times New Roman" w:hAnsi="Times New Roman" w:eastAsia="Times New Roman" w:cs="Times New Roman"/>
                <w:color w:val="auto"/>
                <w:spacing w:val="6"/>
                <w:position w:val="-1"/>
                <w:sz w:val="21"/>
                <w:szCs w:val="21"/>
              </w:rPr>
              <w:t xml:space="preserve"> </w:t>
            </w:r>
          </w:p>
          <w:p w14:paraId="31C47F55">
            <w:pPr>
              <w:spacing w:before="9" w:line="360" w:lineRule="auto"/>
              <w:ind w:left="107" w:right="103" w:firstLine="1524" w:firstLineChars="726"/>
              <w:rPr>
                <w:rFonts w:ascii="宋体" w:hAnsi="宋体" w:eastAsia="宋体" w:cs="宋体"/>
                <w:color w:val="auto"/>
                <w:spacing w:val="8"/>
                <w:sz w:val="21"/>
                <w:szCs w:val="21"/>
              </w:rPr>
            </w:pPr>
            <w:r>
              <w:rPr>
                <w:rFonts w:ascii="Times New Roman" w:hAnsi="Times New Roman" w:eastAsia="Times New Roman" w:cs="Times New Roman"/>
                <w:color w:val="auto"/>
                <w:position w:val="-1"/>
                <w:sz w:val="21"/>
                <w:szCs w:val="21"/>
              </w:rPr>
              <w:t>oct</w:t>
            </w:r>
            <w:r>
              <w:rPr>
                <w:rFonts w:ascii="宋体" w:hAnsi="宋体" w:eastAsia="宋体" w:cs="宋体"/>
                <w:color w:val="auto"/>
                <w:spacing w:val="1"/>
                <w:sz w:val="21"/>
                <w:szCs w:val="21"/>
              </w:rPr>
              <w:t>，</w:t>
            </w:r>
            <w:r>
              <w:rPr>
                <w:rFonts w:ascii="宋体" w:hAnsi="宋体" w:eastAsia="宋体" w:cs="宋体"/>
                <w:color w:val="auto"/>
                <w:spacing w:val="13"/>
                <w:sz w:val="21"/>
                <w:szCs w:val="21"/>
              </w:rPr>
              <w:t>由</w:t>
            </w:r>
            <w:r>
              <w:rPr>
                <w:rFonts w:ascii="宋体" w:hAnsi="宋体" w:eastAsia="宋体" w:cs="宋体"/>
                <w:color w:val="auto"/>
                <w:spacing w:val="8"/>
                <w:sz w:val="21"/>
                <w:szCs w:val="21"/>
              </w:rPr>
              <w:t>此按室外声源方法计算等效室外声源在预测点产生的声级。</w:t>
            </w:r>
          </w:p>
          <w:p w14:paraId="16031839">
            <w:pPr>
              <w:spacing w:before="9" w:line="360" w:lineRule="auto"/>
              <w:ind w:left="107" w:right="103" w:firstLine="480"/>
              <w:rPr>
                <w:rFonts w:ascii="宋体" w:hAnsi="宋体" w:eastAsia="宋体" w:cs="宋体"/>
                <w:color w:val="auto"/>
                <w:spacing w:val="7"/>
                <w:sz w:val="21"/>
                <w:szCs w:val="21"/>
              </w:rPr>
            </w:pPr>
            <w:r>
              <w:rPr>
                <w:rFonts w:ascii="宋体" w:hAnsi="宋体" w:eastAsia="宋体" w:cs="宋体"/>
                <w:color w:val="auto"/>
                <w:spacing w:val="14"/>
                <w:sz w:val="21"/>
                <w:szCs w:val="21"/>
              </w:rPr>
              <w:t>根据</w:t>
            </w:r>
            <w:r>
              <w:rPr>
                <w:rFonts w:ascii="宋体" w:hAnsi="宋体" w:eastAsia="宋体" w:cs="宋体"/>
                <w:color w:val="auto"/>
                <w:spacing w:val="13"/>
                <w:sz w:val="21"/>
                <w:szCs w:val="21"/>
              </w:rPr>
              <w:t>本</w:t>
            </w:r>
            <w:r>
              <w:rPr>
                <w:rFonts w:ascii="宋体" w:hAnsi="宋体" w:eastAsia="宋体" w:cs="宋体"/>
                <w:color w:val="auto"/>
                <w:spacing w:val="7"/>
                <w:sz w:val="21"/>
                <w:szCs w:val="21"/>
              </w:rPr>
              <w:t>项目的特点和现有的资料数据，对计算模式进行简化并进行估算，为</w:t>
            </w:r>
            <w:r>
              <w:rPr>
                <w:rFonts w:ascii="宋体" w:hAnsi="宋体" w:eastAsia="宋体" w:cs="宋体"/>
                <w:color w:val="auto"/>
                <w:spacing w:val="14"/>
                <w:sz w:val="21"/>
                <w:szCs w:val="21"/>
              </w:rPr>
              <w:t>充分估</w:t>
            </w:r>
            <w:r>
              <w:rPr>
                <w:rFonts w:ascii="宋体" w:hAnsi="宋体" w:eastAsia="宋体" w:cs="宋体"/>
                <w:color w:val="auto"/>
                <w:spacing w:val="12"/>
                <w:sz w:val="21"/>
                <w:szCs w:val="21"/>
              </w:rPr>
              <w:t>算</w:t>
            </w:r>
            <w:r>
              <w:rPr>
                <w:rFonts w:ascii="宋体" w:hAnsi="宋体" w:eastAsia="宋体" w:cs="宋体"/>
                <w:color w:val="auto"/>
                <w:spacing w:val="7"/>
                <w:sz w:val="21"/>
                <w:szCs w:val="21"/>
              </w:rPr>
              <w:t>声源对周围环境的影响，对不满足计算条件的小额正衰减予以忽略，在</w:t>
            </w:r>
            <w:r>
              <w:rPr>
                <w:rFonts w:ascii="宋体" w:hAnsi="宋体" w:eastAsia="宋体" w:cs="宋体"/>
                <w:color w:val="auto"/>
                <w:spacing w:val="28"/>
                <w:sz w:val="21"/>
                <w:szCs w:val="21"/>
              </w:rPr>
              <w:t>此</w:t>
            </w:r>
            <w:r>
              <w:rPr>
                <w:rFonts w:ascii="宋体" w:hAnsi="宋体" w:eastAsia="宋体" w:cs="宋体"/>
                <w:color w:val="auto"/>
                <w:spacing w:val="24"/>
                <w:sz w:val="21"/>
                <w:szCs w:val="21"/>
              </w:rPr>
              <w:t>基</w:t>
            </w:r>
            <w:r>
              <w:rPr>
                <w:rFonts w:ascii="宋体" w:hAnsi="宋体" w:eastAsia="宋体" w:cs="宋体"/>
                <w:color w:val="auto"/>
                <w:spacing w:val="14"/>
                <w:sz w:val="21"/>
                <w:szCs w:val="21"/>
              </w:rPr>
              <w:t>础上进一步计算各预测点的声级。先计算设备噪声到各预测点的声压级合成，即</w:t>
            </w:r>
            <w:r>
              <w:rPr>
                <w:rFonts w:ascii="宋体" w:hAnsi="宋体" w:eastAsia="宋体" w:cs="宋体"/>
                <w:color w:val="auto"/>
                <w:spacing w:val="12"/>
                <w:sz w:val="21"/>
                <w:szCs w:val="21"/>
              </w:rPr>
              <w:t>以</w:t>
            </w:r>
            <w:r>
              <w:rPr>
                <w:rFonts w:ascii="宋体" w:hAnsi="宋体" w:eastAsia="宋体" w:cs="宋体"/>
                <w:color w:val="auto"/>
                <w:spacing w:val="7"/>
                <w:sz w:val="21"/>
                <w:szCs w:val="21"/>
              </w:rPr>
              <w:t>车间或装置作为一个整体声源，分段以不同模式测算其对外辐射的衰减</w:t>
            </w:r>
            <w:r>
              <w:rPr>
                <w:rFonts w:ascii="宋体" w:hAnsi="宋体" w:eastAsia="宋体" w:cs="宋体"/>
                <w:color w:val="auto"/>
                <w:spacing w:val="14"/>
                <w:sz w:val="21"/>
                <w:szCs w:val="21"/>
              </w:rPr>
              <w:t>量，预</w:t>
            </w:r>
            <w:r>
              <w:rPr>
                <w:rFonts w:ascii="宋体" w:hAnsi="宋体" w:eastAsia="宋体" w:cs="宋体"/>
                <w:color w:val="auto"/>
                <w:spacing w:val="12"/>
                <w:sz w:val="21"/>
                <w:szCs w:val="21"/>
              </w:rPr>
              <w:t>测</w:t>
            </w:r>
            <w:r>
              <w:rPr>
                <w:rFonts w:ascii="宋体" w:hAnsi="宋体" w:eastAsia="宋体" w:cs="宋体"/>
                <w:color w:val="auto"/>
                <w:spacing w:val="7"/>
                <w:sz w:val="21"/>
                <w:szCs w:val="21"/>
              </w:rPr>
              <w:t>各主要场源对单独存在时对厂界及外环境噪声的影响，并合成设备声源</w:t>
            </w:r>
            <w:r>
              <w:rPr>
                <w:rFonts w:ascii="宋体" w:hAnsi="宋体" w:eastAsia="宋体" w:cs="宋体"/>
                <w:color w:val="auto"/>
                <w:spacing w:val="12"/>
                <w:sz w:val="21"/>
                <w:szCs w:val="21"/>
              </w:rPr>
              <w:t>对</w:t>
            </w:r>
            <w:r>
              <w:rPr>
                <w:rFonts w:ascii="宋体" w:hAnsi="宋体" w:eastAsia="宋体" w:cs="宋体"/>
                <w:color w:val="auto"/>
                <w:spacing w:val="7"/>
                <w:sz w:val="21"/>
                <w:szCs w:val="21"/>
              </w:rPr>
              <w:t>受声点的影响。</w:t>
            </w:r>
          </w:p>
          <w:p w14:paraId="1D1949B8">
            <w:pPr>
              <w:spacing w:line="360" w:lineRule="auto"/>
              <w:ind w:firstLine="412" w:firstLineChars="200"/>
              <w:jc w:val="both"/>
              <w:rPr>
                <w:rFonts w:hint="eastAsia" w:ascii="Times New Roman" w:hAnsi="Times New Roman" w:cs="Times New Roman"/>
                <w:color w:val="auto"/>
                <w:spacing w:val="-2"/>
                <w:position w:val="1"/>
                <w:sz w:val="21"/>
                <w:szCs w:val="21"/>
                <w:lang w:val="en-US" w:eastAsia="zh-CN"/>
              </w:rPr>
            </w:pPr>
            <w:r>
              <w:rPr>
                <w:rFonts w:hint="default" w:ascii="Times New Roman" w:hAnsi="Times New Roman" w:eastAsia="宋体" w:cs="Times New Roman"/>
                <w:color w:val="auto"/>
                <w:spacing w:val="-2"/>
                <w:position w:val="1"/>
                <w:sz w:val="21"/>
                <w:szCs w:val="21"/>
              </w:rPr>
              <w:t>通过预测模型计算，项目厂界噪声预测结果与达标分析见表</w:t>
            </w:r>
            <w:r>
              <w:rPr>
                <w:rFonts w:hint="eastAsia" w:ascii="Times New Roman" w:hAnsi="Times New Roman" w:cs="Times New Roman"/>
                <w:color w:val="auto"/>
                <w:spacing w:val="-2"/>
                <w:position w:val="1"/>
                <w:sz w:val="21"/>
                <w:szCs w:val="21"/>
                <w:lang w:val="en-US" w:eastAsia="zh-CN"/>
              </w:rPr>
              <w:t>4-</w:t>
            </w:r>
            <w:r>
              <w:rPr>
                <w:rFonts w:hint="eastAsia" w:cs="Times New Roman"/>
                <w:color w:val="auto"/>
                <w:spacing w:val="-2"/>
                <w:position w:val="1"/>
                <w:sz w:val="21"/>
                <w:szCs w:val="21"/>
                <w:lang w:val="en-US" w:eastAsia="zh-CN"/>
              </w:rPr>
              <w:t>14</w:t>
            </w:r>
            <w:r>
              <w:rPr>
                <w:rFonts w:hint="eastAsia" w:ascii="Times New Roman" w:hAnsi="Times New Roman" w:cs="Times New Roman"/>
                <w:color w:val="auto"/>
                <w:spacing w:val="-2"/>
                <w:position w:val="1"/>
                <w:sz w:val="21"/>
                <w:szCs w:val="21"/>
                <w:lang w:val="en-US" w:eastAsia="zh-CN"/>
              </w:rPr>
              <w:t>。</w:t>
            </w:r>
          </w:p>
          <w:p w14:paraId="2A4E18C7">
            <w:pPr>
              <w:spacing w:line="240" w:lineRule="auto"/>
              <w:ind w:firstLine="458" w:firstLineChars="200"/>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lang w:val="en-US" w:eastAsia="zh-CN"/>
              </w:rPr>
              <w:t>表4-</w:t>
            </w:r>
            <w:r>
              <w:rPr>
                <w:rFonts w:hint="eastAsia" w:cs="Times New Roman"/>
                <w:b/>
                <w:bCs/>
                <w:color w:val="auto"/>
                <w:spacing w:val="9"/>
                <w:position w:val="4"/>
                <w:sz w:val="21"/>
                <w:szCs w:val="21"/>
                <w:lang w:val="en-US" w:eastAsia="zh-CN"/>
              </w:rPr>
              <w:t xml:space="preserve">14 </w:t>
            </w:r>
            <w:r>
              <w:rPr>
                <w:rFonts w:hint="eastAsia" w:ascii="Times New Roman" w:hAnsi="Times New Roman" w:eastAsia="宋体" w:cs="Times New Roman"/>
                <w:b/>
                <w:bCs/>
                <w:color w:val="auto"/>
                <w:spacing w:val="9"/>
                <w:position w:val="4"/>
                <w:sz w:val="21"/>
                <w:szCs w:val="21"/>
                <w:lang w:val="en-US" w:eastAsia="zh-CN"/>
              </w:rPr>
              <w:t>各预测点声环境影响预测结果 单位：dB（A）</w:t>
            </w:r>
          </w:p>
          <w:tbl>
            <w:tblPr>
              <w:tblStyle w:val="43"/>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48"/>
              <w:gridCol w:w="1125"/>
              <w:gridCol w:w="915"/>
              <w:gridCol w:w="885"/>
              <w:gridCol w:w="990"/>
              <w:gridCol w:w="907"/>
            </w:tblGrid>
            <w:tr w14:paraId="5B7B61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l2br w:val="nil"/>
                    <w:tr2bl w:val="nil"/>
                  </w:tcBorders>
                  <w:vAlign w:val="center"/>
                </w:tcPr>
                <w:p w14:paraId="617AEF94">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序号</w:t>
                  </w:r>
                </w:p>
              </w:tc>
              <w:tc>
                <w:tcPr>
                  <w:tcW w:w="2648" w:type="dxa"/>
                  <w:vMerge w:val="restart"/>
                  <w:tcBorders>
                    <w:tl2br w:val="nil"/>
                    <w:tr2bl w:val="nil"/>
                  </w:tcBorders>
                  <w:vAlign w:val="center"/>
                </w:tcPr>
                <w:p w14:paraId="689F339B">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预测点</w:t>
                  </w:r>
                </w:p>
              </w:tc>
              <w:tc>
                <w:tcPr>
                  <w:tcW w:w="2040" w:type="dxa"/>
                  <w:gridSpan w:val="2"/>
                  <w:tcBorders>
                    <w:tl2br w:val="nil"/>
                    <w:tr2bl w:val="nil"/>
                  </w:tcBorders>
                  <w:vAlign w:val="center"/>
                </w:tcPr>
                <w:p w14:paraId="5291E1F2">
                  <w:pPr>
                    <w:spacing w:line="240" w:lineRule="auto"/>
                    <w:jc w:val="center"/>
                    <w:rPr>
                      <w:rFonts w:hint="eastAsia"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贡献值</w:t>
                  </w:r>
                </w:p>
              </w:tc>
              <w:tc>
                <w:tcPr>
                  <w:tcW w:w="1875" w:type="dxa"/>
                  <w:gridSpan w:val="2"/>
                  <w:tcBorders>
                    <w:tl2br w:val="nil"/>
                    <w:tr2bl w:val="nil"/>
                  </w:tcBorders>
                  <w:vAlign w:val="center"/>
                </w:tcPr>
                <w:p w14:paraId="45CE9295">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执行标准</w:t>
                  </w:r>
                </w:p>
              </w:tc>
              <w:tc>
                <w:tcPr>
                  <w:tcW w:w="907" w:type="dxa"/>
                  <w:vMerge w:val="restart"/>
                  <w:tcBorders>
                    <w:tl2br w:val="nil"/>
                    <w:tr2bl w:val="nil"/>
                  </w:tcBorders>
                  <w:vAlign w:val="center"/>
                </w:tcPr>
                <w:p w14:paraId="1CBD8882">
                  <w:pPr>
                    <w:spacing w:line="240" w:lineRule="auto"/>
                    <w:jc w:val="center"/>
                    <w:rPr>
                      <w:rFonts w:hint="eastAsia"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达标</w:t>
                  </w:r>
                </w:p>
                <w:p w14:paraId="5EC9A157">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情况</w:t>
                  </w:r>
                </w:p>
              </w:tc>
            </w:tr>
            <w:tr w14:paraId="788AB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vAlign w:val="center"/>
                </w:tcPr>
                <w:p w14:paraId="5B99603F">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p>
              </w:tc>
              <w:tc>
                <w:tcPr>
                  <w:tcW w:w="2648" w:type="dxa"/>
                  <w:vMerge w:val="continue"/>
                  <w:tcBorders>
                    <w:tl2br w:val="nil"/>
                    <w:tr2bl w:val="nil"/>
                  </w:tcBorders>
                  <w:vAlign w:val="center"/>
                </w:tcPr>
                <w:p w14:paraId="08B29BDF">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p>
              </w:tc>
              <w:tc>
                <w:tcPr>
                  <w:tcW w:w="1125" w:type="dxa"/>
                  <w:tcBorders>
                    <w:tl2br w:val="nil"/>
                    <w:tr2bl w:val="nil"/>
                  </w:tcBorders>
                  <w:vAlign w:val="center"/>
                </w:tcPr>
                <w:p w14:paraId="6313FDE4">
                  <w:pPr>
                    <w:spacing w:line="240" w:lineRule="auto"/>
                    <w:jc w:val="center"/>
                    <w:rPr>
                      <w:rFonts w:hint="default" w:ascii="Times New Roman" w:hAnsi="Times New Roman" w:eastAsia="宋体" w:cs="Times New Roman"/>
                      <w:b/>
                      <w:bCs/>
                      <w:color w:val="auto"/>
                      <w:spacing w:val="9"/>
                      <w:kern w:val="2"/>
                      <w:position w:val="4"/>
                      <w:sz w:val="21"/>
                      <w:szCs w:val="21"/>
                      <w:vertAlign w:val="baseline"/>
                      <w:lang w:val="en-US" w:eastAsia="zh-CN" w:bidi="ar-SA"/>
                    </w:rPr>
                  </w:pPr>
                  <w:r>
                    <w:rPr>
                      <w:rFonts w:hint="eastAsia" w:ascii="Times New Roman" w:hAnsi="Times New Roman" w:eastAsia="宋体" w:cs="Times New Roman"/>
                      <w:b/>
                      <w:bCs/>
                      <w:color w:val="auto"/>
                      <w:spacing w:val="9"/>
                      <w:position w:val="4"/>
                      <w:sz w:val="21"/>
                      <w:szCs w:val="21"/>
                      <w:vertAlign w:val="baseline"/>
                      <w:lang w:val="en-US" w:eastAsia="zh-CN"/>
                    </w:rPr>
                    <w:t>昼间</w:t>
                  </w:r>
                </w:p>
              </w:tc>
              <w:tc>
                <w:tcPr>
                  <w:tcW w:w="915" w:type="dxa"/>
                  <w:tcBorders>
                    <w:tl2br w:val="nil"/>
                    <w:tr2bl w:val="nil"/>
                  </w:tcBorders>
                  <w:vAlign w:val="center"/>
                </w:tcPr>
                <w:p w14:paraId="284377AE">
                  <w:pPr>
                    <w:spacing w:line="240" w:lineRule="auto"/>
                    <w:jc w:val="center"/>
                    <w:rPr>
                      <w:rFonts w:hint="default" w:ascii="Times New Roman" w:hAnsi="Times New Roman" w:eastAsia="宋体" w:cs="Times New Roman"/>
                      <w:b/>
                      <w:bCs/>
                      <w:color w:val="auto"/>
                      <w:spacing w:val="9"/>
                      <w:kern w:val="2"/>
                      <w:position w:val="4"/>
                      <w:sz w:val="21"/>
                      <w:szCs w:val="21"/>
                      <w:vertAlign w:val="baseline"/>
                      <w:lang w:val="en-US" w:eastAsia="zh-CN" w:bidi="ar-SA"/>
                    </w:rPr>
                  </w:pPr>
                  <w:r>
                    <w:rPr>
                      <w:rFonts w:hint="eastAsia" w:ascii="Times New Roman" w:hAnsi="Times New Roman" w:eastAsia="宋体" w:cs="Times New Roman"/>
                      <w:b/>
                      <w:bCs/>
                      <w:color w:val="auto"/>
                      <w:spacing w:val="9"/>
                      <w:position w:val="4"/>
                      <w:sz w:val="21"/>
                      <w:szCs w:val="21"/>
                      <w:vertAlign w:val="baseline"/>
                      <w:lang w:val="en-US" w:eastAsia="zh-CN"/>
                    </w:rPr>
                    <w:t>夜间</w:t>
                  </w:r>
                </w:p>
              </w:tc>
              <w:tc>
                <w:tcPr>
                  <w:tcW w:w="885" w:type="dxa"/>
                  <w:tcBorders>
                    <w:tl2br w:val="nil"/>
                    <w:tr2bl w:val="nil"/>
                  </w:tcBorders>
                  <w:vAlign w:val="center"/>
                </w:tcPr>
                <w:p w14:paraId="172D6DE1">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昼间</w:t>
                  </w:r>
                </w:p>
              </w:tc>
              <w:tc>
                <w:tcPr>
                  <w:tcW w:w="990" w:type="dxa"/>
                  <w:tcBorders>
                    <w:tl2br w:val="nil"/>
                    <w:tr2bl w:val="nil"/>
                  </w:tcBorders>
                  <w:vAlign w:val="center"/>
                </w:tcPr>
                <w:p w14:paraId="43070301">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夜间</w:t>
                  </w:r>
                </w:p>
              </w:tc>
              <w:tc>
                <w:tcPr>
                  <w:tcW w:w="907" w:type="dxa"/>
                  <w:vMerge w:val="continue"/>
                  <w:tcBorders>
                    <w:tl2br w:val="nil"/>
                    <w:tr2bl w:val="nil"/>
                  </w:tcBorders>
                  <w:vAlign w:val="center"/>
                </w:tcPr>
                <w:p w14:paraId="4EDFCA12">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p>
              </w:tc>
            </w:tr>
            <w:tr w14:paraId="65E7EF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tcBorders>
                    <w:tl2br w:val="nil"/>
                    <w:tr2bl w:val="nil"/>
                  </w:tcBorders>
                  <w:vAlign w:val="center"/>
                </w:tcPr>
                <w:p w14:paraId="259C57D6">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1</w:t>
                  </w:r>
                </w:p>
              </w:tc>
              <w:tc>
                <w:tcPr>
                  <w:tcW w:w="2648" w:type="dxa"/>
                  <w:tcBorders>
                    <w:tl2br w:val="nil"/>
                    <w:tr2bl w:val="nil"/>
                  </w:tcBorders>
                  <w:vAlign w:val="center"/>
                </w:tcPr>
                <w:p w14:paraId="28EB9C36">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厂界东侧1m</w:t>
                  </w:r>
                </w:p>
              </w:tc>
              <w:tc>
                <w:tcPr>
                  <w:tcW w:w="1125" w:type="dxa"/>
                  <w:tcBorders>
                    <w:tl2br w:val="nil"/>
                    <w:tr2bl w:val="nil"/>
                  </w:tcBorders>
                  <w:vAlign w:val="center"/>
                </w:tcPr>
                <w:p w14:paraId="54895FE5">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56.2</w:t>
                  </w:r>
                </w:p>
              </w:tc>
              <w:tc>
                <w:tcPr>
                  <w:tcW w:w="915" w:type="dxa"/>
                  <w:tcBorders>
                    <w:tl2br w:val="nil"/>
                    <w:tr2bl w:val="nil"/>
                  </w:tcBorders>
                  <w:vAlign w:val="center"/>
                </w:tcPr>
                <w:p w14:paraId="4D020D31">
                  <w:pPr>
                    <w:spacing w:line="240" w:lineRule="auto"/>
                    <w:jc w:val="center"/>
                    <w:rPr>
                      <w:rFonts w:hint="eastAsia"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w:t>
                  </w:r>
                </w:p>
              </w:tc>
              <w:tc>
                <w:tcPr>
                  <w:tcW w:w="885" w:type="dxa"/>
                  <w:tcBorders>
                    <w:tl2br w:val="nil"/>
                    <w:tr2bl w:val="nil"/>
                  </w:tcBorders>
                  <w:vAlign w:val="center"/>
                </w:tcPr>
                <w:p w14:paraId="60223AC7">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65</w:t>
                  </w:r>
                </w:p>
              </w:tc>
              <w:tc>
                <w:tcPr>
                  <w:tcW w:w="990" w:type="dxa"/>
                  <w:tcBorders>
                    <w:tl2br w:val="nil"/>
                    <w:tr2bl w:val="nil"/>
                  </w:tcBorders>
                  <w:vAlign w:val="center"/>
                </w:tcPr>
                <w:p w14:paraId="7D61C49C">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w:t>
                  </w:r>
                </w:p>
              </w:tc>
              <w:tc>
                <w:tcPr>
                  <w:tcW w:w="907" w:type="dxa"/>
                  <w:tcBorders>
                    <w:tl2br w:val="nil"/>
                    <w:tr2bl w:val="nil"/>
                  </w:tcBorders>
                  <w:vAlign w:val="center"/>
                </w:tcPr>
                <w:p w14:paraId="4E777216">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达标</w:t>
                  </w:r>
                </w:p>
              </w:tc>
            </w:tr>
            <w:tr w14:paraId="3D14D8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tcBorders>
                    <w:tl2br w:val="nil"/>
                    <w:tr2bl w:val="nil"/>
                  </w:tcBorders>
                  <w:vAlign w:val="center"/>
                </w:tcPr>
                <w:p w14:paraId="72BFCDC2">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2</w:t>
                  </w:r>
                </w:p>
              </w:tc>
              <w:tc>
                <w:tcPr>
                  <w:tcW w:w="2648" w:type="dxa"/>
                  <w:tcBorders>
                    <w:tl2br w:val="nil"/>
                    <w:tr2bl w:val="nil"/>
                  </w:tcBorders>
                  <w:vAlign w:val="center"/>
                </w:tcPr>
                <w:p w14:paraId="0FA82842">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厂界南侧1m</w:t>
                  </w:r>
                </w:p>
              </w:tc>
              <w:tc>
                <w:tcPr>
                  <w:tcW w:w="1125" w:type="dxa"/>
                  <w:tcBorders>
                    <w:tl2br w:val="nil"/>
                    <w:tr2bl w:val="nil"/>
                  </w:tcBorders>
                  <w:vAlign w:val="center"/>
                </w:tcPr>
                <w:p w14:paraId="31D16A24">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56.0</w:t>
                  </w:r>
                </w:p>
              </w:tc>
              <w:tc>
                <w:tcPr>
                  <w:tcW w:w="915" w:type="dxa"/>
                  <w:tcBorders>
                    <w:tl2br w:val="nil"/>
                    <w:tr2bl w:val="nil"/>
                  </w:tcBorders>
                  <w:vAlign w:val="center"/>
                </w:tcPr>
                <w:p w14:paraId="1CA0FCB1">
                  <w:pPr>
                    <w:spacing w:line="240" w:lineRule="auto"/>
                    <w:jc w:val="center"/>
                    <w:rPr>
                      <w:rFonts w:hint="eastAsia"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w:t>
                  </w:r>
                </w:p>
              </w:tc>
              <w:tc>
                <w:tcPr>
                  <w:tcW w:w="885" w:type="dxa"/>
                  <w:tcBorders>
                    <w:tl2br w:val="nil"/>
                    <w:tr2bl w:val="nil"/>
                  </w:tcBorders>
                  <w:vAlign w:val="center"/>
                </w:tcPr>
                <w:p w14:paraId="2DF1D8C3">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cs="Times New Roman"/>
                      <w:color w:val="auto"/>
                      <w:spacing w:val="9"/>
                      <w:position w:val="4"/>
                      <w:sz w:val="21"/>
                      <w:szCs w:val="21"/>
                      <w:vertAlign w:val="baseline"/>
                      <w:lang w:val="en-US" w:eastAsia="zh-CN"/>
                    </w:rPr>
                    <w:t>65</w:t>
                  </w:r>
                </w:p>
              </w:tc>
              <w:tc>
                <w:tcPr>
                  <w:tcW w:w="990" w:type="dxa"/>
                  <w:tcBorders>
                    <w:tl2br w:val="nil"/>
                    <w:tr2bl w:val="nil"/>
                  </w:tcBorders>
                  <w:vAlign w:val="center"/>
                </w:tcPr>
                <w:p w14:paraId="39358BBD">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cs="Times New Roman"/>
                      <w:color w:val="auto"/>
                      <w:spacing w:val="9"/>
                      <w:position w:val="4"/>
                      <w:sz w:val="21"/>
                      <w:szCs w:val="21"/>
                      <w:vertAlign w:val="baseline"/>
                      <w:lang w:val="en-US" w:eastAsia="zh-CN"/>
                    </w:rPr>
                    <w:t>/</w:t>
                  </w:r>
                </w:p>
              </w:tc>
              <w:tc>
                <w:tcPr>
                  <w:tcW w:w="907" w:type="dxa"/>
                  <w:tcBorders>
                    <w:tl2br w:val="nil"/>
                    <w:tr2bl w:val="nil"/>
                  </w:tcBorders>
                  <w:vAlign w:val="center"/>
                </w:tcPr>
                <w:p w14:paraId="63052078">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达标</w:t>
                  </w:r>
                </w:p>
              </w:tc>
            </w:tr>
            <w:tr w14:paraId="703062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tcBorders>
                    <w:tl2br w:val="nil"/>
                    <w:tr2bl w:val="nil"/>
                  </w:tcBorders>
                  <w:vAlign w:val="center"/>
                </w:tcPr>
                <w:p w14:paraId="7BEAB4BD">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3</w:t>
                  </w:r>
                </w:p>
              </w:tc>
              <w:tc>
                <w:tcPr>
                  <w:tcW w:w="2648" w:type="dxa"/>
                  <w:tcBorders>
                    <w:tl2br w:val="nil"/>
                    <w:tr2bl w:val="nil"/>
                  </w:tcBorders>
                  <w:vAlign w:val="center"/>
                </w:tcPr>
                <w:p w14:paraId="1391709A">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厂界西侧1m</w:t>
                  </w:r>
                </w:p>
              </w:tc>
              <w:tc>
                <w:tcPr>
                  <w:tcW w:w="1125" w:type="dxa"/>
                  <w:tcBorders>
                    <w:tl2br w:val="nil"/>
                    <w:tr2bl w:val="nil"/>
                  </w:tcBorders>
                  <w:vAlign w:val="center"/>
                </w:tcPr>
                <w:p w14:paraId="5BB31B71">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56.8</w:t>
                  </w:r>
                </w:p>
              </w:tc>
              <w:tc>
                <w:tcPr>
                  <w:tcW w:w="915" w:type="dxa"/>
                  <w:tcBorders>
                    <w:tl2br w:val="nil"/>
                    <w:tr2bl w:val="nil"/>
                  </w:tcBorders>
                  <w:vAlign w:val="center"/>
                </w:tcPr>
                <w:p w14:paraId="6C33B20A">
                  <w:pPr>
                    <w:spacing w:line="240" w:lineRule="auto"/>
                    <w:jc w:val="center"/>
                    <w:rPr>
                      <w:rFonts w:hint="eastAsia"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w:t>
                  </w:r>
                </w:p>
              </w:tc>
              <w:tc>
                <w:tcPr>
                  <w:tcW w:w="885" w:type="dxa"/>
                  <w:tcBorders>
                    <w:tl2br w:val="nil"/>
                    <w:tr2bl w:val="nil"/>
                  </w:tcBorders>
                  <w:vAlign w:val="center"/>
                </w:tcPr>
                <w:p w14:paraId="6B2DBC2D">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ascii="Times New Roman" w:hAnsi="Times New Roman" w:eastAsia="宋体" w:cs="Times New Roman"/>
                      <w:color w:val="auto"/>
                      <w:spacing w:val="9"/>
                      <w:position w:val="4"/>
                      <w:sz w:val="21"/>
                      <w:szCs w:val="21"/>
                      <w:vertAlign w:val="baseline"/>
                      <w:lang w:val="en-US" w:eastAsia="zh-CN"/>
                    </w:rPr>
                    <w:t>65</w:t>
                  </w:r>
                </w:p>
              </w:tc>
              <w:tc>
                <w:tcPr>
                  <w:tcW w:w="990" w:type="dxa"/>
                  <w:tcBorders>
                    <w:tl2br w:val="nil"/>
                    <w:tr2bl w:val="nil"/>
                  </w:tcBorders>
                  <w:vAlign w:val="center"/>
                </w:tcPr>
                <w:p w14:paraId="33E7369F">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cs="Times New Roman"/>
                      <w:color w:val="auto"/>
                      <w:spacing w:val="9"/>
                      <w:position w:val="4"/>
                      <w:sz w:val="21"/>
                      <w:szCs w:val="21"/>
                      <w:vertAlign w:val="baseline"/>
                      <w:lang w:val="en-US" w:eastAsia="zh-CN"/>
                    </w:rPr>
                    <w:t>/</w:t>
                  </w:r>
                </w:p>
              </w:tc>
              <w:tc>
                <w:tcPr>
                  <w:tcW w:w="907" w:type="dxa"/>
                  <w:tcBorders>
                    <w:tl2br w:val="nil"/>
                    <w:tr2bl w:val="nil"/>
                  </w:tcBorders>
                  <w:vAlign w:val="center"/>
                </w:tcPr>
                <w:p w14:paraId="2AFA21DD">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达标</w:t>
                  </w:r>
                </w:p>
              </w:tc>
            </w:tr>
            <w:tr w14:paraId="6313E7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1" w:type="dxa"/>
                  <w:tcBorders>
                    <w:tl2br w:val="nil"/>
                    <w:tr2bl w:val="nil"/>
                  </w:tcBorders>
                  <w:vAlign w:val="center"/>
                </w:tcPr>
                <w:p w14:paraId="01AEA68C">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4</w:t>
                  </w:r>
                </w:p>
              </w:tc>
              <w:tc>
                <w:tcPr>
                  <w:tcW w:w="2648" w:type="dxa"/>
                  <w:tcBorders>
                    <w:tl2br w:val="nil"/>
                    <w:tr2bl w:val="nil"/>
                  </w:tcBorders>
                  <w:vAlign w:val="center"/>
                </w:tcPr>
                <w:p w14:paraId="36335EA2">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厂界北侧1m</w:t>
                  </w:r>
                </w:p>
              </w:tc>
              <w:tc>
                <w:tcPr>
                  <w:tcW w:w="1125" w:type="dxa"/>
                  <w:tcBorders>
                    <w:tl2br w:val="nil"/>
                    <w:tr2bl w:val="nil"/>
                  </w:tcBorders>
                  <w:vAlign w:val="center"/>
                </w:tcPr>
                <w:p w14:paraId="3700201F">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57.9</w:t>
                  </w:r>
                </w:p>
              </w:tc>
              <w:tc>
                <w:tcPr>
                  <w:tcW w:w="915" w:type="dxa"/>
                  <w:tcBorders>
                    <w:tl2br w:val="nil"/>
                    <w:tr2bl w:val="nil"/>
                  </w:tcBorders>
                  <w:vAlign w:val="center"/>
                </w:tcPr>
                <w:p w14:paraId="6B6E421F">
                  <w:pPr>
                    <w:spacing w:line="240" w:lineRule="auto"/>
                    <w:jc w:val="center"/>
                    <w:rPr>
                      <w:rFonts w:hint="eastAsia" w:cs="Times New Roman"/>
                      <w:color w:val="auto"/>
                      <w:spacing w:val="9"/>
                      <w:position w:val="4"/>
                      <w:sz w:val="21"/>
                      <w:szCs w:val="21"/>
                      <w:vertAlign w:val="baseline"/>
                      <w:lang w:val="en-US" w:eastAsia="zh-CN"/>
                    </w:rPr>
                  </w:pPr>
                  <w:r>
                    <w:rPr>
                      <w:rFonts w:hint="eastAsia" w:cs="Times New Roman"/>
                      <w:color w:val="auto"/>
                      <w:spacing w:val="9"/>
                      <w:position w:val="4"/>
                      <w:sz w:val="21"/>
                      <w:szCs w:val="21"/>
                      <w:vertAlign w:val="baseline"/>
                      <w:lang w:val="en-US" w:eastAsia="zh-CN"/>
                    </w:rPr>
                    <w:t>/</w:t>
                  </w:r>
                </w:p>
              </w:tc>
              <w:tc>
                <w:tcPr>
                  <w:tcW w:w="885" w:type="dxa"/>
                  <w:tcBorders>
                    <w:tl2br w:val="nil"/>
                    <w:tr2bl w:val="nil"/>
                  </w:tcBorders>
                  <w:vAlign w:val="center"/>
                </w:tcPr>
                <w:p w14:paraId="5DB68397">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ascii="Times New Roman" w:hAnsi="Times New Roman" w:eastAsia="宋体" w:cs="Times New Roman"/>
                      <w:color w:val="auto"/>
                      <w:spacing w:val="9"/>
                      <w:position w:val="4"/>
                      <w:sz w:val="21"/>
                      <w:szCs w:val="21"/>
                      <w:vertAlign w:val="baseline"/>
                      <w:lang w:val="en-US" w:eastAsia="zh-CN"/>
                    </w:rPr>
                    <w:t>65</w:t>
                  </w:r>
                </w:p>
              </w:tc>
              <w:tc>
                <w:tcPr>
                  <w:tcW w:w="990" w:type="dxa"/>
                  <w:tcBorders>
                    <w:tl2br w:val="nil"/>
                    <w:tr2bl w:val="nil"/>
                  </w:tcBorders>
                  <w:vAlign w:val="center"/>
                </w:tcPr>
                <w:p w14:paraId="3D64F440">
                  <w:pPr>
                    <w:spacing w:line="240" w:lineRule="auto"/>
                    <w:jc w:val="center"/>
                    <w:rPr>
                      <w:rFonts w:hint="default" w:ascii="Times New Roman" w:hAnsi="Times New Roman" w:eastAsia="宋体" w:cs="Times New Roman"/>
                      <w:color w:val="auto"/>
                      <w:spacing w:val="9"/>
                      <w:kern w:val="2"/>
                      <w:position w:val="4"/>
                      <w:sz w:val="21"/>
                      <w:szCs w:val="21"/>
                      <w:vertAlign w:val="baseline"/>
                      <w:lang w:val="en-US" w:eastAsia="zh-CN" w:bidi="ar-SA"/>
                    </w:rPr>
                  </w:pPr>
                  <w:r>
                    <w:rPr>
                      <w:rFonts w:hint="eastAsia" w:cs="Times New Roman"/>
                      <w:color w:val="auto"/>
                      <w:spacing w:val="9"/>
                      <w:position w:val="4"/>
                      <w:sz w:val="21"/>
                      <w:szCs w:val="21"/>
                      <w:vertAlign w:val="baseline"/>
                      <w:lang w:val="en-US" w:eastAsia="zh-CN"/>
                    </w:rPr>
                    <w:t>/</w:t>
                  </w:r>
                </w:p>
              </w:tc>
              <w:tc>
                <w:tcPr>
                  <w:tcW w:w="907" w:type="dxa"/>
                  <w:tcBorders>
                    <w:tl2br w:val="nil"/>
                    <w:tr2bl w:val="nil"/>
                  </w:tcBorders>
                  <w:vAlign w:val="center"/>
                </w:tcPr>
                <w:p w14:paraId="515540FB">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达标</w:t>
                  </w:r>
                </w:p>
              </w:tc>
            </w:tr>
          </w:tbl>
          <w:p w14:paraId="240E85E5">
            <w:pPr>
              <w:spacing w:line="240" w:lineRule="auto"/>
              <w:ind w:firstLine="498" w:firstLineChars="200"/>
              <w:jc w:val="center"/>
              <w:rPr>
                <w:rFonts w:hint="default" w:ascii="Times New Roman" w:hAnsi="Times New Roman" w:eastAsia="宋体" w:cs="Times New Roman"/>
                <w:b/>
                <w:bCs/>
                <w:color w:val="auto"/>
                <w:spacing w:val="9"/>
                <w:position w:val="4"/>
                <w:sz w:val="23"/>
                <w:szCs w:val="23"/>
                <w:vertAlign w:val="baseline"/>
                <w:lang w:val="en-US" w:eastAsia="zh-CN"/>
              </w:rPr>
            </w:pPr>
            <w:r>
              <w:rPr>
                <w:rFonts w:hint="eastAsia" w:ascii="Times New Roman" w:hAnsi="Times New Roman" w:eastAsia="宋体" w:cs="Times New Roman"/>
                <w:b/>
                <w:bCs/>
                <w:color w:val="auto"/>
                <w:spacing w:val="9"/>
                <w:position w:val="4"/>
                <w:sz w:val="23"/>
                <w:szCs w:val="23"/>
                <w:lang w:val="en-US" w:eastAsia="zh-CN"/>
              </w:rPr>
              <w:t>表4-</w:t>
            </w:r>
            <w:r>
              <w:rPr>
                <w:rFonts w:hint="eastAsia" w:cs="Times New Roman"/>
                <w:b/>
                <w:bCs/>
                <w:color w:val="auto"/>
                <w:spacing w:val="9"/>
                <w:position w:val="4"/>
                <w:sz w:val="23"/>
                <w:szCs w:val="23"/>
                <w:lang w:val="en-US" w:eastAsia="zh-CN"/>
              </w:rPr>
              <w:t>15</w:t>
            </w:r>
            <w:r>
              <w:rPr>
                <w:rFonts w:hint="eastAsia" w:ascii="Times New Roman" w:hAnsi="Times New Roman" w:eastAsia="宋体" w:cs="Times New Roman"/>
                <w:b/>
                <w:bCs/>
                <w:color w:val="auto"/>
                <w:spacing w:val="9"/>
                <w:position w:val="4"/>
                <w:sz w:val="23"/>
                <w:szCs w:val="23"/>
                <w:lang w:val="en-US" w:eastAsia="zh-CN"/>
              </w:rPr>
              <w:t>工业企业噪声防治措施及投资表</w:t>
            </w:r>
          </w:p>
          <w:tbl>
            <w:tblPr>
              <w:tblStyle w:val="43"/>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12"/>
              <w:gridCol w:w="1725"/>
              <w:gridCol w:w="1770"/>
            </w:tblGrid>
            <w:tr w14:paraId="2775C4A8">
              <w:tblPrEx>
                <w:tblCellMar>
                  <w:top w:w="0" w:type="dxa"/>
                  <w:left w:w="108" w:type="dxa"/>
                  <w:bottom w:w="0" w:type="dxa"/>
                  <w:right w:w="108" w:type="dxa"/>
                </w:tblCellMar>
              </w:tblPrEx>
              <w:tc>
                <w:tcPr>
                  <w:tcW w:w="1664" w:type="dxa"/>
                  <w:tcBorders>
                    <w:tl2br w:val="nil"/>
                    <w:tr2bl w:val="nil"/>
                  </w:tcBorders>
                  <w:vAlign w:val="center"/>
                </w:tcPr>
                <w:p w14:paraId="66B2CB0C">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噪声防治措施名称（类型）</w:t>
                  </w:r>
                </w:p>
              </w:tc>
              <w:tc>
                <w:tcPr>
                  <w:tcW w:w="3112" w:type="dxa"/>
                  <w:tcBorders>
                    <w:tl2br w:val="nil"/>
                    <w:tr2bl w:val="nil"/>
                  </w:tcBorders>
                  <w:vAlign w:val="center"/>
                </w:tcPr>
                <w:p w14:paraId="5D13FEC6">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噪声防治措施规模</w:t>
                  </w:r>
                </w:p>
              </w:tc>
              <w:tc>
                <w:tcPr>
                  <w:tcW w:w="1725" w:type="dxa"/>
                  <w:tcBorders>
                    <w:tl2br w:val="nil"/>
                    <w:tr2bl w:val="nil"/>
                  </w:tcBorders>
                  <w:vAlign w:val="center"/>
                </w:tcPr>
                <w:p w14:paraId="07279350">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噪声防治措施效果</w:t>
                  </w:r>
                </w:p>
              </w:tc>
              <w:tc>
                <w:tcPr>
                  <w:tcW w:w="1770" w:type="dxa"/>
                  <w:tcBorders>
                    <w:tl2br w:val="nil"/>
                    <w:tr2bl w:val="nil"/>
                  </w:tcBorders>
                  <w:vAlign w:val="center"/>
                </w:tcPr>
                <w:p w14:paraId="68673E40">
                  <w:pPr>
                    <w:spacing w:line="240" w:lineRule="auto"/>
                    <w:jc w:val="center"/>
                    <w:rPr>
                      <w:rFonts w:hint="default" w:ascii="Times New Roman" w:hAnsi="Times New Roman" w:eastAsia="宋体" w:cs="Times New Roman"/>
                      <w:b/>
                      <w:bCs/>
                      <w:color w:val="auto"/>
                      <w:spacing w:val="9"/>
                      <w:position w:val="4"/>
                      <w:sz w:val="21"/>
                      <w:szCs w:val="21"/>
                      <w:vertAlign w:val="baseline"/>
                      <w:lang w:val="en-US" w:eastAsia="zh-CN"/>
                    </w:rPr>
                  </w:pPr>
                  <w:r>
                    <w:rPr>
                      <w:rFonts w:hint="eastAsia" w:ascii="Times New Roman" w:hAnsi="Times New Roman" w:eastAsia="宋体" w:cs="Times New Roman"/>
                      <w:b/>
                      <w:bCs/>
                      <w:color w:val="auto"/>
                      <w:spacing w:val="9"/>
                      <w:position w:val="4"/>
                      <w:sz w:val="21"/>
                      <w:szCs w:val="21"/>
                      <w:vertAlign w:val="baseline"/>
                      <w:lang w:val="en-US" w:eastAsia="zh-CN"/>
                    </w:rPr>
                    <w:t>噪声防治措施投资/万元</w:t>
                  </w:r>
                </w:p>
              </w:tc>
            </w:tr>
            <w:tr w14:paraId="6B93D4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4" w:type="dxa"/>
                  <w:tcBorders>
                    <w:tl2br w:val="nil"/>
                    <w:tr2bl w:val="nil"/>
                  </w:tcBorders>
                  <w:vAlign w:val="center"/>
                </w:tcPr>
                <w:p w14:paraId="48F4F9A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基础减震，建筑隔声</w:t>
                  </w:r>
                </w:p>
              </w:tc>
              <w:tc>
                <w:tcPr>
                  <w:tcW w:w="3112" w:type="dxa"/>
                  <w:tcBorders>
                    <w:tl2br w:val="nil"/>
                    <w:tr2bl w:val="nil"/>
                  </w:tcBorders>
                  <w:vAlign w:val="center"/>
                </w:tcPr>
                <w:p w14:paraId="756CF16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优先选用低噪声先进设备；设减振垫或隔振基础；选用消声装置</w:t>
                  </w:r>
                </w:p>
              </w:tc>
              <w:tc>
                <w:tcPr>
                  <w:tcW w:w="1725" w:type="dxa"/>
                  <w:tcBorders>
                    <w:tl2br w:val="nil"/>
                    <w:tr2bl w:val="nil"/>
                  </w:tcBorders>
                  <w:vAlign w:val="center"/>
                </w:tcPr>
                <w:p w14:paraId="5195357F">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达标排放</w:t>
                  </w:r>
                </w:p>
              </w:tc>
              <w:tc>
                <w:tcPr>
                  <w:tcW w:w="1770" w:type="dxa"/>
                  <w:tcBorders>
                    <w:tl2br w:val="nil"/>
                    <w:tr2bl w:val="nil"/>
                  </w:tcBorders>
                  <w:vAlign w:val="center"/>
                </w:tcPr>
                <w:p w14:paraId="2649E4B1">
                  <w:pPr>
                    <w:spacing w:line="240" w:lineRule="auto"/>
                    <w:jc w:val="center"/>
                    <w:rPr>
                      <w:rFonts w:hint="default" w:ascii="Times New Roman" w:hAnsi="Times New Roman" w:eastAsia="宋体" w:cs="Times New Roman"/>
                      <w:color w:val="auto"/>
                      <w:spacing w:val="9"/>
                      <w:position w:val="4"/>
                      <w:sz w:val="21"/>
                      <w:szCs w:val="21"/>
                      <w:vertAlign w:val="baseline"/>
                      <w:lang w:val="en-US" w:eastAsia="zh-CN"/>
                    </w:rPr>
                  </w:pPr>
                  <w:r>
                    <w:rPr>
                      <w:rFonts w:hint="eastAsia" w:ascii="Times New Roman" w:hAnsi="Times New Roman" w:eastAsia="宋体" w:cs="Times New Roman"/>
                      <w:color w:val="auto"/>
                      <w:spacing w:val="9"/>
                      <w:position w:val="4"/>
                      <w:sz w:val="21"/>
                      <w:szCs w:val="21"/>
                      <w:vertAlign w:val="baseline"/>
                      <w:lang w:val="en-US" w:eastAsia="zh-CN"/>
                    </w:rPr>
                    <w:t>2</w:t>
                  </w:r>
                </w:p>
              </w:tc>
            </w:tr>
          </w:tbl>
          <w:p w14:paraId="4C01AE89">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根据预测结果，与评价标准进行对比分析表明，本项目在正常工况条件下，全厂设备产生的噪声经防治后厂界昼间噪声排放值</w:t>
            </w:r>
            <w:r>
              <w:rPr>
                <w:rFonts w:hint="default" w:ascii="Times New Roman" w:hAnsi="Times New Roman" w:eastAsia="宋体" w:cs="Times New Roman"/>
                <w:color w:val="auto"/>
                <w:sz w:val="21"/>
                <w:szCs w:val="21"/>
                <w:lang w:eastAsia="zh-CN"/>
              </w:rPr>
              <w:t>均</w:t>
            </w:r>
            <w:r>
              <w:rPr>
                <w:rFonts w:hint="default" w:ascii="Times New Roman" w:hAnsi="Times New Roman" w:eastAsia="宋体" w:cs="Times New Roman"/>
                <w:color w:val="auto"/>
                <w:sz w:val="21"/>
                <w:szCs w:val="21"/>
              </w:rPr>
              <w:t>达标，厂界四周均达到《声环境质量标准》（GB3096－2008）</w:t>
            </w:r>
            <w:r>
              <w:rPr>
                <w:rFonts w:hint="eastAsia" w:cs="Times New Roman"/>
                <w:color w:val="auto"/>
                <w:sz w:val="21"/>
                <w:szCs w:val="21"/>
                <w:lang w:val="en-US" w:eastAsia="zh-CN"/>
              </w:rPr>
              <w:t>中</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类标准；经过距离衰减，对周围环境影响值较小，噪声防治措施可行。</w:t>
            </w:r>
          </w:p>
          <w:p w14:paraId="66B741E0">
            <w:pPr>
              <w:adjustRightInd w:val="0"/>
              <w:snapToGrid w:val="0"/>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（3）噪声监测计划</w:t>
            </w:r>
          </w:p>
          <w:p w14:paraId="1088A6B3">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根据《排污单位自行监测技术指南总则》（HJ 819-2017），厂界噪声最低监测频次为季度，厂界噪声监测频次为一季度开展一次，并在噪声监测点附近醒目处设置环境保护图形标志牌。</w:t>
            </w:r>
          </w:p>
          <w:p w14:paraId="1E93FC9C">
            <w:pPr>
              <w:spacing w:line="240" w:lineRule="auto"/>
              <w:ind w:firstLine="422" w:firstLineChars="20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表4-</w:t>
            </w:r>
            <w:r>
              <w:rPr>
                <w:rFonts w:hint="eastAsia" w:cs="Times New Roman"/>
                <w:b/>
                <w:bCs/>
                <w:color w:val="auto"/>
                <w:kern w:val="0"/>
                <w:sz w:val="21"/>
                <w:szCs w:val="21"/>
                <w:lang w:val="en-US" w:eastAsia="zh-CN"/>
              </w:rPr>
              <w:t>16</w:t>
            </w:r>
            <w:r>
              <w:rPr>
                <w:rFonts w:hint="default" w:ascii="Times New Roman" w:hAnsi="Times New Roman" w:eastAsia="宋体" w:cs="Times New Roman"/>
                <w:b/>
                <w:bCs/>
                <w:color w:val="auto"/>
                <w:kern w:val="0"/>
                <w:sz w:val="21"/>
                <w:szCs w:val="21"/>
              </w:rPr>
              <w:t xml:space="preserve">  噪声环境监测计划</w:t>
            </w:r>
          </w:p>
          <w:tbl>
            <w:tblPr>
              <w:tblStyle w:val="4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09"/>
              <w:gridCol w:w="1783"/>
              <w:gridCol w:w="2268"/>
              <w:gridCol w:w="3135"/>
            </w:tblGrid>
            <w:tr w14:paraId="21B17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9" w:hRule="atLeast"/>
              </w:trPr>
              <w:tc>
                <w:tcPr>
                  <w:tcW w:w="1009" w:type="dxa"/>
                  <w:noWrap w:val="0"/>
                  <w:vAlign w:val="center"/>
                </w:tcPr>
                <w:p w14:paraId="052D5DD8">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类别</w:t>
                  </w:r>
                </w:p>
              </w:tc>
              <w:tc>
                <w:tcPr>
                  <w:tcW w:w="1783" w:type="dxa"/>
                  <w:noWrap w:val="0"/>
                  <w:vAlign w:val="center"/>
                </w:tcPr>
                <w:p w14:paraId="7BA42978">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监测位置</w:t>
                  </w:r>
                </w:p>
              </w:tc>
              <w:tc>
                <w:tcPr>
                  <w:tcW w:w="2268" w:type="dxa"/>
                  <w:noWrap w:val="0"/>
                  <w:vAlign w:val="center"/>
                </w:tcPr>
                <w:p w14:paraId="34A7C5FF">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监测项目</w:t>
                  </w:r>
                </w:p>
              </w:tc>
              <w:tc>
                <w:tcPr>
                  <w:tcW w:w="3135" w:type="dxa"/>
                  <w:noWrap w:val="0"/>
                  <w:vAlign w:val="center"/>
                </w:tcPr>
                <w:p w14:paraId="6D050568">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监测频次</w:t>
                  </w:r>
                </w:p>
              </w:tc>
            </w:tr>
            <w:tr w14:paraId="5091C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9" w:hRule="atLeast"/>
              </w:trPr>
              <w:tc>
                <w:tcPr>
                  <w:tcW w:w="1009" w:type="dxa"/>
                  <w:noWrap w:val="0"/>
                  <w:vAlign w:val="center"/>
                </w:tcPr>
                <w:p w14:paraId="58C7A36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c>
                <w:tcPr>
                  <w:tcW w:w="1783" w:type="dxa"/>
                  <w:noWrap w:val="0"/>
                  <w:vAlign w:val="center"/>
                </w:tcPr>
                <w:p w14:paraId="70B0BB44">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厂界外1米</w:t>
                  </w:r>
                </w:p>
              </w:tc>
              <w:tc>
                <w:tcPr>
                  <w:tcW w:w="2268" w:type="dxa"/>
                  <w:noWrap w:val="0"/>
                  <w:vAlign w:val="center"/>
                </w:tcPr>
                <w:p w14:paraId="1073FB9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连续等效A声级</w:t>
                  </w:r>
                </w:p>
              </w:tc>
              <w:tc>
                <w:tcPr>
                  <w:tcW w:w="3135" w:type="dxa"/>
                  <w:noWrap w:val="0"/>
                  <w:vAlign w:val="center"/>
                </w:tcPr>
                <w:p w14:paraId="7016EAA3">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1次/季度；昼间一次/天</w:t>
                  </w:r>
                </w:p>
              </w:tc>
            </w:tr>
          </w:tbl>
          <w:p w14:paraId="2BD912A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（4）噪声验收监测计划表</w:t>
            </w:r>
          </w:p>
          <w:p w14:paraId="58BAD7B0">
            <w:pPr>
              <w:keepNext w:val="0"/>
              <w:keepLines w:val="0"/>
              <w:pageBreakBefore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4-</w:t>
            </w:r>
            <w:r>
              <w:rPr>
                <w:rFonts w:hint="eastAsia" w:ascii="Times New Roman" w:hAnsi="Times New Roman" w:cs="Times New Roman"/>
                <w:b/>
                <w:color w:val="auto"/>
                <w:szCs w:val="21"/>
                <w:lang w:val="en-US" w:eastAsia="zh-CN"/>
              </w:rPr>
              <w:t>1</w:t>
            </w:r>
            <w:r>
              <w:rPr>
                <w:rFonts w:hint="eastAsia" w:cs="Times New Roman"/>
                <w:b/>
                <w:color w:val="auto"/>
                <w:szCs w:val="21"/>
                <w:lang w:val="en-US" w:eastAsia="zh-CN"/>
              </w:rPr>
              <w:t>7</w:t>
            </w:r>
            <w:r>
              <w:rPr>
                <w:rFonts w:hint="default" w:ascii="Times New Roman" w:hAnsi="Times New Roman" w:eastAsia="宋体" w:cs="Times New Roman"/>
                <w:b/>
                <w:color w:val="auto"/>
                <w:szCs w:val="21"/>
              </w:rPr>
              <w:t xml:space="preserve"> 噪声</w:t>
            </w:r>
            <w:r>
              <w:rPr>
                <w:rFonts w:hint="default" w:ascii="Times New Roman" w:hAnsi="Times New Roman" w:eastAsia="宋体" w:cs="Times New Roman"/>
                <w:b/>
                <w:color w:val="auto"/>
                <w:szCs w:val="21"/>
                <w:lang w:val="en-US" w:eastAsia="zh-CN"/>
              </w:rPr>
              <w:t>验收</w:t>
            </w:r>
            <w:r>
              <w:rPr>
                <w:rFonts w:hint="default" w:ascii="Times New Roman" w:hAnsi="Times New Roman" w:eastAsia="宋体" w:cs="Times New Roman"/>
                <w:b/>
                <w:color w:val="auto"/>
                <w:szCs w:val="21"/>
              </w:rPr>
              <w:t>监测计划表</w:t>
            </w:r>
          </w:p>
          <w:tbl>
            <w:tblPr>
              <w:tblStyle w:val="42"/>
              <w:tblW w:w="495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940"/>
              <w:gridCol w:w="1560"/>
              <w:gridCol w:w="1275"/>
              <w:gridCol w:w="3423"/>
            </w:tblGrid>
            <w:tr w14:paraId="1A360A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466" w:hRule="atLeast"/>
                <w:jc w:val="center"/>
              </w:trPr>
              <w:tc>
                <w:tcPr>
                  <w:tcW w:w="1183" w:type="pct"/>
                  <w:shd w:val="clear" w:color="auto" w:fill="auto"/>
                  <w:tcMar>
                    <w:top w:w="80" w:type="dxa"/>
                    <w:left w:w="80" w:type="dxa"/>
                    <w:bottom w:w="80" w:type="dxa"/>
                    <w:right w:w="80" w:type="dxa"/>
                  </w:tcMar>
                  <w:vAlign w:val="center"/>
                </w:tcPr>
                <w:p w14:paraId="14A81275">
                  <w:pPr>
                    <w:adjustRightInd w:val="0"/>
                    <w:snapToGrid w:val="0"/>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监测点位</w:t>
                  </w:r>
                </w:p>
              </w:tc>
              <w:tc>
                <w:tcPr>
                  <w:tcW w:w="951" w:type="pct"/>
                  <w:shd w:val="clear" w:color="auto" w:fill="auto"/>
                  <w:tcMar>
                    <w:top w:w="80" w:type="dxa"/>
                    <w:left w:w="80" w:type="dxa"/>
                    <w:bottom w:w="80" w:type="dxa"/>
                    <w:right w:w="80" w:type="dxa"/>
                  </w:tcMar>
                  <w:vAlign w:val="center"/>
                </w:tcPr>
                <w:p w14:paraId="51C256C0">
                  <w:pPr>
                    <w:adjustRightInd w:val="0"/>
                    <w:snapToGrid w:val="0"/>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监测因子</w:t>
                  </w:r>
                </w:p>
              </w:tc>
              <w:tc>
                <w:tcPr>
                  <w:tcW w:w="777" w:type="pct"/>
                  <w:shd w:val="clear" w:color="auto" w:fill="auto"/>
                  <w:tcMar>
                    <w:top w:w="80" w:type="dxa"/>
                    <w:left w:w="80" w:type="dxa"/>
                    <w:bottom w:w="80" w:type="dxa"/>
                    <w:right w:w="80" w:type="dxa"/>
                  </w:tcMar>
                  <w:vAlign w:val="center"/>
                </w:tcPr>
                <w:p w14:paraId="243F799C">
                  <w:pPr>
                    <w:adjustRightInd w:val="0"/>
                    <w:snapToGrid w:val="0"/>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监测频次</w:t>
                  </w:r>
                </w:p>
              </w:tc>
              <w:tc>
                <w:tcPr>
                  <w:tcW w:w="2087" w:type="pct"/>
                  <w:shd w:val="clear" w:color="auto" w:fill="auto"/>
                  <w:vAlign w:val="center"/>
                </w:tcPr>
                <w:p w14:paraId="5E5CD651">
                  <w:pPr>
                    <w:adjustRightInd w:val="0"/>
                    <w:snapToGrid w:val="0"/>
                    <w:spacing w:line="24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执行标准</w:t>
                  </w:r>
                </w:p>
              </w:tc>
            </w:tr>
            <w:tr w14:paraId="5CF3EE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1183" w:type="pct"/>
                  <w:shd w:val="clear" w:color="auto" w:fill="auto"/>
                  <w:tcMar>
                    <w:top w:w="80" w:type="dxa"/>
                    <w:left w:w="80" w:type="dxa"/>
                    <w:bottom w:w="80" w:type="dxa"/>
                    <w:right w:w="80" w:type="dxa"/>
                  </w:tcMar>
                  <w:vAlign w:val="center"/>
                </w:tcPr>
                <w:p w14:paraId="12B8BB0C">
                  <w:pPr>
                    <w:adjustRightInd w:val="0"/>
                    <w:snapToGrid w:val="0"/>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厂界</w:t>
                  </w:r>
                  <w:r>
                    <w:rPr>
                      <w:rFonts w:hint="default" w:ascii="Times New Roman" w:hAnsi="Times New Roman" w:eastAsia="宋体" w:cs="Times New Roman"/>
                      <w:color w:val="auto"/>
                      <w:szCs w:val="21"/>
                      <w:lang w:val="en-US" w:eastAsia="zh-CN"/>
                    </w:rPr>
                    <w:t>四周外1m</w:t>
                  </w:r>
                  <w:r>
                    <w:rPr>
                      <w:rFonts w:hint="default" w:ascii="Times New Roman" w:hAnsi="Times New Roman" w:eastAsia="宋体" w:cs="Times New Roman"/>
                      <w:color w:val="auto"/>
                      <w:szCs w:val="21"/>
                    </w:rPr>
                    <w:t>（N1-N4）</w:t>
                  </w:r>
                </w:p>
              </w:tc>
              <w:tc>
                <w:tcPr>
                  <w:tcW w:w="951" w:type="pct"/>
                  <w:shd w:val="clear" w:color="auto" w:fill="auto"/>
                  <w:tcMar>
                    <w:top w:w="80" w:type="dxa"/>
                    <w:left w:w="80" w:type="dxa"/>
                    <w:bottom w:w="80" w:type="dxa"/>
                    <w:right w:w="80" w:type="dxa"/>
                  </w:tcMar>
                  <w:vAlign w:val="center"/>
                </w:tcPr>
                <w:p w14:paraId="32F60ABE">
                  <w:pPr>
                    <w:adjustRightInd w:val="0"/>
                    <w:snapToGrid w:val="0"/>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等效</w:t>
                  </w:r>
                  <w:r>
                    <w:rPr>
                      <w:rFonts w:hint="default" w:ascii="Times New Roman" w:hAnsi="Times New Roman" w:eastAsia="宋体" w:cs="Times New Roman"/>
                      <w:color w:val="auto"/>
                      <w:szCs w:val="21"/>
                      <w:lang w:val="en-US" w:eastAsia="zh-CN"/>
                    </w:rPr>
                    <w:t>连续</w:t>
                  </w:r>
                  <w:r>
                    <w:rPr>
                      <w:rFonts w:hint="eastAsia" w:cs="Times New Roman"/>
                      <w:color w:val="auto"/>
                      <w:szCs w:val="21"/>
                      <w:lang w:val="en-US" w:eastAsia="zh-CN"/>
                    </w:rPr>
                    <w:t>（</w:t>
                  </w:r>
                  <w:r>
                    <w:rPr>
                      <w:rFonts w:hint="default" w:ascii="Times New Roman" w:hAnsi="Times New Roman" w:eastAsia="宋体" w:cs="Times New Roman"/>
                      <w:color w:val="auto"/>
                      <w:szCs w:val="21"/>
                    </w:rPr>
                    <w:t>A</w:t>
                  </w:r>
                  <w:r>
                    <w:rPr>
                      <w:rFonts w:hint="eastAsia" w:cs="Times New Roman"/>
                      <w:color w:val="auto"/>
                      <w:szCs w:val="21"/>
                      <w:lang w:eastAsia="zh-CN"/>
                    </w:rPr>
                    <w:t>）</w:t>
                  </w:r>
                  <w:r>
                    <w:rPr>
                      <w:rFonts w:hint="default" w:ascii="Times New Roman" w:hAnsi="Times New Roman" w:eastAsia="宋体" w:cs="Times New Roman"/>
                      <w:color w:val="auto"/>
                      <w:szCs w:val="21"/>
                    </w:rPr>
                    <w:t>声级</w:t>
                  </w:r>
                </w:p>
              </w:tc>
              <w:tc>
                <w:tcPr>
                  <w:tcW w:w="777" w:type="pct"/>
                  <w:shd w:val="clear" w:color="auto" w:fill="auto"/>
                  <w:tcMar>
                    <w:top w:w="80" w:type="dxa"/>
                    <w:left w:w="80" w:type="dxa"/>
                    <w:bottom w:w="80" w:type="dxa"/>
                    <w:right w:w="80" w:type="dxa"/>
                  </w:tcMar>
                  <w:vAlign w:val="center"/>
                </w:tcPr>
                <w:p w14:paraId="0D91D78C">
                  <w:pPr>
                    <w:adjustRightInd w:val="0"/>
                    <w:snapToGrid w:val="0"/>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监测两天，昼间一次</w:t>
                  </w:r>
                </w:p>
              </w:tc>
              <w:tc>
                <w:tcPr>
                  <w:tcW w:w="2087" w:type="pct"/>
                  <w:shd w:val="clear" w:color="auto" w:fill="auto"/>
                  <w:vAlign w:val="center"/>
                </w:tcPr>
                <w:p w14:paraId="707A113C">
                  <w:pPr>
                    <w:adjustRightInd w:val="0"/>
                    <w:snapToGrid w:val="0"/>
                    <w:spacing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厂界执行《工业企业厂界环境噪声排放标准》（GB12348-2008）</w:t>
                  </w:r>
                  <w:r>
                    <w:rPr>
                      <w:rFonts w:hint="default" w:ascii="Times New Roman" w:hAnsi="Times New Roman" w:eastAsia="宋体" w:cs="Times New Roman"/>
                      <w:color w:val="auto"/>
                      <w:szCs w:val="21"/>
                      <w:lang w:val="en-US" w:eastAsia="zh-CN"/>
                    </w:rPr>
                    <w:t>3类标准</w:t>
                  </w:r>
                </w:p>
              </w:tc>
            </w:tr>
          </w:tbl>
          <w:p w14:paraId="0CC2308F">
            <w:pPr>
              <w:spacing w:line="360" w:lineRule="auto"/>
              <w:ind w:firstLine="420" w:firstLineChars="200"/>
              <w:rPr>
                <w:color w:val="auto"/>
              </w:rPr>
            </w:pPr>
            <w:r>
              <w:rPr>
                <w:color w:val="auto"/>
              </w:rPr>
              <w:t>建议建设单位采用下列措施</w:t>
            </w:r>
            <w:r>
              <w:rPr>
                <w:rFonts w:hint="eastAsia"/>
                <w:color w:val="auto"/>
                <w:lang w:eastAsia="zh-CN"/>
              </w:rPr>
              <w:t>及</w:t>
            </w:r>
            <w:r>
              <w:rPr>
                <w:color w:val="auto"/>
              </w:rPr>
              <w:t>噪声控制措施：</w:t>
            </w:r>
          </w:p>
          <w:p w14:paraId="073D02A0">
            <w:pPr>
              <w:spacing w:line="360" w:lineRule="auto"/>
              <w:ind w:firstLine="420" w:firstLineChars="200"/>
              <w:rPr>
                <w:color w:val="auto"/>
              </w:rPr>
            </w:pPr>
            <w:r>
              <w:rPr>
                <w:color w:val="auto"/>
              </w:rPr>
              <w:t>（1）控制设备噪声：在设备选型时选用先进的低噪声设备，在满足工艺设计的前提下，尽量选用满足国际标准的低噪声、低振动型号的设备，降低噪声源强。</w:t>
            </w:r>
          </w:p>
          <w:p w14:paraId="5FC9B9FE">
            <w:pPr>
              <w:spacing w:line="360" w:lineRule="auto"/>
              <w:ind w:firstLine="420" w:firstLineChars="200"/>
              <w:rPr>
                <w:color w:val="auto"/>
              </w:rPr>
            </w:pPr>
            <w:r>
              <w:rPr>
                <w:color w:val="auto"/>
              </w:rPr>
              <w:t>（2）设备减振、隔声：高噪声设备安装</w:t>
            </w:r>
            <w:r>
              <w:rPr>
                <w:rFonts w:hint="eastAsia"/>
                <w:color w:val="auto"/>
                <w:lang w:eastAsia="zh-CN"/>
              </w:rPr>
              <w:t>减振</w:t>
            </w:r>
            <w:r>
              <w:rPr>
                <w:color w:val="auto"/>
              </w:rPr>
              <w:t>底座，设计降噪量达 10dB（A）左右。</w:t>
            </w:r>
          </w:p>
          <w:p w14:paraId="6D728AD5">
            <w:pPr>
              <w:spacing w:line="360" w:lineRule="auto"/>
              <w:ind w:firstLine="420" w:firstLineChars="200"/>
              <w:rPr>
                <w:color w:val="auto"/>
              </w:rPr>
            </w:pPr>
            <w:r>
              <w:rPr>
                <w:color w:val="auto"/>
              </w:rPr>
              <w:t>（3）加强建筑物隔声措施：高噪声设备均需安置在室内，利用建筑隔声，并采取隔声、吸声材料制作门窗、墙体等，防止噪声的扩散和传播，正常生产时门窗密闭，采取隔声措施。</w:t>
            </w:r>
          </w:p>
          <w:p w14:paraId="2D363173">
            <w:pPr>
              <w:spacing w:line="360" w:lineRule="auto"/>
              <w:ind w:firstLine="420" w:firstLineChars="200"/>
              <w:rPr>
                <w:color w:val="auto"/>
              </w:rPr>
            </w:pPr>
            <w:r>
              <w:rPr>
                <w:color w:val="auto"/>
              </w:rPr>
              <w:t>（4）强化生产管理，确保各类防治措施有效运行，各设备均保持良好运行状态，防止突发噪声。</w:t>
            </w:r>
          </w:p>
          <w:p w14:paraId="2FE07E0B">
            <w:pPr>
              <w:adjustRightInd w:val="0"/>
              <w:snapToGrid w:val="0"/>
              <w:spacing w:line="360" w:lineRule="auto"/>
              <w:ind w:firstLine="422" w:firstLineChars="200"/>
              <w:rPr>
                <w:b/>
                <w:color w:val="auto"/>
                <w:sz w:val="21"/>
                <w:szCs w:val="21"/>
              </w:rPr>
            </w:pPr>
            <w:r>
              <w:rPr>
                <w:rFonts w:hint="eastAsia"/>
                <w:b/>
                <w:color w:val="auto"/>
                <w:sz w:val="21"/>
                <w:szCs w:val="21"/>
                <w:lang w:val="en-US" w:eastAsia="zh-CN"/>
              </w:rPr>
              <w:t>4</w:t>
            </w:r>
            <w:r>
              <w:rPr>
                <w:b/>
                <w:color w:val="auto"/>
                <w:sz w:val="21"/>
                <w:szCs w:val="21"/>
              </w:rPr>
              <w:t>、固体废物</w:t>
            </w:r>
          </w:p>
          <w:p w14:paraId="1966F143">
            <w:pPr>
              <w:adjustRightInd w:val="0"/>
              <w:snapToGrid w:val="0"/>
              <w:spacing w:line="360" w:lineRule="auto"/>
              <w:ind w:firstLine="420" w:firstLineChars="200"/>
              <w:rPr>
                <w:color w:val="auto"/>
                <w:sz w:val="21"/>
                <w:szCs w:val="21"/>
              </w:rPr>
            </w:pPr>
            <w:r>
              <w:rPr>
                <w:rFonts w:hint="eastAsia"/>
                <w:color w:val="auto"/>
                <w:sz w:val="21"/>
                <w:szCs w:val="21"/>
                <w:lang w:val="en-US" w:eastAsia="zh-CN"/>
              </w:rPr>
              <w:t>本项目所涉及固体废物主要为废边角料、氧化皮、</w:t>
            </w:r>
            <w:r>
              <w:rPr>
                <w:rFonts w:hint="eastAsia" w:ascii="Times New Roman" w:hAnsi="Times New Roman" w:eastAsia="宋体" w:cs="Times New Roman"/>
                <w:color w:val="auto"/>
                <w:sz w:val="21"/>
                <w:szCs w:val="21"/>
                <w:lang w:val="en-US" w:eastAsia="zh-CN"/>
              </w:rPr>
              <w:t>含油金属屑</w:t>
            </w:r>
            <w:r>
              <w:rPr>
                <w:rFonts w:hint="eastAsia"/>
                <w:color w:val="auto"/>
                <w:sz w:val="21"/>
                <w:szCs w:val="21"/>
                <w:lang w:val="en-US" w:eastAsia="zh-CN"/>
              </w:rPr>
              <w:t>、废切削液、废液压油、废润滑油、废包装桶、含油抹布及手套</w:t>
            </w:r>
            <w:r>
              <w:rPr>
                <w:color w:val="auto"/>
                <w:sz w:val="21"/>
                <w:szCs w:val="21"/>
                <w:lang w:val="en-US" w:eastAsia="zh-CN"/>
              </w:rPr>
              <w:t>。</w:t>
            </w:r>
          </w:p>
          <w:p w14:paraId="6A452591">
            <w:pPr>
              <w:adjustRightInd w:val="0"/>
              <w:snapToGrid w:val="0"/>
              <w:spacing w:line="360" w:lineRule="auto"/>
              <w:ind w:firstLine="420" w:firstLineChars="200"/>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color w:val="auto"/>
                <w:sz w:val="21"/>
                <w:szCs w:val="21"/>
              </w:rPr>
              <w:t>固体废物产生及处置情况</w:t>
            </w:r>
          </w:p>
          <w:p w14:paraId="12A3F74D">
            <w:pPr>
              <w:pStyle w:val="11"/>
              <w:keepNext w:val="0"/>
              <w:keepLines w:val="0"/>
              <w:pageBreakBefore w:val="0"/>
              <w:kinsoku/>
              <w:wordWrap/>
              <w:overflowPunct/>
              <w:topLinePunct w:val="0"/>
              <w:autoSpaceDE/>
              <w:autoSpaceDN/>
              <w:bidi w:val="0"/>
              <w:adjustRightInd/>
              <w:snapToGrid/>
              <w:spacing w:line="360" w:lineRule="auto"/>
              <w:ind w:right="0" w:firstLine="420" w:firstLineChars="200"/>
              <w:textAlignment w:val="auto"/>
              <w:rPr>
                <w:rFonts w:hint="default"/>
                <w:color w:val="auto"/>
                <w:sz w:val="21"/>
                <w:szCs w:val="21"/>
                <w:lang w:val="en-US" w:eastAsia="zh-CN"/>
              </w:rPr>
            </w:pPr>
            <w:r>
              <w:rPr>
                <w:rFonts w:hint="eastAsia"/>
                <w:color w:val="auto"/>
                <w:sz w:val="21"/>
                <w:szCs w:val="21"/>
                <w:lang w:val="en-US" w:eastAsia="zh-CN"/>
              </w:rPr>
              <w:t>①废边角料S1-1、S2-1</w:t>
            </w:r>
          </w:p>
          <w:p w14:paraId="65506759">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b w:val="0"/>
                <w:color w:val="auto"/>
                <w:sz w:val="21"/>
                <w:szCs w:val="21"/>
                <w:lang w:val="en-US" w:eastAsia="zh-CN"/>
              </w:rPr>
              <w:t>项目根据工艺要求将原料按重量锯切，去多余的帽口和水口，过程中产生废边角料。根据业主提供的资料，废边角料年产生量约为原材料的18%，约6075t/a，由合作钢厂回收。</w:t>
            </w:r>
          </w:p>
          <w:p w14:paraId="6EC5DACE">
            <w:pPr>
              <w:pStyle w:val="11"/>
              <w:spacing w:line="360" w:lineRule="auto"/>
              <w:ind w:firstLine="480"/>
              <w:rPr>
                <w:rFonts w:hint="default"/>
                <w:color w:val="auto"/>
                <w:sz w:val="21"/>
                <w:szCs w:val="21"/>
                <w:lang w:val="en-US" w:eastAsia="zh-CN"/>
              </w:rPr>
            </w:pPr>
            <w:r>
              <w:rPr>
                <w:rFonts w:hint="eastAsia"/>
                <w:color w:val="auto"/>
                <w:sz w:val="21"/>
                <w:szCs w:val="21"/>
                <w:lang w:val="en-US" w:eastAsia="zh-CN"/>
              </w:rPr>
              <w:t>②氧化皮S1-3、S2-3</w:t>
            </w:r>
          </w:p>
          <w:p w14:paraId="19E0BC2F">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color w:val="auto"/>
                <w:sz w:val="21"/>
                <w:szCs w:val="21"/>
                <w:lang w:val="en-US" w:eastAsia="zh-CN"/>
              </w:rPr>
              <w:t>项目在锻造过程中会产生固废氧化皮，</w:t>
            </w:r>
            <w:r>
              <w:rPr>
                <w:rFonts w:hint="eastAsia"/>
                <w:b w:val="0"/>
                <w:color w:val="auto"/>
                <w:sz w:val="21"/>
                <w:szCs w:val="21"/>
                <w:lang w:val="en-US" w:eastAsia="zh-CN"/>
              </w:rPr>
              <w:t>根据业主提供的资料，氧化皮年产生量约为原材料的1%，约337.5t/a，由合作钢厂回收。</w:t>
            </w:r>
          </w:p>
          <w:p w14:paraId="50192F93">
            <w:pPr>
              <w:pStyle w:val="11"/>
              <w:spacing w:line="360" w:lineRule="auto"/>
              <w:ind w:firstLine="48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③含油金属屑S1-4、S2-4</w:t>
            </w:r>
          </w:p>
          <w:p w14:paraId="3B269E56">
            <w:pPr>
              <w:pStyle w:val="11"/>
              <w:spacing w:line="360" w:lineRule="auto"/>
              <w:ind w:firstLine="48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进行自由锻的产品，根据订单要求，部分产品需要进行机加工，同时模锻工序使用的模具为机加工自制，机加工工序产生固废含油金属屑，根据业主提供的资料，含油金属屑产生量约为原材料的1%，约337.5t/a，委托有资质单位处置。</w:t>
            </w:r>
          </w:p>
          <w:p w14:paraId="775E8F87">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 xml:space="preserve">④废切削液S1-2、S2-2、S2-5 </w:t>
            </w:r>
          </w:p>
          <w:p w14:paraId="3EE6007B">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color w:val="auto"/>
                <w:sz w:val="21"/>
                <w:szCs w:val="21"/>
                <w:lang w:val="en-US" w:eastAsia="zh-CN"/>
              </w:rPr>
              <w:t>部分设备使用切削液，</w:t>
            </w:r>
            <w:r>
              <w:rPr>
                <w:rFonts w:hint="eastAsia"/>
                <w:b w:val="0"/>
                <w:color w:val="auto"/>
                <w:sz w:val="21"/>
                <w:szCs w:val="21"/>
                <w:lang w:val="en-US" w:eastAsia="zh-CN"/>
              </w:rPr>
              <w:t>根据业主提供的资料，废</w:t>
            </w:r>
            <w:r>
              <w:rPr>
                <w:rFonts w:hint="eastAsia"/>
                <w:color w:val="auto"/>
                <w:sz w:val="21"/>
                <w:szCs w:val="21"/>
                <w:lang w:val="en-US" w:eastAsia="zh-CN"/>
              </w:rPr>
              <w:t>切削液</w:t>
            </w:r>
            <w:r>
              <w:rPr>
                <w:rFonts w:hint="eastAsia"/>
                <w:b w:val="0"/>
                <w:color w:val="auto"/>
                <w:sz w:val="21"/>
                <w:szCs w:val="21"/>
                <w:lang w:val="en-US" w:eastAsia="zh-CN"/>
              </w:rPr>
              <w:t>年产生量约为0.25t/a，委托有资质单位处置。</w:t>
            </w:r>
          </w:p>
          <w:p w14:paraId="0D06EEDF">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b w:val="0"/>
                <w:color w:val="auto"/>
                <w:sz w:val="21"/>
                <w:szCs w:val="21"/>
                <w:lang w:val="en-US" w:eastAsia="zh-CN"/>
              </w:rPr>
            </w:pPr>
            <w:r>
              <w:rPr>
                <w:rFonts w:hint="eastAsia"/>
                <w:b w:val="0"/>
                <w:color w:val="auto"/>
                <w:sz w:val="21"/>
                <w:szCs w:val="21"/>
                <w:lang w:val="en-US" w:eastAsia="zh-CN"/>
              </w:rPr>
              <w:t>⑤废液压油 S3</w:t>
            </w:r>
          </w:p>
          <w:p w14:paraId="0EC05E42">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b w:val="0"/>
                <w:color w:val="auto"/>
                <w:sz w:val="21"/>
                <w:szCs w:val="21"/>
                <w:lang w:val="en-US" w:eastAsia="zh-CN"/>
              </w:rPr>
              <w:t>部分设施需要使用液压油作为运行介质，根据业主提供的资料，废液压油年产生量约为5t/a，委托有资质单位处置。</w:t>
            </w:r>
          </w:p>
          <w:p w14:paraId="1F3FABA8">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b w:val="0"/>
                <w:color w:val="auto"/>
                <w:sz w:val="21"/>
                <w:szCs w:val="21"/>
                <w:lang w:val="en-US" w:eastAsia="zh-CN"/>
              </w:rPr>
            </w:pPr>
            <w:r>
              <w:rPr>
                <w:rFonts w:hint="eastAsia"/>
                <w:b w:val="0"/>
                <w:color w:val="auto"/>
                <w:sz w:val="21"/>
                <w:szCs w:val="21"/>
                <w:lang w:val="en-US" w:eastAsia="zh-CN"/>
              </w:rPr>
              <w:t>⑥废润滑油 S4</w:t>
            </w:r>
          </w:p>
          <w:p w14:paraId="03A81D05">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b w:val="0"/>
                <w:color w:val="auto"/>
                <w:sz w:val="21"/>
                <w:szCs w:val="21"/>
                <w:lang w:val="en-US" w:eastAsia="zh-CN"/>
              </w:rPr>
              <w:t>设备维护保养使用润滑油，根据业主提供的资料，废液润滑油年产生量约为0.7t/a，委托有资质单位处置。</w:t>
            </w:r>
          </w:p>
          <w:p w14:paraId="6AA98DC1">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b w:val="0"/>
                <w:color w:val="auto"/>
                <w:sz w:val="21"/>
                <w:szCs w:val="21"/>
                <w:lang w:val="en-US" w:eastAsia="zh-CN"/>
              </w:rPr>
            </w:pPr>
            <w:r>
              <w:rPr>
                <w:rFonts w:hint="eastAsia"/>
                <w:b w:val="0"/>
                <w:color w:val="auto"/>
                <w:sz w:val="21"/>
                <w:szCs w:val="21"/>
                <w:lang w:val="en-US" w:eastAsia="zh-CN"/>
              </w:rPr>
              <w:t>⑦废包装桶 S5</w:t>
            </w:r>
          </w:p>
          <w:p w14:paraId="2EFEFDD4">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b w:val="0"/>
                <w:color w:val="auto"/>
                <w:sz w:val="21"/>
                <w:szCs w:val="21"/>
                <w:lang w:val="en-US" w:eastAsia="zh-CN"/>
              </w:rPr>
              <w:t>切削液、液压油和润滑油均为桶装，根据业主提供的经验资料，产生废包装桶0.5t/a，委托有资质单位处置。</w:t>
            </w:r>
          </w:p>
          <w:p w14:paraId="1316038B">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b w:val="0"/>
                <w:color w:val="auto"/>
                <w:sz w:val="21"/>
                <w:szCs w:val="21"/>
                <w:lang w:val="en-US" w:eastAsia="zh-CN"/>
              </w:rPr>
            </w:pPr>
            <w:r>
              <w:rPr>
                <w:rFonts w:hint="eastAsia"/>
                <w:b w:val="0"/>
                <w:color w:val="auto"/>
                <w:sz w:val="21"/>
                <w:szCs w:val="21"/>
                <w:lang w:val="en-US" w:eastAsia="zh-CN"/>
              </w:rPr>
              <w:t xml:space="preserve">⑧含油抹布及手套S6 </w:t>
            </w:r>
          </w:p>
          <w:p w14:paraId="177A5249">
            <w:pPr>
              <w:pStyle w:val="16"/>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color w:val="auto"/>
                <w:sz w:val="21"/>
                <w:szCs w:val="21"/>
                <w:lang w:val="en-US" w:eastAsia="zh-CN"/>
              </w:rPr>
            </w:pPr>
            <w:r>
              <w:rPr>
                <w:rFonts w:hint="eastAsia"/>
                <w:b w:val="0"/>
                <w:color w:val="auto"/>
                <w:sz w:val="21"/>
                <w:szCs w:val="21"/>
                <w:lang w:val="en-US" w:eastAsia="zh-CN"/>
              </w:rPr>
              <w:t>设备维护保养时会产生少量含油抹布及手套，根据业主提供的经验资料，产生量约0.1t/a，委托有资质单位处置。</w:t>
            </w:r>
          </w:p>
          <w:p w14:paraId="18BC33EA">
            <w:pPr>
              <w:adjustRightInd w:val="0"/>
              <w:snapToGrid w:val="0"/>
              <w:spacing w:line="360" w:lineRule="auto"/>
              <w:jc w:val="center"/>
              <w:rPr>
                <w:b/>
                <w:bCs/>
                <w:color w:val="auto"/>
                <w:sz w:val="21"/>
                <w:szCs w:val="21"/>
              </w:rPr>
            </w:pPr>
            <w:r>
              <w:rPr>
                <w:b/>
                <w:bCs/>
                <w:color w:val="auto"/>
                <w:sz w:val="21"/>
                <w:szCs w:val="21"/>
              </w:rPr>
              <w:t>表4-</w:t>
            </w:r>
            <w:r>
              <w:rPr>
                <w:rFonts w:hint="eastAsia"/>
                <w:b/>
                <w:bCs/>
                <w:color w:val="auto"/>
                <w:sz w:val="21"/>
                <w:szCs w:val="21"/>
                <w:lang w:val="en-US" w:eastAsia="zh-CN"/>
              </w:rPr>
              <w:t>18</w:t>
            </w:r>
            <w:r>
              <w:rPr>
                <w:b/>
                <w:bCs/>
                <w:color w:val="auto"/>
                <w:sz w:val="21"/>
                <w:szCs w:val="21"/>
              </w:rPr>
              <w:t xml:space="preserve"> 建设项目</w:t>
            </w:r>
            <w:r>
              <w:rPr>
                <w:rFonts w:hint="eastAsia"/>
                <w:b/>
                <w:bCs/>
                <w:color w:val="auto"/>
                <w:sz w:val="21"/>
                <w:szCs w:val="21"/>
              </w:rPr>
              <w:t>固体废物产生</w:t>
            </w:r>
            <w:r>
              <w:rPr>
                <w:b/>
                <w:bCs/>
                <w:color w:val="auto"/>
                <w:sz w:val="21"/>
                <w:szCs w:val="21"/>
              </w:rPr>
              <w:t>情况</w:t>
            </w:r>
            <w:r>
              <w:rPr>
                <w:rFonts w:hint="eastAsia"/>
                <w:b/>
                <w:bCs/>
                <w:color w:val="auto"/>
                <w:sz w:val="21"/>
                <w:szCs w:val="21"/>
              </w:rPr>
              <w:t>一览</w:t>
            </w:r>
            <w:r>
              <w:rPr>
                <w:b/>
                <w:bCs/>
                <w:color w:val="auto"/>
                <w:sz w:val="21"/>
                <w:szCs w:val="21"/>
              </w:rPr>
              <w:t>表</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40"/>
              <w:gridCol w:w="1299"/>
              <w:gridCol w:w="621"/>
              <w:gridCol w:w="975"/>
              <w:gridCol w:w="841"/>
              <w:gridCol w:w="856"/>
              <w:gridCol w:w="571"/>
              <w:gridCol w:w="856"/>
              <w:gridCol w:w="1140"/>
              <w:gridCol w:w="872"/>
            </w:tblGrid>
            <w:tr w14:paraId="22B39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1F75AA71">
                  <w:pPr>
                    <w:adjustRightInd w:val="0"/>
                    <w:snapToGrid w:val="0"/>
                    <w:jc w:val="center"/>
                    <w:rPr>
                      <w:b/>
                      <w:bCs/>
                      <w:color w:val="auto"/>
                      <w:sz w:val="21"/>
                      <w:szCs w:val="21"/>
                    </w:rPr>
                  </w:pPr>
                  <w:r>
                    <w:rPr>
                      <w:b/>
                      <w:bCs/>
                      <w:color w:val="auto"/>
                      <w:sz w:val="21"/>
                      <w:szCs w:val="21"/>
                    </w:rPr>
                    <w:t>序号</w:t>
                  </w:r>
                </w:p>
              </w:tc>
              <w:tc>
                <w:tcPr>
                  <w:tcW w:w="785" w:type="pct"/>
                  <w:tcBorders>
                    <w:tl2br w:val="nil"/>
                    <w:tr2bl w:val="nil"/>
                  </w:tcBorders>
                  <w:noWrap w:val="0"/>
                  <w:vAlign w:val="center"/>
                </w:tcPr>
                <w:p w14:paraId="0B8EC375">
                  <w:pPr>
                    <w:adjustRightInd w:val="0"/>
                    <w:snapToGrid w:val="0"/>
                    <w:jc w:val="center"/>
                    <w:rPr>
                      <w:b/>
                      <w:bCs/>
                      <w:color w:val="auto"/>
                      <w:sz w:val="21"/>
                      <w:szCs w:val="21"/>
                    </w:rPr>
                  </w:pPr>
                  <w:r>
                    <w:rPr>
                      <w:b/>
                      <w:bCs/>
                      <w:color w:val="auto"/>
                      <w:sz w:val="21"/>
                      <w:szCs w:val="21"/>
                    </w:rPr>
                    <w:t>固废名称</w:t>
                  </w:r>
                </w:p>
              </w:tc>
              <w:tc>
                <w:tcPr>
                  <w:tcW w:w="375" w:type="pct"/>
                  <w:tcBorders>
                    <w:tl2br w:val="nil"/>
                    <w:tr2bl w:val="nil"/>
                  </w:tcBorders>
                  <w:noWrap w:val="0"/>
                  <w:vAlign w:val="center"/>
                </w:tcPr>
                <w:p w14:paraId="19CF903B">
                  <w:pPr>
                    <w:adjustRightInd w:val="0"/>
                    <w:snapToGrid w:val="0"/>
                    <w:jc w:val="center"/>
                    <w:rPr>
                      <w:b/>
                      <w:bCs/>
                      <w:color w:val="auto"/>
                      <w:sz w:val="21"/>
                      <w:szCs w:val="21"/>
                    </w:rPr>
                  </w:pPr>
                  <w:r>
                    <w:rPr>
                      <w:b/>
                      <w:bCs/>
                      <w:color w:val="auto"/>
                      <w:sz w:val="21"/>
                      <w:szCs w:val="21"/>
                    </w:rPr>
                    <w:t>属性</w:t>
                  </w:r>
                </w:p>
              </w:tc>
              <w:tc>
                <w:tcPr>
                  <w:tcW w:w="589" w:type="pct"/>
                  <w:tcBorders>
                    <w:tl2br w:val="nil"/>
                    <w:tr2bl w:val="nil"/>
                  </w:tcBorders>
                  <w:noWrap w:val="0"/>
                  <w:vAlign w:val="center"/>
                </w:tcPr>
                <w:p w14:paraId="61ABF609">
                  <w:pPr>
                    <w:adjustRightInd w:val="0"/>
                    <w:snapToGrid w:val="0"/>
                    <w:jc w:val="center"/>
                    <w:rPr>
                      <w:b/>
                      <w:bCs/>
                      <w:color w:val="auto"/>
                      <w:sz w:val="21"/>
                      <w:szCs w:val="21"/>
                    </w:rPr>
                  </w:pPr>
                  <w:r>
                    <w:rPr>
                      <w:b/>
                      <w:bCs/>
                      <w:color w:val="auto"/>
                      <w:sz w:val="21"/>
                      <w:szCs w:val="21"/>
                    </w:rPr>
                    <w:t>产生工序</w:t>
                  </w:r>
                </w:p>
              </w:tc>
              <w:tc>
                <w:tcPr>
                  <w:tcW w:w="508" w:type="pct"/>
                  <w:tcBorders>
                    <w:tl2br w:val="nil"/>
                    <w:tr2bl w:val="nil"/>
                  </w:tcBorders>
                  <w:noWrap w:val="0"/>
                  <w:vAlign w:val="center"/>
                </w:tcPr>
                <w:p w14:paraId="265ED9E2">
                  <w:pPr>
                    <w:adjustRightInd w:val="0"/>
                    <w:snapToGrid w:val="0"/>
                    <w:jc w:val="center"/>
                    <w:rPr>
                      <w:b/>
                      <w:bCs/>
                      <w:color w:val="auto"/>
                      <w:sz w:val="21"/>
                      <w:szCs w:val="21"/>
                    </w:rPr>
                  </w:pPr>
                  <w:r>
                    <w:rPr>
                      <w:rFonts w:hint="eastAsia"/>
                      <w:b/>
                      <w:bCs/>
                      <w:color w:val="auto"/>
                      <w:sz w:val="21"/>
                      <w:szCs w:val="21"/>
                      <w:lang w:val="en-US" w:eastAsia="zh-CN"/>
                    </w:rPr>
                    <w:t>主要</w:t>
                  </w:r>
                  <w:r>
                    <w:rPr>
                      <w:rFonts w:hint="eastAsia"/>
                      <w:b/>
                      <w:bCs/>
                      <w:color w:val="auto"/>
                      <w:sz w:val="21"/>
                      <w:szCs w:val="21"/>
                    </w:rPr>
                    <w:t>成分</w:t>
                  </w:r>
                </w:p>
              </w:tc>
              <w:tc>
                <w:tcPr>
                  <w:tcW w:w="517" w:type="pct"/>
                  <w:tcBorders>
                    <w:tl2br w:val="nil"/>
                    <w:tr2bl w:val="nil"/>
                  </w:tcBorders>
                  <w:noWrap w:val="0"/>
                  <w:vAlign w:val="center"/>
                </w:tcPr>
                <w:p w14:paraId="2CA7AC68">
                  <w:pPr>
                    <w:adjustRightInd w:val="0"/>
                    <w:snapToGrid w:val="0"/>
                    <w:jc w:val="center"/>
                    <w:rPr>
                      <w:b/>
                      <w:bCs/>
                      <w:color w:val="auto"/>
                      <w:sz w:val="21"/>
                      <w:szCs w:val="21"/>
                    </w:rPr>
                  </w:pPr>
                  <w:r>
                    <w:rPr>
                      <w:b/>
                      <w:bCs/>
                      <w:color w:val="auto"/>
                      <w:sz w:val="21"/>
                      <w:szCs w:val="21"/>
                    </w:rPr>
                    <w:t>形态</w:t>
                  </w:r>
                </w:p>
              </w:tc>
              <w:tc>
                <w:tcPr>
                  <w:tcW w:w="345" w:type="pct"/>
                  <w:tcBorders>
                    <w:tl2br w:val="nil"/>
                    <w:tr2bl w:val="nil"/>
                  </w:tcBorders>
                  <w:noWrap w:val="0"/>
                  <w:vAlign w:val="center"/>
                </w:tcPr>
                <w:p w14:paraId="34A866B4">
                  <w:pPr>
                    <w:adjustRightInd w:val="0"/>
                    <w:snapToGrid w:val="0"/>
                    <w:jc w:val="center"/>
                    <w:rPr>
                      <w:b/>
                      <w:bCs/>
                      <w:color w:val="auto"/>
                      <w:sz w:val="21"/>
                      <w:szCs w:val="21"/>
                    </w:rPr>
                  </w:pPr>
                  <w:r>
                    <w:rPr>
                      <w:rFonts w:hint="eastAsia"/>
                      <w:b/>
                      <w:bCs/>
                      <w:color w:val="auto"/>
                      <w:sz w:val="21"/>
                      <w:szCs w:val="21"/>
                    </w:rPr>
                    <w:t>危险特性</w:t>
                  </w:r>
                </w:p>
              </w:tc>
              <w:tc>
                <w:tcPr>
                  <w:tcW w:w="517" w:type="pct"/>
                  <w:tcBorders>
                    <w:tl2br w:val="nil"/>
                    <w:tr2bl w:val="nil"/>
                  </w:tcBorders>
                  <w:noWrap w:val="0"/>
                  <w:vAlign w:val="center"/>
                </w:tcPr>
                <w:p w14:paraId="6395B3A9">
                  <w:pPr>
                    <w:adjustRightInd w:val="0"/>
                    <w:snapToGrid w:val="0"/>
                    <w:jc w:val="center"/>
                    <w:rPr>
                      <w:b/>
                      <w:bCs/>
                      <w:color w:val="auto"/>
                      <w:sz w:val="21"/>
                      <w:szCs w:val="21"/>
                    </w:rPr>
                  </w:pPr>
                  <w:r>
                    <w:rPr>
                      <w:b/>
                      <w:bCs/>
                      <w:color w:val="auto"/>
                      <w:sz w:val="21"/>
                      <w:szCs w:val="21"/>
                    </w:rPr>
                    <w:t>废物类别</w:t>
                  </w:r>
                </w:p>
              </w:tc>
              <w:tc>
                <w:tcPr>
                  <w:tcW w:w="689" w:type="pct"/>
                  <w:tcBorders>
                    <w:tl2br w:val="nil"/>
                    <w:tr2bl w:val="nil"/>
                  </w:tcBorders>
                  <w:noWrap w:val="0"/>
                  <w:vAlign w:val="center"/>
                </w:tcPr>
                <w:p w14:paraId="76CAB244">
                  <w:pPr>
                    <w:adjustRightInd w:val="0"/>
                    <w:snapToGrid w:val="0"/>
                    <w:jc w:val="center"/>
                    <w:rPr>
                      <w:b/>
                      <w:bCs/>
                      <w:color w:val="auto"/>
                      <w:sz w:val="21"/>
                      <w:szCs w:val="21"/>
                    </w:rPr>
                  </w:pPr>
                  <w:r>
                    <w:rPr>
                      <w:b/>
                      <w:bCs/>
                      <w:color w:val="auto"/>
                      <w:sz w:val="21"/>
                      <w:szCs w:val="21"/>
                    </w:rPr>
                    <w:t>废物</w:t>
                  </w:r>
                </w:p>
                <w:p w14:paraId="50788774">
                  <w:pPr>
                    <w:adjustRightInd w:val="0"/>
                    <w:snapToGrid w:val="0"/>
                    <w:jc w:val="center"/>
                    <w:rPr>
                      <w:b/>
                      <w:bCs/>
                      <w:color w:val="auto"/>
                      <w:sz w:val="21"/>
                      <w:szCs w:val="21"/>
                    </w:rPr>
                  </w:pPr>
                  <w:r>
                    <w:rPr>
                      <w:b/>
                      <w:bCs/>
                      <w:color w:val="auto"/>
                      <w:sz w:val="21"/>
                      <w:szCs w:val="21"/>
                    </w:rPr>
                    <w:t>代码</w:t>
                  </w:r>
                </w:p>
              </w:tc>
              <w:tc>
                <w:tcPr>
                  <w:tcW w:w="527" w:type="pct"/>
                  <w:tcBorders>
                    <w:tl2br w:val="nil"/>
                    <w:tr2bl w:val="nil"/>
                  </w:tcBorders>
                  <w:noWrap w:val="0"/>
                  <w:vAlign w:val="center"/>
                </w:tcPr>
                <w:p w14:paraId="7F7F5517">
                  <w:pPr>
                    <w:adjustRightInd w:val="0"/>
                    <w:snapToGrid w:val="0"/>
                    <w:jc w:val="center"/>
                    <w:rPr>
                      <w:b/>
                      <w:bCs/>
                      <w:color w:val="auto"/>
                      <w:sz w:val="21"/>
                      <w:szCs w:val="21"/>
                    </w:rPr>
                  </w:pPr>
                  <w:r>
                    <w:rPr>
                      <w:b/>
                      <w:bCs/>
                      <w:color w:val="auto"/>
                      <w:sz w:val="21"/>
                      <w:szCs w:val="21"/>
                    </w:rPr>
                    <w:t>产生量</w:t>
                  </w:r>
                </w:p>
                <w:p w14:paraId="6AD3E0F9">
                  <w:pPr>
                    <w:adjustRightInd w:val="0"/>
                    <w:snapToGrid w:val="0"/>
                    <w:jc w:val="center"/>
                    <w:rPr>
                      <w:b/>
                      <w:bCs/>
                      <w:color w:val="auto"/>
                      <w:sz w:val="21"/>
                      <w:szCs w:val="21"/>
                    </w:rPr>
                  </w:pPr>
                  <w:r>
                    <w:rPr>
                      <w:b/>
                      <w:bCs/>
                      <w:color w:val="auto"/>
                      <w:sz w:val="21"/>
                      <w:szCs w:val="21"/>
                    </w:rPr>
                    <w:t>（t/a）</w:t>
                  </w:r>
                </w:p>
              </w:tc>
            </w:tr>
            <w:tr w14:paraId="26730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56C2C495">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1</w:t>
                  </w:r>
                </w:p>
              </w:tc>
              <w:tc>
                <w:tcPr>
                  <w:tcW w:w="785" w:type="pct"/>
                  <w:tcBorders>
                    <w:tl2br w:val="nil"/>
                    <w:tr2bl w:val="nil"/>
                  </w:tcBorders>
                  <w:noWrap w:val="0"/>
                  <w:vAlign w:val="center"/>
                </w:tcPr>
                <w:p w14:paraId="66367CF2">
                  <w:pPr>
                    <w:jc w:val="center"/>
                    <w:rPr>
                      <w:rFonts w:hint="default"/>
                      <w:color w:val="auto"/>
                      <w:lang w:val="en-US" w:eastAsia="zh-CN"/>
                    </w:rPr>
                  </w:pPr>
                  <w:r>
                    <w:rPr>
                      <w:rFonts w:hint="eastAsia"/>
                      <w:color w:val="auto"/>
                      <w:lang w:val="en-US" w:eastAsia="zh-CN"/>
                    </w:rPr>
                    <w:t>废边角料</w:t>
                  </w:r>
                </w:p>
              </w:tc>
              <w:tc>
                <w:tcPr>
                  <w:tcW w:w="375" w:type="pct"/>
                  <w:vMerge w:val="restart"/>
                  <w:tcBorders>
                    <w:tl2br w:val="nil"/>
                    <w:tr2bl w:val="nil"/>
                  </w:tcBorders>
                  <w:noWrap w:val="0"/>
                  <w:vAlign w:val="center"/>
                </w:tcPr>
                <w:p w14:paraId="3DB45CB3">
                  <w:pPr>
                    <w:adjustRightInd w:val="0"/>
                    <w:snapToGrid w:val="0"/>
                    <w:jc w:val="center"/>
                    <w:rPr>
                      <w:color w:val="auto"/>
                      <w:sz w:val="21"/>
                      <w:szCs w:val="21"/>
                    </w:rPr>
                  </w:pPr>
                  <w:r>
                    <w:rPr>
                      <w:color w:val="auto"/>
                      <w:sz w:val="21"/>
                      <w:szCs w:val="21"/>
                    </w:rPr>
                    <w:t>一般</w:t>
                  </w:r>
                  <w:r>
                    <w:rPr>
                      <w:rFonts w:hint="eastAsia"/>
                      <w:color w:val="auto"/>
                      <w:sz w:val="21"/>
                      <w:szCs w:val="21"/>
                      <w:lang w:val="en-US" w:eastAsia="zh-CN"/>
                    </w:rPr>
                    <w:t>工业</w:t>
                  </w:r>
                  <w:r>
                    <w:rPr>
                      <w:color w:val="auto"/>
                      <w:sz w:val="21"/>
                      <w:szCs w:val="21"/>
                    </w:rPr>
                    <w:t>固废</w:t>
                  </w:r>
                </w:p>
              </w:tc>
              <w:tc>
                <w:tcPr>
                  <w:tcW w:w="589" w:type="pct"/>
                  <w:tcBorders>
                    <w:tl2br w:val="nil"/>
                    <w:tr2bl w:val="nil"/>
                  </w:tcBorders>
                  <w:noWrap w:val="0"/>
                  <w:vAlign w:val="center"/>
                </w:tcPr>
                <w:p w14:paraId="73AFCA5C">
                  <w:pPr>
                    <w:pStyle w:val="143"/>
                    <w:adjustRightInd w:val="0"/>
                    <w:snapToGrid w:val="0"/>
                    <w:spacing w:line="240" w:lineRule="exact"/>
                    <w:ind w:left="105" w:leftChars="50"/>
                    <w:jc w:val="center"/>
                    <w:rPr>
                      <w:rFonts w:hint="default"/>
                      <w:color w:val="auto"/>
                      <w:sz w:val="21"/>
                      <w:szCs w:val="21"/>
                      <w:lang w:val="en-US" w:eastAsia="zh-CN"/>
                    </w:rPr>
                  </w:pPr>
                  <w:r>
                    <w:rPr>
                      <w:rFonts w:hint="eastAsia"/>
                      <w:color w:val="auto"/>
                      <w:sz w:val="21"/>
                      <w:szCs w:val="21"/>
                      <w:lang w:val="en-US" w:eastAsia="zh-CN"/>
                    </w:rPr>
                    <w:t>切割</w:t>
                  </w:r>
                </w:p>
              </w:tc>
              <w:tc>
                <w:tcPr>
                  <w:tcW w:w="508" w:type="pct"/>
                  <w:tcBorders>
                    <w:tl2br w:val="nil"/>
                    <w:tr2bl w:val="nil"/>
                  </w:tcBorders>
                  <w:noWrap w:val="0"/>
                  <w:vAlign w:val="center"/>
                </w:tcPr>
                <w:p w14:paraId="35E17BE3">
                  <w:pPr>
                    <w:jc w:val="center"/>
                    <w:rPr>
                      <w:rFonts w:hint="default"/>
                      <w:color w:val="auto"/>
                      <w:lang w:val="en-US" w:eastAsia="zh-CN"/>
                    </w:rPr>
                  </w:pPr>
                  <w:r>
                    <w:rPr>
                      <w:rFonts w:hint="eastAsia"/>
                      <w:color w:val="auto"/>
                      <w:lang w:val="en-US" w:eastAsia="zh-CN"/>
                    </w:rPr>
                    <w:t>废钢</w:t>
                  </w:r>
                </w:p>
              </w:tc>
              <w:tc>
                <w:tcPr>
                  <w:tcW w:w="517" w:type="pct"/>
                  <w:tcBorders>
                    <w:tl2br w:val="nil"/>
                    <w:tr2bl w:val="nil"/>
                  </w:tcBorders>
                  <w:noWrap w:val="0"/>
                  <w:vAlign w:val="center"/>
                </w:tcPr>
                <w:p w14:paraId="2BADCE08">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固态</w:t>
                  </w:r>
                </w:p>
              </w:tc>
              <w:tc>
                <w:tcPr>
                  <w:tcW w:w="345" w:type="pct"/>
                  <w:tcBorders>
                    <w:tl2br w:val="nil"/>
                    <w:tr2bl w:val="nil"/>
                  </w:tcBorders>
                  <w:noWrap w:val="0"/>
                  <w:vAlign w:val="center"/>
                </w:tcPr>
                <w:p w14:paraId="47DE9437">
                  <w:pPr>
                    <w:topLinePunct/>
                    <w:adjustRightInd w:val="0"/>
                    <w:snapToGrid w:val="0"/>
                    <w:ind w:left="-73" w:leftChars="-35" w:right="-73" w:rightChars="-35"/>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517" w:type="pct"/>
                  <w:tcBorders>
                    <w:tl2br w:val="nil"/>
                    <w:tr2bl w:val="nil"/>
                  </w:tcBorders>
                  <w:noWrap w:val="0"/>
                  <w:vAlign w:val="center"/>
                </w:tcPr>
                <w:p w14:paraId="45B5C01C">
                  <w:pPr>
                    <w:topLinePunct/>
                    <w:adjustRightInd w:val="0"/>
                    <w:snapToGrid w:val="0"/>
                    <w:ind w:left="-73" w:leftChars="-35" w:right="-73" w:rightChars="-35"/>
                    <w:jc w:val="center"/>
                    <w:rPr>
                      <w:rFonts w:hint="default"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SW01</w:t>
                  </w:r>
                </w:p>
              </w:tc>
              <w:tc>
                <w:tcPr>
                  <w:tcW w:w="689" w:type="pct"/>
                  <w:tcBorders>
                    <w:tl2br w:val="nil"/>
                    <w:tr2bl w:val="nil"/>
                  </w:tcBorders>
                  <w:noWrap w:val="0"/>
                  <w:vAlign w:val="center"/>
                </w:tcPr>
                <w:p w14:paraId="34EBD3B3">
                  <w:pPr>
                    <w:topLinePunct/>
                    <w:adjustRightInd w:val="0"/>
                    <w:snapToGrid w:val="0"/>
                    <w:ind w:left="-73" w:leftChars="-35" w:right="-73" w:rightChars="-35"/>
                    <w:jc w:val="center"/>
                    <w:rPr>
                      <w:rFonts w:hint="default"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313-001-S01</w:t>
                  </w:r>
                </w:p>
              </w:tc>
              <w:tc>
                <w:tcPr>
                  <w:tcW w:w="527" w:type="pct"/>
                  <w:tcBorders>
                    <w:tl2br w:val="nil"/>
                    <w:tr2bl w:val="nil"/>
                  </w:tcBorders>
                  <w:noWrap w:val="0"/>
                  <w:vAlign w:val="center"/>
                </w:tcPr>
                <w:p w14:paraId="664CD74C">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6075</w:t>
                  </w:r>
                </w:p>
              </w:tc>
            </w:tr>
            <w:tr w14:paraId="5CDFC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52772A8D">
                  <w:pPr>
                    <w:adjustRightInd w:val="0"/>
                    <w:snapToGrid w:val="0"/>
                    <w:jc w:val="center"/>
                    <w:rPr>
                      <w:rFonts w:hint="default"/>
                      <w:color w:val="auto"/>
                      <w:sz w:val="21"/>
                      <w:szCs w:val="21"/>
                      <w:lang w:val="en-US" w:eastAsia="zh-CN"/>
                    </w:rPr>
                  </w:pPr>
                  <w:r>
                    <w:rPr>
                      <w:rFonts w:hint="eastAsia"/>
                      <w:color w:val="auto"/>
                      <w:sz w:val="21"/>
                      <w:szCs w:val="21"/>
                      <w:lang w:val="en-US" w:eastAsia="zh-CN"/>
                    </w:rPr>
                    <w:t>2</w:t>
                  </w:r>
                </w:p>
              </w:tc>
              <w:tc>
                <w:tcPr>
                  <w:tcW w:w="785" w:type="pct"/>
                  <w:tcBorders>
                    <w:tl2br w:val="nil"/>
                    <w:tr2bl w:val="nil"/>
                  </w:tcBorders>
                  <w:noWrap w:val="0"/>
                  <w:vAlign w:val="center"/>
                </w:tcPr>
                <w:p w14:paraId="0BBC88EB">
                  <w:pPr>
                    <w:jc w:val="center"/>
                    <w:rPr>
                      <w:rFonts w:hint="default"/>
                      <w:color w:val="auto"/>
                      <w:lang w:val="en-US" w:eastAsia="zh-CN"/>
                    </w:rPr>
                  </w:pPr>
                  <w:r>
                    <w:rPr>
                      <w:rFonts w:hint="eastAsia"/>
                      <w:color w:val="auto"/>
                      <w:lang w:val="en-US" w:eastAsia="zh-CN"/>
                    </w:rPr>
                    <w:t>氧化皮</w:t>
                  </w:r>
                </w:p>
              </w:tc>
              <w:tc>
                <w:tcPr>
                  <w:tcW w:w="375" w:type="pct"/>
                  <w:vMerge w:val="continue"/>
                  <w:tcBorders>
                    <w:tl2br w:val="nil"/>
                    <w:tr2bl w:val="nil"/>
                  </w:tcBorders>
                  <w:noWrap w:val="0"/>
                  <w:vAlign w:val="center"/>
                </w:tcPr>
                <w:p w14:paraId="1FB3CEEE">
                  <w:pPr>
                    <w:adjustRightInd w:val="0"/>
                    <w:snapToGrid w:val="0"/>
                    <w:jc w:val="center"/>
                    <w:rPr>
                      <w:color w:val="auto"/>
                      <w:sz w:val="21"/>
                      <w:szCs w:val="21"/>
                    </w:rPr>
                  </w:pPr>
                </w:p>
              </w:tc>
              <w:tc>
                <w:tcPr>
                  <w:tcW w:w="589" w:type="pct"/>
                  <w:tcBorders>
                    <w:tl2br w:val="nil"/>
                    <w:tr2bl w:val="nil"/>
                  </w:tcBorders>
                  <w:noWrap w:val="0"/>
                  <w:vAlign w:val="center"/>
                </w:tcPr>
                <w:p w14:paraId="065473C6">
                  <w:pPr>
                    <w:pStyle w:val="143"/>
                    <w:adjustRightInd w:val="0"/>
                    <w:snapToGrid w:val="0"/>
                    <w:spacing w:line="240" w:lineRule="exact"/>
                    <w:ind w:left="105" w:leftChars="50"/>
                    <w:jc w:val="center"/>
                    <w:rPr>
                      <w:rFonts w:hint="default"/>
                      <w:color w:val="auto"/>
                      <w:sz w:val="21"/>
                      <w:szCs w:val="21"/>
                      <w:lang w:val="en-US" w:eastAsia="zh-CN"/>
                    </w:rPr>
                  </w:pPr>
                  <w:r>
                    <w:rPr>
                      <w:rFonts w:hint="eastAsia"/>
                      <w:color w:val="auto"/>
                      <w:sz w:val="21"/>
                      <w:szCs w:val="21"/>
                      <w:lang w:val="en-US" w:eastAsia="zh-CN"/>
                    </w:rPr>
                    <w:t>锻造</w:t>
                  </w:r>
                </w:p>
              </w:tc>
              <w:tc>
                <w:tcPr>
                  <w:tcW w:w="508" w:type="pct"/>
                  <w:tcBorders>
                    <w:tl2br w:val="nil"/>
                    <w:tr2bl w:val="nil"/>
                  </w:tcBorders>
                  <w:noWrap w:val="0"/>
                  <w:vAlign w:val="center"/>
                </w:tcPr>
                <w:p w14:paraId="4BD0D3F5">
                  <w:pPr>
                    <w:jc w:val="center"/>
                    <w:rPr>
                      <w:rFonts w:hint="default"/>
                      <w:color w:val="auto"/>
                      <w:lang w:val="en-US" w:eastAsia="zh-CN"/>
                    </w:rPr>
                  </w:pPr>
                  <w:r>
                    <w:rPr>
                      <w:rFonts w:hint="eastAsia"/>
                      <w:color w:val="auto"/>
                      <w:lang w:val="en-US" w:eastAsia="zh-CN"/>
                    </w:rPr>
                    <w:t>氧化铁皮</w:t>
                  </w:r>
                </w:p>
              </w:tc>
              <w:tc>
                <w:tcPr>
                  <w:tcW w:w="517" w:type="pct"/>
                  <w:tcBorders>
                    <w:tl2br w:val="nil"/>
                    <w:tr2bl w:val="nil"/>
                  </w:tcBorders>
                  <w:noWrap w:val="0"/>
                  <w:vAlign w:val="center"/>
                </w:tcPr>
                <w:p w14:paraId="7841B5C4">
                  <w:pPr>
                    <w:adjustRightInd w:val="0"/>
                    <w:snapToGrid w:val="0"/>
                    <w:jc w:val="center"/>
                    <w:rPr>
                      <w:rFonts w:hint="default"/>
                      <w:color w:val="auto"/>
                      <w:sz w:val="21"/>
                      <w:szCs w:val="21"/>
                      <w:lang w:val="en-US" w:eastAsia="zh-CN"/>
                    </w:rPr>
                  </w:pPr>
                  <w:r>
                    <w:rPr>
                      <w:rFonts w:hint="eastAsia"/>
                      <w:color w:val="auto"/>
                      <w:sz w:val="21"/>
                      <w:szCs w:val="21"/>
                      <w:lang w:val="en-US" w:eastAsia="zh-CN"/>
                    </w:rPr>
                    <w:t>固态</w:t>
                  </w:r>
                </w:p>
              </w:tc>
              <w:tc>
                <w:tcPr>
                  <w:tcW w:w="345" w:type="pct"/>
                  <w:tcBorders>
                    <w:tl2br w:val="nil"/>
                    <w:tr2bl w:val="nil"/>
                  </w:tcBorders>
                  <w:noWrap w:val="0"/>
                  <w:vAlign w:val="center"/>
                </w:tcPr>
                <w:p w14:paraId="43212D58">
                  <w:pPr>
                    <w:topLinePunct/>
                    <w:adjustRightInd w:val="0"/>
                    <w:snapToGrid w:val="0"/>
                    <w:ind w:left="-73" w:leftChars="-35" w:right="-73" w:rightChars="-35"/>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517" w:type="pct"/>
                  <w:tcBorders>
                    <w:tl2br w:val="nil"/>
                    <w:tr2bl w:val="nil"/>
                  </w:tcBorders>
                  <w:noWrap w:val="0"/>
                  <w:vAlign w:val="center"/>
                </w:tcPr>
                <w:p w14:paraId="519903AD">
                  <w:pPr>
                    <w:topLinePunct/>
                    <w:adjustRightInd w:val="0"/>
                    <w:snapToGrid w:val="0"/>
                    <w:ind w:left="-73" w:leftChars="-35" w:right="-73" w:rightChars="-35"/>
                    <w:jc w:val="center"/>
                    <w:rPr>
                      <w:rFonts w:hint="default" w:cs="Times New Roman"/>
                      <w:color w:val="auto"/>
                      <w:spacing w:val="4"/>
                      <w:kern w:val="18"/>
                      <w:sz w:val="21"/>
                      <w:szCs w:val="21"/>
                      <w:lang w:val="en-US" w:eastAsia="zh-CN"/>
                    </w:rPr>
                  </w:pPr>
                  <w:r>
                    <w:rPr>
                      <w:rFonts w:hint="eastAsia" w:cs="Times New Roman"/>
                      <w:color w:val="auto"/>
                      <w:spacing w:val="4"/>
                      <w:kern w:val="18"/>
                      <w:sz w:val="21"/>
                      <w:szCs w:val="21"/>
                      <w:lang w:val="en-US" w:eastAsia="zh-CN"/>
                    </w:rPr>
                    <w:t>SW01</w:t>
                  </w:r>
                </w:p>
              </w:tc>
              <w:tc>
                <w:tcPr>
                  <w:tcW w:w="689" w:type="pct"/>
                  <w:tcBorders>
                    <w:tl2br w:val="nil"/>
                    <w:tr2bl w:val="nil"/>
                  </w:tcBorders>
                  <w:noWrap w:val="0"/>
                  <w:vAlign w:val="center"/>
                </w:tcPr>
                <w:p w14:paraId="44027BC6">
                  <w:pPr>
                    <w:topLinePunct/>
                    <w:adjustRightInd w:val="0"/>
                    <w:snapToGrid w:val="0"/>
                    <w:ind w:left="-73" w:leftChars="-35" w:right="-73" w:rightChars="-35"/>
                    <w:jc w:val="center"/>
                    <w:rPr>
                      <w:rFonts w:hint="default" w:cs="Times New Roman"/>
                      <w:color w:val="auto"/>
                      <w:spacing w:val="4"/>
                      <w:kern w:val="18"/>
                      <w:sz w:val="21"/>
                      <w:szCs w:val="21"/>
                      <w:lang w:val="en-US" w:eastAsia="zh-CN"/>
                    </w:rPr>
                  </w:pPr>
                  <w:r>
                    <w:rPr>
                      <w:rFonts w:hint="eastAsia" w:cs="Times New Roman"/>
                      <w:color w:val="auto"/>
                      <w:spacing w:val="4"/>
                      <w:kern w:val="18"/>
                      <w:sz w:val="21"/>
                      <w:szCs w:val="21"/>
                      <w:lang w:val="en-US" w:eastAsia="zh-CN"/>
                    </w:rPr>
                    <w:t>313-001-S01</w:t>
                  </w:r>
                </w:p>
              </w:tc>
              <w:tc>
                <w:tcPr>
                  <w:tcW w:w="527" w:type="pct"/>
                  <w:tcBorders>
                    <w:tl2br w:val="nil"/>
                    <w:tr2bl w:val="nil"/>
                  </w:tcBorders>
                  <w:noWrap w:val="0"/>
                  <w:vAlign w:val="center"/>
                </w:tcPr>
                <w:p w14:paraId="3BD8E88F">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337.5</w:t>
                  </w:r>
                </w:p>
              </w:tc>
            </w:tr>
            <w:tr w14:paraId="622CDA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31387B3A">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785" w:type="pct"/>
                  <w:tcBorders>
                    <w:tl2br w:val="nil"/>
                    <w:tr2bl w:val="nil"/>
                  </w:tcBorders>
                  <w:noWrap w:val="0"/>
                  <w:vAlign w:val="center"/>
                </w:tcPr>
                <w:p w14:paraId="34D52EEB">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含油金属屑</w:t>
                  </w:r>
                </w:p>
              </w:tc>
              <w:tc>
                <w:tcPr>
                  <w:tcW w:w="375" w:type="pct"/>
                  <w:tcBorders>
                    <w:tl2br w:val="nil"/>
                    <w:tr2bl w:val="nil"/>
                  </w:tcBorders>
                  <w:noWrap w:val="0"/>
                  <w:vAlign w:val="center"/>
                </w:tcPr>
                <w:p w14:paraId="362D8FA5">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589" w:type="pct"/>
                  <w:tcBorders>
                    <w:tl2br w:val="nil"/>
                    <w:tr2bl w:val="nil"/>
                  </w:tcBorders>
                  <w:noWrap w:val="0"/>
                  <w:vAlign w:val="center"/>
                </w:tcPr>
                <w:p w14:paraId="5E16313F">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机加工</w:t>
                  </w:r>
                </w:p>
              </w:tc>
              <w:tc>
                <w:tcPr>
                  <w:tcW w:w="508" w:type="pct"/>
                  <w:tcBorders>
                    <w:tl2br w:val="nil"/>
                    <w:tr2bl w:val="nil"/>
                  </w:tcBorders>
                  <w:noWrap w:val="0"/>
                  <w:vAlign w:val="center"/>
                </w:tcPr>
                <w:p w14:paraId="071E5753">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废钢、油类</w:t>
                  </w:r>
                </w:p>
              </w:tc>
              <w:tc>
                <w:tcPr>
                  <w:tcW w:w="517" w:type="pct"/>
                  <w:tcBorders>
                    <w:tl2br w:val="nil"/>
                    <w:tr2bl w:val="nil"/>
                  </w:tcBorders>
                  <w:noWrap w:val="0"/>
                  <w:vAlign w:val="center"/>
                </w:tcPr>
                <w:p w14:paraId="3FF0D708">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固态</w:t>
                  </w:r>
                </w:p>
              </w:tc>
              <w:tc>
                <w:tcPr>
                  <w:tcW w:w="345" w:type="pct"/>
                  <w:tcBorders>
                    <w:tl2br w:val="nil"/>
                    <w:tr2bl w:val="nil"/>
                  </w:tcBorders>
                  <w:noWrap w:val="0"/>
                  <w:vAlign w:val="center"/>
                </w:tcPr>
                <w:p w14:paraId="671BAD59">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w:t>
                  </w:r>
                </w:p>
              </w:tc>
              <w:tc>
                <w:tcPr>
                  <w:tcW w:w="517" w:type="pct"/>
                  <w:tcBorders>
                    <w:tl2br w:val="nil"/>
                    <w:tr2bl w:val="nil"/>
                  </w:tcBorders>
                  <w:noWrap w:val="0"/>
                  <w:vAlign w:val="center"/>
                </w:tcPr>
                <w:p w14:paraId="2884EBBB">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HW09</w:t>
                  </w:r>
                </w:p>
              </w:tc>
              <w:tc>
                <w:tcPr>
                  <w:tcW w:w="689" w:type="pct"/>
                  <w:tcBorders>
                    <w:tl2br w:val="nil"/>
                    <w:tr2bl w:val="nil"/>
                  </w:tcBorders>
                  <w:noWrap w:val="0"/>
                  <w:vAlign w:val="center"/>
                </w:tcPr>
                <w:p w14:paraId="7070D8A3">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900-006-09</w:t>
                  </w:r>
                </w:p>
              </w:tc>
              <w:tc>
                <w:tcPr>
                  <w:tcW w:w="527" w:type="pct"/>
                  <w:tcBorders>
                    <w:tl2br w:val="nil"/>
                    <w:tr2bl w:val="nil"/>
                  </w:tcBorders>
                  <w:noWrap w:val="0"/>
                  <w:vAlign w:val="center"/>
                </w:tcPr>
                <w:p w14:paraId="00DE1075">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337.5</w:t>
                  </w:r>
                </w:p>
              </w:tc>
            </w:tr>
            <w:tr w14:paraId="1E22D6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0135D5DC">
                  <w:pPr>
                    <w:adjustRightInd w:val="0"/>
                    <w:snapToGrid w:val="0"/>
                    <w:jc w:val="center"/>
                    <w:rPr>
                      <w:rFonts w:hint="default"/>
                      <w:color w:val="auto"/>
                      <w:sz w:val="21"/>
                      <w:szCs w:val="21"/>
                      <w:lang w:val="en-US" w:eastAsia="zh-CN"/>
                    </w:rPr>
                  </w:pPr>
                  <w:r>
                    <w:rPr>
                      <w:rFonts w:hint="eastAsia"/>
                      <w:color w:val="auto"/>
                      <w:sz w:val="21"/>
                      <w:szCs w:val="21"/>
                      <w:lang w:val="en-US" w:eastAsia="zh-CN"/>
                    </w:rPr>
                    <w:t>4</w:t>
                  </w:r>
                </w:p>
              </w:tc>
              <w:tc>
                <w:tcPr>
                  <w:tcW w:w="785" w:type="pct"/>
                  <w:tcBorders>
                    <w:tl2br w:val="nil"/>
                    <w:tr2bl w:val="nil"/>
                  </w:tcBorders>
                  <w:noWrap w:val="0"/>
                  <w:vAlign w:val="center"/>
                </w:tcPr>
                <w:p w14:paraId="30CCEAA8">
                  <w:pPr>
                    <w:widowControl/>
                    <w:jc w:val="center"/>
                    <w:textAlignment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废切削液</w:t>
                  </w:r>
                </w:p>
              </w:tc>
              <w:tc>
                <w:tcPr>
                  <w:tcW w:w="375" w:type="pct"/>
                  <w:tcBorders>
                    <w:tl2br w:val="nil"/>
                    <w:tr2bl w:val="nil"/>
                  </w:tcBorders>
                  <w:noWrap w:val="0"/>
                  <w:vAlign w:val="center"/>
                </w:tcPr>
                <w:p w14:paraId="3E8374F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危险废物</w:t>
                  </w:r>
                </w:p>
              </w:tc>
              <w:tc>
                <w:tcPr>
                  <w:tcW w:w="589" w:type="pct"/>
                  <w:tcBorders>
                    <w:tl2br w:val="nil"/>
                    <w:tr2bl w:val="nil"/>
                  </w:tcBorders>
                  <w:noWrap w:val="0"/>
                  <w:vAlign w:val="center"/>
                </w:tcPr>
                <w:p w14:paraId="1AF463AB">
                  <w:pPr>
                    <w:widowControl/>
                    <w:jc w:val="center"/>
                    <w:textAlignment w:val="center"/>
                    <w:rPr>
                      <w:rFonts w:hint="default"/>
                      <w:color w:val="auto"/>
                      <w:kern w:val="0"/>
                      <w:sz w:val="21"/>
                      <w:szCs w:val="21"/>
                      <w:lang w:val="en-US" w:eastAsia="zh-CN"/>
                    </w:rPr>
                  </w:pPr>
                  <w:r>
                    <w:rPr>
                      <w:rFonts w:hint="eastAsia"/>
                      <w:color w:val="auto"/>
                      <w:kern w:val="0"/>
                      <w:sz w:val="21"/>
                      <w:szCs w:val="21"/>
                      <w:lang w:val="en-US" w:eastAsia="zh-CN"/>
                    </w:rPr>
                    <w:t>自动带锯、机加工设备</w:t>
                  </w:r>
                </w:p>
              </w:tc>
              <w:tc>
                <w:tcPr>
                  <w:tcW w:w="508" w:type="pct"/>
                  <w:tcBorders>
                    <w:tl2br w:val="nil"/>
                    <w:tr2bl w:val="nil"/>
                  </w:tcBorders>
                  <w:noWrap w:val="0"/>
                  <w:vAlign w:val="center"/>
                </w:tcPr>
                <w:p w14:paraId="30463C86">
                  <w:pPr>
                    <w:widowControl/>
                    <w:jc w:val="center"/>
                    <w:textAlignment w:val="center"/>
                    <w:rPr>
                      <w:rFonts w:hint="default"/>
                      <w:color w:val="auto"/>
                      <w:sz w:val="21"/>
                      <w:szCs w:val="21"/>
                      <w:lang w:val="en-US" w:eastAsia="zh-CN"/>
                    </w:rPr>
                  </w:pPr>
                  <w:r>
                    <w:rPr>
                      <w:rFonts w:hint="eastAsia"/>
                      <w:color w:val="auto"/>
                      <w:sz w:val="21"/>
                      <w:szCs w:val="21"/>
                      <w:lang w:val="en-US" w:eastAsia="zh-CN"/>
                    </w:rPr>
                    <w:t>废油</w:t>
                  </w:r>
                </w:p>
              </w:tc>
              <w:tc>
                <w:tcPr>
                  <w:tcW w:w="517" w:type="pct"/>
                  <w:tcBorders>
                    <w:tl2br w:val="nil"/>
                    <w:tr2bl w:val="nil"/>
                  </w:tcBorders>
                  <w:noWrap w:val="0"/>
                  <w:vAlign w:val="center"/>
                </w:tcPr>
                <w:p w14:paraId="75730AE8">
                  <w:pPr>
                    <w:adjustRightInd w:val="0"/>
                    <w:snapToGrid w:val="0"/>
                    <w:jc w:val="center"/>
                    <w:rPr>
                      <w:rFonts w:hint="default"/>
                      <w:color w:val="auto"/>
                      <w:sz w:val="21"/>
                      <w:szCs w:val="21"/>
                      <w:lang w:val="en-US" w:eastAsia="zh-CN"/>
                    </w:rPr>
                  </w:pPr>
                  <w:r>
                    <w:rPr>
                      <w:rFonts w:hint="eastAsia"/>
                      <w:color w:val="auto"/>
                      <w:sz w:val="21"/>
                      <w:szCs w:val="21"/>
                      <w:lang w:val="en-US" w:eastAsia="zh-CN"/>
                    </w:rPr>
                    <w:t>液态</w:t>
                  </w:r>
                </w:p>
              </w:tc>
              <w:tc>
                <w:tcPr>
                  <w:tcW w:w="345" w:type="pct"/>
                  <w:tcBorders>
                    <w:tl2br w:val="nil"/>
                    <w:tr2bl w:val="nil"/>
                  </w:tcBorders>
                  <w:noWrap w:val="0"/>
                  <w:vAlign w:val="center"/>
                </w:tcPr>
                <w:p w14:paraId="4100E9EC">
                  <w:pPr>
                    <w:topLinePunct/>
                    <w:adjustRightInd w:val="0"/>
                    <w:snapToGrid w:val="0"/>
                    <w:ind w:left="-73" w:leftChars="-35" w:right="-73" w:rightChars="-35"/>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T，I</w:t>
                  </w:r>
                </w:p>
              </w:tc>
              <w:tc>
                <w:tcPr>
                  <w:tcW w:w="517" w:type="pct"/>
                  <w:tcBorders>
                    <w:tl2br w:val="nil"/>
                    <w:tr2bl w:val="nil"/>
                  </w:tcBorders>
                  <w:noWrap w:val="0"/>
                  <w:vAlign w:val="center"/>
                </w:tcPr>
                <w:p w14:paraId="0430D408">
                  <w:pPr>
                    <w:topLinePunct/>
                    <w:adjustRightInd w:val="0"/>
                    <w:snapToGrid w:val="0"/>
                    <w:ind w:left="-73" w:leftChars="-35" w:right="-73" w:rightChars="-35"/>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HW09</w:t>
                  </w:r>
                </w:p>
              </w:tc>
              <w:tc>
                <w:tcPr>
                  <w:tcW w:w="689" w:type="pct"/>
                  <w:tcBorders>
                    <w:tl2br w:val="nil"/>
                    <w:tr2bl w:val="nil"/>
                  </w:tcBorders>
                  <w:noWrap w:val="0"/>
                  <w:vAlign w:val="center"/>
                </w:tcPr>
                <w:p w14:paraId="3602450F">
                  <w:pPr>
                    <w:adjustRightInd w:val="0"/>
                    <w:snapToGrid w:val="0"/>
                    <w:jc w:val="center"/>
                    <w:rPr>
                      <w:rFonts w:hint="default"/>
                      <w:color w:val="auto"/>
                      <w:sz w:val="21"/>
                      <w:szCs w:val="21"/>
                      <w:lang w:val="en-US" w:eastAsia="zh-CN"/>
                    </w:rPr>
                  </w:pPr>
                  <w:r>
                    <w:rPr>
                      <w:rFonts w:hint="eastAsia"/>
                      <w:color w:val="auto"/>
                      <w:sz w:val="21"/>
                      <w:szCs w:val="21"/>
                      <w:lang w:val="en-US" w:eastAsia="zh-CN"/>
                    </w:rPr>
                    <w:t>900-006-09</w:t>
                  </w:r>
                </w:p>
              </w:tc>
              <w:tc>
                <w:tcPr>
                  <w:tcW w:w="527" w:type="pct"/>
                  <w:tcBorders>
                    <w:tl2br w:val="nil"/>
                    <w:tr2bl w:val="nil"/>
                  </w:tcBorders>
                  <w:noWrap w:val="0"/>
                  <w:vAlign w:val="center"/>
                </w:tcPr>
                <w:p w14:paraId="31C773C0">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0.25</w:t>
                  </w:r>
                </w:p>
              </w:tc>
            </w:tr>
            <w:tr w14:paraId="4AF99F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1FBA6159">
                  <w:pPr>
                    <w:adjustRightInd w:val="0"/>
                    <w:snapToGrid w:val="0"/>
                    <w:jc w:val="center"/>
                    <w:rPr>
                      <w:rFonts w:hint="default"/>
                      <w:color w:val="auto"/>
                      <w:sz w:val="21"/>
                      <w:szCs w:val="21"/>
                      <w:lang w:val="en-US" w:eastAsia="zh-CN"/>
                    </w:rPr>
                  </w:pPr>
                  <w:r>
                    <w:rPr>
                      <w:rFonts w:hint="eastAsia"/>
                      <w:color w:val="auto"/>
                      <w:sz w:val="21"/>
                      <w:szCs w:val="21"/>
                      <w:lang w:val="en-US" w:eastAsia="zh-CN"/>
                    </w:rPr>
                    <w:t>5</w:t>
                  </w:r>
                </w:p>
              </w:tc>
              <w:tc>
                <w:tcPr>
                  <w:tcW w:w="785" w:type="pct"/>
                  <w:tcBorders>
                    <w:tl2br w:val="nil"/>
                    <w:tr2bl w:val="nil"/>
                  </w:tcBorders>
                  <w:noWrap w:val="0"/>
                  <w:vAlign w:val="center"/>
                </w:tcPr>
                <w:p w14:paraId="343E3B4C">
                  <w:pPr>
                    <w:widowControl/>
                    <w:jc w:val="center"/>
                    <w:textAlignment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废液压油</w:t>
                  </w:r>
                </w:p>
              </w:tc>
              <w:tc>
                <w:tcPr>
                  <w:tcW w:w="375" w:type="pct"/>
                  <w:tcBorders>
                    <w:tl2br w:val="nil"/>
                    <w:tr2bl w:val="nil"/>
                  </w:tcBorders>
                  <w:noWrap w:val="0"/>
                  <w:vAlign w:val="center"/>
                </w:tcPr>
                <w:p w14:paraId="39951C78">
                  <w:pPr>
                    <w:adjustRightInd w:val="0"/>
                    <w:snapToGrid w:val="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危险废物</w:t>
                  </w:r>
                </w:p>
              </w:tc>
              <w:tc>
                <w:tcPr>
                  <w:tcW w:w="589" w:type="pct"/>
                  <w:tcBorders>
                    <w:tl2br w:val="nil"/>
                    <w:tr2bl w:val="nil"/>
                  </w:tcBorders>
                  <w:noWrap w:val="0"/>
                  <w:vAlign w:val="center"/>
                </w:tcPr>
                <w:p w14:paraId="636A7BB6">
                  <w:pPr>
                    <w:widowControl/>
                    <w:jc w:val="center"/>
                    <w:textAlignment w:val="center"/>
                    <w:rPr>
                      <w:rFonts w:hint="default"/>
                      <w:color w:val="auto"/>
                      <w:kern w:val="0"/>
                      <w:sz w:val="21"/>
                      <w:szCs w:val="21"/>
                      <w:lang w:val="en-US" w:eastAsia="zh-CN"/>
                    </w:rPr>
                  </w:pPr>
                  <w:r>
                    <w:rPr>
                      <w:rFonts w:hint="eastAsia"/>
                      <w:color w:val="auto"/>
                      <w:kern w:val="0"/>
                      <w:sz w:val="21"/>
                      <w:szCs w:val="21"/>
                      <w:lang w:val="en-US" w:eastAsia="zh-CN"/>
                    </w:rPr>
                    <w:t>设备运行介质</w:t>
                  </w:r>
                </w:p>
              </w:tc>
              <w:tc>
                <w:tcPr>
                  <w:tcW w:w="508" w:type="pct"/>
                  <w:tcBorders>
                    <w:tl2br w:val="nil"/>
                    <w:tr2bl w:val="nil"/>
                  </w:tcBorders>
                  <w:noWrap w:val="0"/>
                  <w:vAlign w:val="center"/>
                </w:tcPr>
                <w:p w14:paraId="0504F195">
                  <w:pPr>
                    <w:widowControl/>
                    <w:jc w:val="center"/>
                    <w:textAlignment w:val="center"/>
                    <w:rPr>
                      <w:rFonts w:hint="default"/>
                      <w:color w:val="auto"/>
                      <w:sz w:val="21"/>
                      <w:szCs w:val="21"/>
                      <w:lang w:val="en-US" w:eastAsia="zh-CN"/>
                    </w:rPr>
                  </w:pPr>
                  <w:r>
                    <w:rPr>
                      <w:rFonts w:hint="eastAsia"/>
                      <w:color w:val="auto"/>
                      <w:sz w:val="21"/>
                      <w:szCs w:val="21"/>
                      <w:lang w:val="en-US" w:eastAsia="zh-CN"/>
                    </w:rPr>
                    <w:t>废油</w:t>
                  </w:r>
                </w:p>
              </w:tc>
              <w:tc>
                <w:tcPr>
                  <w:tcW w:w="517" w:type="pct"/>
                  <w:tcBorders>
                    <w:tl2br w:val="nil"/>
                    <w:tr2bl w:val="nil"/>
                  </w:tcBorders>
                  <w:noWrap w:val="0"/>
                  <w:vAlign w:val="center"/>
                </w:tcPr>
                <w:p w14:paraId="79D48A06">
                  <w:pPr>
                    <w:adjustRightInd w:val="0"/>
                    <w:snapToGrid w:val="0"/>
                    <w:jc w:val="center"/>
                    <w:rPr>
                      <w:rFonts w:hint="default"/>
                      <w:color w:val="auto"/>
                      <w:sz w:val="21"/>
                      <w:szCs w:val="21"/>
                      <w:lang w:val="en-US" w:eastAsia="zh-CN"/>
                    </w:rPr>
                  </w:pPr>
                  <w:r>
                    <w:rPr>
                      <w:rFonts w:hint="eastAsia"/>
                      <w:color w:val="auto"/>
                      <w:sz w:val="21"/>
                      <w:szCs w:val="21"/>
                      <w:lang w:val="en-US" w:eastAsia="zh-CN"/>
                    </w:rPr>
                    <w:t>液态</w:t>
                  </w:r>
                </w:p>
              </w:tc>
              <w:tc>
                <w:tcPr>
                  <w:tcW w:w="345" w:type="pct"/>
                  <w:tcBorders>
                    <w:tl2br w:val="nil"/>
                    <w:tr2bl w:val="nil"/>
                  </w:tcBorders>
                  <w:noWrap w:val="0"/>
                  <w:vAlign w:val="center"/>
                </w:tcPr>
                <w:p w14:paraId="784455C4">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517" w:type="pct"/>
                  <w:tcBorders>
                    <w:tl2br w:val="nil"/>
                    <w:tr2bl w:val="nil"/>
                  </w:tcBorders>
                  <w:noWrap w:val="0"/>
                  <w:vAlign w:val="center"/>
                </w:tcPr>
                <w:p w14:paraId="39A9F159">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689" w:type="pct"/>
                  <w:tcBorders>
                    <w:tl2br w:val="nil"/>
                    <w:tr2bl w:val="nil"/>
                  </w:tcBorders>
                  <w:noWrap w:val="0"/>
                  <w:vAlign w:val="center"/>
                </w:tcPr>
                <w:p w14:paraId="0A2C1255">
                  <w:pPr>
                    <w:adjustRightInd w:val="0"/>
                    <w:snapToGrid w:val="0"/>
                    <w:jc w:val="center"/>
                    <w:rPr>
                      <w:rFonts w:hint="eastAsia"/>
                      <w:color w:val="auto"/>
                      <w:sz w:val="21"/>
                      <w:szCs w:val="21"/>
                      <w:lang w:val="en-US" w:eastAsia="zh-CN"/>
                    </w:rPr>
                  </w:pPr>
                  <w:r>
                    <w:rPr>
                      <w:rFonts w:hint="eastAsia"/>
                      <w:color w:val="auto"/>
                      <w:sz w:val="21"/>
                      <w:szCs w:val="21"/>
                      <w:lang w:val="en-US" w:eastAsia="zh-CN"/>
                    </w:rPr>
                    <w:t>900-218-08</w:t>
                  </w:r>
                </w:p>
              </w:tc>
              <w:tc>
                <w:tcPr>
                  <w:tcW w:w="527" w:type="pct"/>
                  <w:tcBorders>
                    <w:tl2br w:val="nil"/>
                    <w:tr2bl w:val="nil"/>
                  </w:tcBorders>
                  <w:noWrap w:val="0"/>
                  <w:vAlign w:val="center"/>
                </w:tcPr>
                <w:p w14:paraId="0C213A45">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5</w:t>
                  </w:r>
                </w:p>
              </w:tc>
            </w:tr>
            <w:tr w14:paraId="30079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068ADD7B">
                  <w:pPr>
                    <w:adjustRightInd w:val="0"/>
                    <w:snapToGrid w:val="0"/>
                    <w:jc w:val="center"/>
                    <w:rPr>
                      <w:rFonts w:hint="default"/>
                      <w:color w:val="auto"/>
                      <w:sz w:val="21"/>
                      <w:szCs w:val="21"/>
                      <w:lang w:val="en-US" w:eastAsia="zh-CN"/>
                    </w:rPr>
                  </w:pPr>
                  <w:r>
                    <w:rPr>
                      <w:rFonts w:hint="eastAsia"/>
                      <w:color w:val="auto"/>
                      <w:sz w:val="21"/>
                      <w:szCs w:val="21"/>
                      <w:lang w:val="en-US" w:eastAsia="zh-CN"/>
                    </w:rPr>
                    <w:t>6</w:t>
                  </w:r>
                </w:p>
              </w:tc>
              <w:tc>
                <w:tcPr>
                  <w:tcW w:w="785" w:type="pct"/>
                  <w:tcBorders>
                    <w:tl2br w:val="nil"/>
                    <w:tr2bl w:val="nil"/>
                  </w:tcBorders>
                  <w:noWrap w:val="0"/>
                  <w:vAlign w:val="center"/>
                </w:tcPr>
                <w:p w14:paraId="4C50B73E">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废润滑油</w:t>
                  </w:r>
                </w:p>
              </w:tc>
              <w:tc>
                <w:tcPr>
                  <w:tcW w:w="375" w:type="pct"/>
                  <w:tcBorders>
                    <w:tl2br w:val="nil"/>
                    <w:tr2bl w:val="nil"/>
                  </w:tcBorders>
                  <w:noWrap w:val="0"/>
                  <w:vAlign w:val="center"/>
                </w:tcPr>
                <w:p w14:paraId="2DB6D531">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危险废物</w:t>
                  </w:r>
                </w:p>
              </w:tc>
              <w:tc>
                <w:tcPr>
                  <w:tcW w:w="589" w:type="pct"/>
                  <w:tcBorders>
                    <w:tl2br w:val="nil"/>
                    <w:tr2bl w:val="nil"/>
                  </w:tcBorders>
                  <w:noWrap w:val="0"/>
                  <w:vAlign w:val="center"/>
                </w:tcPr>
                <w:p w14:paraId="2306D67E">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维护保养</w:t>
                  </w:r>
                </w:p>
              </w:tc>
              <w:tc>
                <w:tcPr>
                  <w:tcW w:w="508" w:type="pct"/>
                  <w:tcBorders>
                    <w:tl2br w:val="nil"/>
                    <w:tr2bl w:val="nil"/>
                  </w:tcBorders>
                  <w:noWrap w:val="0"/>
                  <w:vAlign w:val="center"/>
                </w:tcPr>
                <w:p w14:paraId="23D77D17">
                  <w:pPr>
                    <w:widowControl/>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废油</w:t>
                  </w:r>
                </w:p>
              </w:tc>
              <w:tc>
                <w:tcPr>
                  <w:tcW w:w="517" w:type="pct"/>
                  <w:tcBorders>
                    <w:tl2br w:val="nil"/>
                    <w:tr2bl w:val="nil"/>
                  </w:tcBorders>
                  <w:noWrap w:val="0"/>
                  <w:vAlign w:val="center"/>
                </w:tcPr>
                <w:p w14:paraId="5869892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液态</w:t>
                  </w:r>
                </w:p>
              </w:tc>
              <w:tc>
                <w:tcPr>
                  <w:tcW w:w="345" w:type="pct"/>
                  <w:tcBorders>
                    <w:tl2br w:val="nil"/>
                    <w:tr2bl w:val="nil"/>
                  </w:tcBorders>
                  <w:noWrap w:val="0"/>
                  <w:vAlign w:val="center"/>
                </w:tcPr>
                <w:p w14:paraId="19DDCBA1">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517" w:type="pct"/>
                  <w:tcBorders>
                    <w:tl2br w:val="nil"/>
                    <w:tr2bl w:val="nil"/>
                  </w:tcBorders>
                  <w:noWrap w:val="0"/>
                  <w:vAlign w:val="center"/>
                </w:tcPr>
                <w:p w14:paraId="719F1209">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689" w:type="pct"/>
                  <w:tcBorders>
                    <w:tl2br w:val="nil"/>
                    <w:tr2bl w:val="nil"/>
                  </w:tcBorders>
                  <w:noWrap w:val="0"/>
                  <w:vAlign w:val="center"/>
                </w:tcPr>
                <w:p w14:paraId="3ABDB34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900-217-08</w:t>
                  </w:r>
                </w:p>
              </w:tc>
              <w:tc>
                <w:tcPr>
                  <w:tcW w:w="527" w:type="pct"/>
                  <w:tcBorders>
                    <w:tl2br w:val="nil"/>
                    <w:tr2bl w:val="nil"/>
                  </w:tcBorders>
                  <w:noWrap w:val="0"/>
                  <w:vAlign w:val="center"/>
                </w:tcPr>
                <w:p w14:paraId="195A247C">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0.7</w:t>
                  </w:r>
                </w:p>
              </w:tc>
            </w:tr>
            <w:tr w14:paraId="5C6839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0F98E875">
                  <w:pPr>
                    <w:adjustRightInd w:val="0"/>
                    <w:snapToGrid w:val="0"/>
                    <w:jc w:val="center"/>
                    <w:rPr>
                      <w:rFonts w:hint="default"/>
                      <w:color w:val="auto"/>
                      <w:sz w:val="21"/>
                      <w:szCs w:val="21"/>
                      <w:lang w:val="en-US" w:eastAsia="zh-CN"/>
                    </w:rPr>
                  </w:pPr>
                  <w:r>
                    <w:rPr>
                      <w:rFonts w:hint="eastAsia"/>
                      <w:color w:val="auto"/>
                      <w:sz w:val="21"/>
                      <w:szCs w:val="21"/>
                      <w:lang w:val="en-US" w:eastAsia="zh-CN"/>
                    </w:rPr>
                    <w:t>7</w:t>
                  </w:r>
                </w:p>
              </w:tc>
              <w:tc>
                <w:tcPr>
                  <w:tcW w:w="785" w:type="pct"/>
                  <w:tcBorders>
                    <w:tl2br w:val="nil"/>
                    <w:tr2bl w:val="nil"/>
                  </w:tcBorders>
                  <w:noWrap w:val="0"/>
                  <w:vAlign w:val="center"/>
                </w:tcPr>
                <w:p w14:paraId="7030206B">
                  <w:pPr>
                    <w:widowControl/>
                    <w:jc w:val="center"/>
                    <w:textAlignment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废包装桶</w:t>
                  </w:r>
                </w:p>
              </w:tc>
              <w:tc>
                <w:tcPr>
                  <w:tcW w:w="375" w:type="pct"/>
                  <w:tcBorders>
                    <w:tl2br w:val="nil"/>
                    <w:tr2bl w:val="nil"/>
                  </w:tcBorders>
                  <w:noWrap w:val="0"/>
                  <w:vAlign w:val="center"/>
                </w:tcPr>
                <w:p w14:paraId="582C06C2">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危险废物</w:t>
                  </w:r>
                </w:p>
              </w:tc>
              <w:tc>
                <w:tcPr>
                  <w:tcW w:w="589" w:type="pct"/>
                  <w:tcBorders>
                    <w:tl2br w:val="nil"/>
                    <w:tr2bl w:val="nil"/>
                  </w:tcBorders>
                  <w:noWrap w:val="0"/>
                  <w:vAlign w:val="center"/>
                </w:tcPr>
                <w:p w14:paraId="1E9DC67D">
                  <w:pPr>
                    <w:widowControl/>
                    <w:jc w:val="center"/>
                    <w:textAlignment w:val="center"/>
                    <w:rPr>
                      <w:rFonts w:hint="default"/>
                      <w:color w:val="auto"/>
                      <w:kern w:val="0"/>
                      <w:sz w:val="21"/>
                      <w:szCs w:val="21"/>
                      <w:lang w:val="en-US" w:eastAsia="zh-CN"/>
                    </w:rPr>
                  </w:pPr>
                  <w:r>
                    <w:rPr>
                      <w:rFonts w:hint="eastAsia"/>
                      <w:color w:val="auto"/>
                      <w:kern w:val="0"/>
                      <w:sz w:val="21"/>
                      <w:szCs w:val="21"/>
                      <w:lang w:val="en-US" w:eastAsia="zh-CN"/>
                    </w:rPr>
                    <w:t>原材料</w:t>
                  </w:r>
                </w:p>
              </w:tc>
              <w:tc>
                <w:tcPr>
                  <w:tcW w:w="508" w:type="pct"/>
                  <w:tcBorders>
                    <w:tl2br w:val="nil"/>
                    <w:tr2bl w:val="nil"/>
                  </w:tcBorders>
                  <w:noWrap w:val="0"/>
                  <w:vAlign w:val="center"/>
                </w:tcPr>
                <w:p w14:paraId="068329EA">
                  <w:pPr>
                    <w:widowControl/>
                    <w:jc w:val="center"/>
                    <w:textAlignment w:val="center"/>
                    <w:rPr>
                      <w:rFonts w:hint="default"/>
                      <w:color w:val="auto"/>
                      <w:sz w:val="21"/>
                      <w:szCs w:val="21"/>
                      <w:lang w:val="en-US" w:eastAsia="zh-CN"/>
                    </w:rPr>
                  </w:pPr>
                  <w:r>
                    <w:rPr>
                      <w:rFonts w:hint="eastAsia"/>
                      <w:color w:val="auto"/>
                      <w:sz w:val="21"/>
                      <w:szCs w:val="21"/>
                      <w:lang w:val="en-US" w:eastAsia="zh-CN"/>
                    </w:rPr>
                    <w:t>废油、包装物</w:t>
                  </w:r>
                </w:p>
              </w:tc>
              <w:tc>
                <w:tcPr>
                  <w:tcW w:w="517" w:type="pct"/>
                  <w:tcBorders>
                    <w:tl2br w:val="nil"/>
                    <w:tr2bl w:val="nil"/>
                  </w:tcBorders>
                  <w:noWrap w:val="0"/>
                  <w:vAlign w:val="center"/>
                </w:tcPr>
                <w:p w14:paraId="6D574BFE">
                  <w:pPr>
                    <w:adjustRightInd w:val="0"/>
                    <w:snapToGrid w:val="0"/>
                    <w:jc w:val="center"/>
                    <w:rPr>
                      <w:rFonts w:hint="default"/>
                      <w:color w:val="auto"/>
                      <w:sz w:val="21"/>
                      <w:szCs w:val="21"/>
                      <w:lang w:val="en-US" w:eastAsia="zh-CN"/>
                    </w:rPr>
                  </w:pPr>
                  <w:r>
                    <w:rPr>
                      <w:rFonts w:hint="eastAsia"/>
                      <w:color w:val="auto"/>
                      <w:sz w:val="21"/>
                      <w:szCs w:val="21"/>
                      <w:lang w:val="en-US" w:eastAsia="zh-CN"/>
                    </w:rPr>
                    <w:t>固态</w:t>
                  </w:r>
                </w:p>
              </w:tc>
              <w:tc>
                <w:tcPr>
                  <w:tcW w:w="345" w:type="pct"/>
                  <w:tcBorders>
                    <w:tl2br w:val="nil"/>
                    <w:tr2bl w:val="nil"/>
                  </w:tcBorders>
                  <w:noWrap w:val="0"/>
                  <w:vAlign w:val="center"/>
                </w:tcPr>
                <w:p w14:paraId="18D0D9DF">
                  <w:pPr>
                    <w:topLinePunct/>
                    <w:adjustRightInd w:val="0"/>
                    <w:snapToGrid w:val="0"/>
                    <w:ind w:left="-73" w:leftChars="-35" w:right="-73" w:rightChars="-35"/>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T，I</w:t>
                  </w:r>
                </w:p>
              </w:tc>
              <w:tc>
                <w:tcPr>
                  <w:tcW w:w="517" w:type="pct"/>
                  <w:tcBorders>
                    <w:tl2br w:val="nil"/>
                    <w:tr2bl w:val="nil"/>
                  </w:tcBorders>
                  <w:noWrap w:val="0"/>
                  <w:vAlign w:val="center"/>
                </w:tcPr>
                <w:p w14:paraId="57015840">
                  <w:pPr>
                    <w:topLinePunct/>
                    <w:adjustRightInd w:val="0"/>
                    <w:snapToGrid w:val="0"/>
                    <w:ind w:left="-73" w:leftChars="-35" w:right="-73" w:rightChars="-35"/>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HW08</w:t>
                  </w:r>
                </w:p>
              </w:tc>
              <w:tc>
                <w:tcPr>
                  <w:tcW w:w="689" w:type="pct"/>
                  <w:tcBorders>
                    <w:tl2br w:val="nil"/>
                    <w:tr2bl w:val="nil"/>
                  </w:tcBorders>
                  <w:noWrap w:val="0"/>
                  <w:vAlign w:val="center"/>
                </w:tcPr>
                <w:p w14:paraId="37E44B02">
                  <w:pPr>
                    <w:adjustRightInd w:val="0"/>
                    <w:snapToGrid w:val="0"/>
                    <w:jc w:val="center"/>
                    <w:rPr>
                      <w:rFonts w:hint="default"/>
                      <w:color w:val="auto"/>
                      <w:sz w:val="21"/>
                      <w:szCs w:val="21"/>
                      <w:lang w:val="en-US" w:eastAsia="zh-CN"/>
                    </w:rPr>
                  </w:pPr>
                  <w:r>
                    <w:rPr>
                      <w:rFonts w:hint="eastAsia"/>
                      <w:color w:val="auto"/>
                      <w:sz w:val="21"/>
                      <w:szCs w:val="21"/>
                      <w:lang w:val="en-US" w:eastAsia="zh-CN"/>
                    </w:rPr>
                    <w:t>900-249-08</w:t>
                  </w:r>
                </w:p>
              </w:tc>
              <w:tc>
                <w:tcPr>
                  <w:tcW w:w="527" w:type="pct"/>
                  <w:tcBorders>
                    <w:tl2br w:val="nil"/>
                    <w:tr2bl w:val="nil"/>
                  </w:tcBorders>
                  <w:noWrap w:val="0"/>
                  <w:vAlign w:val="center"/>
                </w:tcPr>
                <w:p w14:paraId="7C579C6E">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0.5</w:t>
                  </w:r>
                </w:p>
              </w:tc>
            </w:tr>
            <w:tr w14:paraId="655F43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 w:type="pct"/>
                  <w:tcBorders>
                    <w:tl2br w:val="nil"/>
                    <w:tr2bl w:val="nil"/>
                  </w:tcBorders>
                  <w:noWrap w:val="0"/>
                  <w:vAlign w:val="center"/>
                </w:tcPr>
                <w:p w14:paraId="3F6A385B">
                  <w:pPr>
                    <w:adjustRightInd w:val="0"/>
                    <w:snapToGrid w:val="0"/>
                    <w:jc w:val="center"/>
                    <w:rPr>
                      <w:rFonts w:hint="default"/>
                      <w:color w:val="auto"/>
                      <w:sz w:val="21"/>
                      <w:szCs w:val="21"/>
                      <w:lang w:val="en-US" w:eastAsia="zh-CN"/>
                    </w:rPr>
                  </w:pPr>
                  <w:r>
                    <w:rPr>
                      <w:rFonts w:hint="eastAsia"/>
                      <w:color w:val="auto"/>
                      <w:sz w:val="21"/>
                      <w:szCs w:val="21"/>
                      <w:lang w:val="en-US" w:eastAsia="zh-CN"/>
                    </w:rPr>
                    <w:t>8</w:t>
                  </w:r>
                </w:p>
              </w:tc>
              <w:tc>
                <w:tcPr>
                  <w:tcW w:w="785" w:type="pct"/>
                  <w:tcBorders>
                    <w:tl2br w:val="nil"/>
                    <w:tr2bl w:val="nil"/>
                  </w:tcBorders>
                  <w:noWrap w:val="0"/>
                  <w:vAlign w:val="center"/>
                </w:tcPr>
                <w:p w14:paraId="6FEBC6C9">
                  <w:pPr>
                    <w:widowControl/>
                    <w:jc w:val="center"/>
                    <w:textAlignment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含油抹布手套</w:t>
                  </w:r>
                </w:p>
              </w:tc>
              <w:tc>
                <w:tcPr>
                  <w:tcW w:w="375" w:type="pct"/>
                  <w:tcBorders>
                    <w:tl2br w:val="nil"/>
                    <w:tr2bl w:val="nil"/>
                  </w:tcBorders>
                  <w:noWrap w:val="0"/>
                  <w:vAlign w:val="center"/>
                </w:tcPr>
                <w:p w14:paraId="38A807B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危险废物</w:t>
                  </w:r>
                </w:p>
              </w:tc>
              <w:tc>
                <w:tcPr>
                  <w:tcW w:w="589" w:type="pct"/>
                  <w:tcBorders>
                    <w:tl2br w:val="nil"/>
                    <w:tr2bl w:val="nil"/>
                  </w:tcBorders>
                  <w:noWrap w:val="0"/>
                  <w:vAlign w:val="center"/>
                </w:tcPr>
                <w:p w14:paraId="38A42757">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维护保养</w:t>
                  </w:r>
                </w:p>
              </w:tc>
              <w:tc>
                <w:tcPr>
                  <w:tcW w:w="508" w:type="pct"/>
                  <w:tcBorders>
                    <w:tl2br w:val="nil"/>
                    <w:tr2bl w:val="nil"/>
                  </w:tcBorders>
                  <w:noWrap w:val="0"/>
                  <w:vAlign w:val="center"/>
                </w:tcPr>
                <w:p w14:paraId="5BF97FCB">
                  <w:pPr>
                    <w:widowControl/>
                    <w:jc w:val="center"/>
                    <w:textAlignment w:val="center"/>
                    <w:rPr>
                      <w:rFonts w:hint="default"/>
                      <w:color w:val="auto"/>
                      <w:sz w:val="21"/>
                      <w:szCs w:val="21"/>
                      <w:lang w:val="en-US" w:eastAsia="zh-CN"/>
                    </w:rPr>
                  </w:pPr>
                  <w:r>
                    <w:rPr>
                      <w:rFonts w:hint="eastAsia"/>
                      <w:color w:val="auto"/>
                      <w:sz w:val="21"/>
                      <w:szCs w:val="21"/>
                      <w:lang w:val="en-US" w:eastAsia="zh-CN"/>
                    </w:rPr>
                    <w:t>废油、手套、抹布</w:t>
                  </w:r>
                </w:p>
              </w:tc>
              <w:tc>
                <w:tcPr>
                  <w:tcW w:w="517" w:type="pct"/>
                  <w:tcBorders>
                    <w:tl2br w:val="nil"/>
                    <w:tr2bl w:val="nil"/>
                  </w:tcBorders>
                  <w:noWrap w:val="0"/>
                  <w:vAlign w:val="center"/>
                </w:tcPr>
                <w:p w14:paraId="027300BD">
                  <w:pPr>
                    <w:adjustRightInd w:val="0"/>
                    <w:snapToGrid w:val="0"/>
                    <w:jc w:val="center"/>
                    <w:rPr>
                      <w:rFonts w:hint="default"/>
                      <w:color w:val="auto"/>
                      <w:sz w:val="21"/>
                      <w:szCs w:val="21"/>
                      <w:lang w:val="en-US" w:eastAsia="zh-CN"/>
                    </w:rPr>
                  </w:pPr>
                  <w:r>
                    <w:rPr>
                      <w:rFonts w:hint="eastAsia"/>
                      <w:color w:val="auto"/>
                      <w:sz w:val="21"/>
                      <w:szCs w:val="21"/>
                      <w:lang w:val="en-US" w:eastAsia="zh-CN"/>
                    </w:rPr>
                    <w:t>固态</w:t>
                  </w:r>
                </w:p>
              </w:tc>
              <w:tc>
                <w:tcPr>
                  <w:tcW w:w="345" w:type="pct"/>
                  <w:tcBorders>
                    <w:tl2br w:val="nil"/>
                    <w:tr2bl w:val="nil"/>
                  </w:tcBorders>
                  <w:noWrap w:val="0"/>
                  <w:vAlign w:val="center"/>
                </w:tcPr>
                <w:p w14:paraId="29112547">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T/In</w:t>
                  </w:r>
                </w:p>
              </w:tc>
              <w:tc>
                <w:tcPr>
                  <w:tcW w:w="517" w:type="pct"/>
                  <w:tcBorders>
                    <w:tl2br w:val="nil"/>
                    <w:tr2bl w:val="nil"/>
                  </w:tcBorders>
                  <w:noWrap w:val="0"/>
                  <w:vAlign w:val="center"/>
                </w:tcPr>
                <w:p w14:paraId="4E06CCD8">
                  <w:pPr>
                    <w:adjustRightInd w:val="0"/>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rPr>
                    <w:t>HW49</w:t>
                  </w:r>
                </w:p>
              </w:tc>
              <w:tc>
                <w:tcPr>
                  <w:tcW w:w="689" w:type="pct"/>
                  <w:tcBorders>
                    <w:tl2br w:val="nil"/>
                    <w:tr2bl w:val="nil"/>
                  </w:tcBorders>
                  <w:noWrap w:val="0"/>
                  <w:vAlign w:val="center"/>
                </w:tcPr>
                <w:p w14:paraId="2B5C85DC">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900-041-49</w:t>
                  </w:r>
                </w:p>
              </w:tc>
              <w:tc>
                <w:tcPr>
                  <w:tcW w:w="527" w:type="pct"/>
                  <w:tcBorders>
                    <w:tl2br w:val="nil"/>
                    <w:tr2bl w:val="nil"/>
                  </w:tcBorders>
                  <w:noWrap w:val="0"/>
                  <w:vAlign w:val="center"/>
                </w:tcPr>
                <w:p w14:paraId="73597627">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0.1</w:t>
                  </w:r>
                </w:p>
              </w:tc>
            </w:tr>
          </w:tbl>
          <w:p w14:paraId="225D3FE8">
            <w:pPr>
              <w:adjustRightInd w:val="0"/>
              <w:snapToGrid w:val="0"/>
              <w:spacing w:line="360" w:lineRule="auto"/>
              <w:jc w:val="center"/>
              <w:rPr>
                <w:b/>
                <w:bCs/>
                <w:color w:val="auto"/>
                <w:sz w:val="21"/>
                <w:szCs w:val="21"/>
              </w:rPr>
            </w:pPr>
            <w:r>
              <w:rPr>
                <w:b/>
                <w:bCs/>
                <w:color w:val="auto"/>
                <w:sz w:val="21"/>
                <w:szCs w:val="21"/>
              </w:rPr>
              <w:t>表4-</w:t>
            </w:r>
            <w:r>
              <w:rPr>
                <w:rFonts w:hint="eastAsia"/>
                <w:b/>
                <w:bCs/>
                <w:color w:val="auto"/>
                <w:sz w:val="21"/>
                <w:szCs w:val="21"/>
                <w:lang w:val="en-US" w:eastAsia="zh-CN"/>
              </w:rPr>
              <w:t xml:space="preserve">19 </w:t>
            </w:r>
            <w:r>
              <w:rPr>
                <w:b/>
                <w:bCs/>
                <w:color w:val="auto"/>
                <w:sz w:val="21"/>
                <w:szCs w:val="21"/>
              </w:rPr>
              <w:t>建设项目</w:t>
            </w:r>
            <w:r>
              <w:rPr>
                <w:rFonts w:hint="eastAsia"/>
                <w:b/>
                <w:bCs/>
                <w:color w:val="auto"/>
                <w:sz w:val="21"/>
                <w:szCs w:val="21"/>
              </w:rPr>
              <w:t>固体废物利用处置</w:t>
            </w:r>
            <w:r>
              <w:rPr>
                <w:b/>
                <w:bCs/>
                <w:color w:val="auto"/>
                <w:sz w:val="21"/>
                <w:szCs w:val="21"/>
              </w:rPr>
              <w:t>情况</w:t>
            </w:r>
            <w:r>
              <w:rPr>
                <w:rFonts w:hint="eastAsia"/>
                <w:b/>
                <w:bCs/>
                <w:color w:val="auto"/>
                <w:sz w:val="21"/>
                <w:szCs w:val="21"/>
              </w:rPr>
              <w:t>一览</w:t>
            </w:r>
            <w:r>
              <w:rPr>
                <w:b/>
                <w:bCs/>
                <w:color w:val="auto"/>
                <w:sz w:val="21"/>
                <w:szCs w:val="21"/>
              </w:rPr>
              <w:t>表</w:t>
            </w:r>
          </w:p>
          <w:tbl>
            <w:tblPr>
              <w:tblStyle w:val="4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276"/>
              <w:gridCol w:w="1073"/>
              <w:gridCol w:w="548"/>
              <w:gridCol w:w="567"/>
              <w:gridCol w:w="735"/>
              <w:gridCol w:w="1361"/>
              <w:gridCol w:w="725"/>
              <w:gridCol w:w="888"/>
              <w:gridCol w:w="757"/>
              <w:gridCol w:w="1341"/>
            </w:tblGrid>
            <w:tr w14:paraId="14BEC2C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771236F1">
                  <w:pPr>
                    <w:adjustRightInd w:val="0"/>
                    <w:snapToGrid w:val="0"/>
                    <w:jc w:val="center"/>
                    <w:rPr>
                      <w:b/>
                      <w:bCs/>
                      <w:color w:val="auto"/>
                      <w:sz w:val="21"/>
                      <w:szCs w:val="21"/>
                    </w:rPr>
                  </w:pPr>
                  <w:r>
                    <w:rPr>
                      <w:b/>
                      <w:bCs/>
                      <w:color w:val="auto"/>
                      <w:sz w:val="21"/>
                      <w:szCs w:val="21"/>
                    </w:rPr>
                    <w:t>序号</w:t>
                  </w:r>
                </w:p>
              </w:tc>
              <w:tc>
                <w:tcPr>
                  <w:tcW w:w="648" w:type="pct"/>
                  <w:tcBorders>
                    <w:tl2br w:val="nil"/>
                    <w:tr2bl w:val="nil"/>
                  </w:tcBorders>
                  <w:noWrap w:val="0"/>
                  <w:vAlign w:val="center"/>
                </w:tcPr>
                <w:p w14:paraId="2342A35E">
                  <w:pPr>
                    <w:adjustRightInd w:val="0"/>
                    <w:snapToGrid w:val="0"/>
                    <w:jc w:val="center"/>
                    <w:rPr>
                      <w:b/>
                      <w:bCs/>
                      <w:color w:val="auto"/>
                      <w:sz w:val="21"/>
                      <w:szCs w:val="21"/>
                    </w:rPr>
                  </w:pPr>
                  <w:r>
                    <w:rPr>
                      <w:b/>
                      <w:bCs/>
                      <w:color w:val="auto"/>
                      <w:sz w:val="21"/>
                      <w:szCs w:val="21"/>
                    </w:rPr>
                    <w:t>固废名称</w:t>
                  </w:r>
                </w:p>
              </w:tc>
              <w:tc>
                <w:tcPr>
                  <w:tcW w:w="331" w:type="pct"/>
                  <w:tcBorders>
                    <w:tl2br w:val="nil"/>
                    <w:tr2bl w:val="nil"/>
                  </w:tcBorders>
                  <w:noWrap w:val="0"/>
                  <w:vAlign w:val="center"/>
                </w:tcPr>
                <w:p w14:paraId="346AC382">
                  <w:pPr>
                    <w:adjustRightInd w:val="0"/>
                    <w:snapToGrid w:val="0"/>
                    <w:jc w:val="center"/>
                    <w:rPr>
                      <w:b/>
                      <w:bCs/>
                      <w:color w:val="auto"/>
                      <w:sz w:val="21"/>
                      <w:szCs w:val="21"/>
                    </w:rPr>
                  </w:pPr>
                  <w:r>
                    <w:rPr>
                      <w:b/>
                      <w:bCs/>
                      <w:color w:val="auto"/>
                      <w:sz w:val="21"/>
                      <w:szCs w:val="21"/>
                    </w:rPr>
                    <w:t>属性</w:t>
                  </w:r>
                </w:p>
              </w:tc>
              <w:tc>
                <w:tcPr>
                  <w:tcW w:w="342" w:type="pct"/>
                  <w:tcBorders>
                    <w:tl2br w:val="nil"/>
                    <w:tr2bl w:val="nil"/>
                  </w:tcBorders>
                  <w:noWrap w:val="0"/>
                  <w:vAlign w:val="center"/>
                </w:tcPr>
                <w:p w14:paraId="37BBEC93">
                  <w:pPr>
                    <w:adjustRightInd w:val="0"/>
                    <w:snapToGrid w:val="0"/>
                    <w:jc w:val="center"/>
                    <w:rPr>
                      <w:b/>
                      <w:bCs/>
                      <w:color w:val="auto"/>
                      <w:sz w:val="21"/>
                      <w:szCs w:val="21"/>
                    </w:rPr>
                  </w:pPr>
                  <w:r>
                    <w:rPr>
                      <w:rFonts w:hint="eastAsia"/>
                      <w:b/>
                      <w:bCs/>
                      <w:color w:val="auto"/>
                      <w:sz w:val="21"/>
                      <w:szCs w:val="21"/>
                    </w:rPr>
                    <w:t>危险特性</w:t>
                  </w:r>
                </w:p>
              </w:tc>
              <w:tc>
                <w:tcPr>
                  <w:tcW w:w="444" w:type="pct"/>
                  <w:tcBorders>
                    <w:tl2br w:val="nil"/>
                    <w:tr2bl w:val="nil"/>
                  </w:tcBorders>
                  <w:noWrap w:val="0"/>
                  <w:vAlign w:val="center"/>
                </w:tcPr>
                <w:p w14:paraId="231BE4A8">
                  <w:pPr>
                    <w:adjustRightInd w:val="0"/>
                    <w:snapToGrid w:val="0"/>
                    <w:jc w:val="center"/>
                    <w:rPr>
                      <w:b/>
                      <w:bCs/>
                      <w:color w:val="auto"/>
                      <w:sz w:val="21"/>
                      <w:szCs w:val="21"/>
                    </w:rPr>
                  </w:pPr>
                  <w:r>
                    <w:rPr>
                      <w:b/>
                      <w:bCs/>
                      <w:color w:val="auto"/>
                      <w:sz w:val="21"/>
                      <w:szCs w:val="21"/>
                    </w:rPr>
                    <w:t>废物类别</w:t>
                  </w:r>
                </w:p>
              </w:tc>
              <w:tc>
                <w:tcPr>
                  <w:tcW w:w="822" w:type="pct"/>
                  <w:tcBorders>
                    <w:tl2br w:val="nil"/>
                    <w:tr2bl w:val="nil"/>
                  </w:tcBorders>
                  <w:noWrap w:val="0"/>
                  <w:vAlign w:val="center"/>
                </w:tcPr>
                <w:p w14:paraId="1BB5BAF7">
                  <w:pPr>
                    <w:adjustRightInd w:val="0"/>
                    <w:snapToGrid w:val="0"/>
                    <w:jc w:val="center"/>
                    <w:rPr>
                      <w:b/>
                      <w:bCs/>
                      <w:color w:val="auto"/>
                      <w:sz w:val="21"/>
                      <w:szCs w:val="21"/>
                    </w:rPr>
                  </w:pPr>
                  <w:r>
                    <w:rPr>
                      <w:b/>
                      <w:bCs/>
                      <w:color w:val="auto"/>
                      <w:sz w:val="21"/>
                      <w:szCs w:val="21"/>
                    </w:rPr>
                    <w:t>废物</w:t>
                  </w:r>
                </w:p>
                <w:p w14:paraId="3B47A14E">
                  <w:pPr>
                    <w:adjustRightInd w:val="0"/>
                    <w:snapToGrid w:val="0"/>
                    <w:jc w:val="center"/>
                    <w:rPr>
                      <w:b/>
                      <w:bCs/>
                      <w:color w:val="auto"/>
                      <w:sz w:val="21"/>
                      <w:szCs w:val="21"/>
                    </w:rPr>
                  </w:pPr>
                  <w:r>
                    <w:rPr>
                      <w:b/>
                      <w:bCs/>
                      <w:color w:val="auto"/>
                      <w:sz w:val="21"/>
                      <w:szCs w:val="21"/>
                    </w:rPr>
                    <w:t>代码</w:t>
                  </w:r>
                </w:p>
              </w:tc>
              <w:tc>
                <w:tcPr>
                  <w:tcW w:w="438" w:type="pct"/>
                  <w:tcBorders>
                    <w:tl2br w:val="nil"/>
                    <w:tr2bl w:val="nil"/>
                  </w:tcBorders>
                  <w:noWrap w:val="0"/>
                  <w:vAlign w:val="center"/>
                </w:tcPr>
                <w:p w14:paraId="5AFFC3F3">
                  <w:pPr>
                    <w:adjustRightInd w:val="0"/>
                    <w:snapToGrid w:val="0"/>
                    <w:jc w:val="center"/>
                    <w:rPr>
                      <w:b/>
                      <w:bCs/>
                      <w:color w:val="auto"/>
                      <w:sz w:val="21"/>
                      <w:szCs w:val="21"/>
                    </w:rPr>
                  </w:pPr>
                  <w:r>
                    <w:rPr>
                      <w:b/>
                      <w:bCs/>
                      <w:color w:val="auto"/>
                      <w:sz w:val="21"/>
                      <w:szCs w:val="21"/>
                    </w:rPr>
                    <w:t>产生量</w:t>
                  </w:r>
                </w:p>
                <w:p w14:paraId="7C50F243">
                  <w:pPr>
                    <w:adjustRightInd w:val="0"/>
                    <w:snapToGrid w:val="0"/>
                    <w:jc w:val="center"/>
                    <w:rPr>
                      <w:b/>
                      <w:bCs/>
                      <w:color w:val="auto"/>
                      <w:sz w:val="21"/>
                      <w:szCs w:val="21"/>
                    </w:rPr>
                  </w:pPr>
                  <w:r>
                    <w:rPr>
                      <w:b/>
                      <w:bCs/>
                      <w:color w:val="auto"/>
                      <w:sz w:val="21"/>
                      <w:szCs w:val="21"/>
                    </w:rPr>
                    <w:t>（t/a）</w:t>
                  </w:r>
                </w:p>
              </w:tc>
              <w:tc>
                <w:tcPr>
                  <w:tcW w:w="536" w:type="pct"/>
                  <w:tcBorders>
                    <w:tl2br w:val="nil"/>
                    <w:tr2bl w:val="nil"/>
                  </w:tcBorders>
                  <w:noWrap w:val="0"/>
                  <w:vAlign w:val="center"/>
                </w:tcPr>
                <w:p w14:paraId="2B91766C">
                  <w:pPr>
                    <w:adjustRightInd w:val="0"/>
                    <w:snapToGrid w:val="0"/>
                    <w:jc w:val="center"/>
                    <w:rPr>
                      <w:b/>
                      <w:bCs/>
                      <w:color w:val="auto"/>
                      <w:sz w:val="21"/>
                      <w:szCs w:val="21"/>
                    </w:rPr>
                  </w:pPr>
                  <w:r>
                    <w:rPr>
                      <w:rFonts w:hint="eastAsia"/>
                      <w:b/>
                      <w:bCs/>
                      <w:color w:val="auto"/>
                      <w:sz w:val="21"/>
                      <w:szCs w:val="21"/>
                    </w:rPr>
                    <w:t>贮存方式</w:t>
                  </w:r>
                </w:p>
              </w:tc>
              <w:tc>
                <w:tcPr>
                  <w:tcW w:w="457" w:type="pct"/>
                  <w:tcBorders>
                    <w:tl2br w:val="nil"/>
                    <w:tr2bl w:val="nil"/>
                  </w:tcBorders>
                  <w:noWrap w:val="0"/>
                  <w:vAlign w:val="center"/>
                </w:tcPr>
                <w:p w14:paraId="071A8E43">
                  <w:pPr>
                    <w:adjustRightInd w:val="0"/>
                    <w:snapToGrid w:val="0"/>
                    <w:jc w:val="center"/>
                    <w:rPr>
                      <w:b/>
                      <w:bCs/>
                      <w:color w:val="auto"/>
                      <w:sz w:val="21"/>
                      <w:szCs w:val="21"/>
                    </w:rPr>
                  </w:pPr>
                  <w:r>
                    <w:rPr>
                      <w:rFonts w:hint="eastAsia"/>
                      <w:b/>
                      <w:bCs/>
                      <w:color w:val="auto"/>
                      <w:sz w:val="21"/>
                      <w:szCs w:val="21"/>
                    </w:rPr>
                    <w:t>利用或处置量</w:t>
                  </w:r>
                </w:p>
              </w:tc>
              <w:tc>
                <w:tcPr>
                  <w:tcW w:w="810" w:type="pct"/>
                  <w:tcBorders>
                    <w:tl2br w:val="nil"/>
                    <w:tr2bl w:val="nil"/>
                  </w:tcBorders>
                  <w:noWrap w:val="0"/>
                  <w:vAlign w:val="center"/>
                </w:tcPr>
                <w:p w14:paraId="308F21DA">
                  <w:pPr>
                    <w:adjustRightInd w:val="0"/>
                    <w:snapToGrid w:val="0"/>
                    <w:jc w:val="center"/>
                    <w:rPr>
                      <w:b/>
                      <w:bCs/>
                      <w:color w:val="auto"/>
                      <w:sz w:val="21"/>
                      <w:szCs w:val="21"/>
                    </w:rPr>
                  </w:pPr>
                  <w:r>
                    <w:rPr>
                      <w:rFonts w:hint="eastAsia"/>
                      <w:b/>
                      <w:bCs/>
                      <w:color w:val="auto"/>
                      <w:sz w:val="21"/>
                      <w:szCs w:val="21"/>
                    </w:rPr>
                    <w:t>利用或</w:t>
                  </w:r>
                  <w:r>
                    <w:rPr>
                      <w:b/>
                      <w:bCs/>
                      <w:color w:val="auto"/>
                      <w:sz w:val="21"/>
                      <w:szCs w:val="21"/>
                    </w:rPr>
                    <w:t>处置方式</w:t>
                  </w:r>
                </w:p>
              </w:tc>
            </w:tr>
            <w:tr w14:paraId="3FBB9E4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49E680E9">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w:t>
                  </w:r>
                </w:p>
              </w:tc>
              <w:tc>
                <w:tcPr>
                  <w:tcW w:w="648" w:type="pct"/>
                  <w:tcBorders>
                    <w:tl2br w:val="nil"/>
                    <w:tr2bl w:val="nil"/>
                  </w:tcBorders>
                  <w:noWrap w:val="0"/>
                  <w:vAlign w:val="center"/>
                </w:tcPr>
                <w:p w14:paraId="5EAB48FC">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废边角料</w:t>
                  </w:r>
                </w:p>
              </w:tc>
              <w:tc>
                <w:tcPr>
                  <w:tcW w:w="331" w:type="pct"/>
                  <w:vMerge w:val="restart"/>
                  <w:tcBorders>
                    <w:tl2br w:val="nil"/>
                    <w:tr2bl w:val="nil"/>
                  </w:tcBorders>
                  <w:noWrap w:val="0"/>
                  <w:vAlign w:val="center"/>
                </w:tcPr>
                <w:p w14:paraId="3726456C">
                  <w:pPr>
                    <w:adjustRightInd w:val="0"/>
                    <w:snapToGrid w:val="0"/>
                    <w:jc w:val="center"/>
                    <w:rPr>
                      <w:color w:val="auto"/>
                      <w:sz w:val="21"/>
                      <w:szCs w:val="21"/>
                    </w:rPr>
                  </w:pPr>
                  <w:r>
                    <w:rPr>
                      <w:color w:val="auto"/>
                      <w:sz w:val="21"/>
                      <w:szCs w:val="21"/>
                    </w:rPr>
                    <w:t>一般</w:t>
                  </w:r>
                  <w:r>
                    <w:rPr>
                      <w:rFonts w:hint="eastAsia"/>
                      <w:color w:val="auto"/>
                      <w:sz w:val="21"/>
                      <w:szCs w:val="21"/>
                      <w:lang w:val="en-US" w:eastAsia="zh-CN"/>
                    </w:rPr>
                    <w:t>工业</w:t>
                  </w:r>
                  <w:r>
                    <w:rPr>
                      <w:color w:val="auto"/>
                      <w:sz w:val="21"/>
                      <w:szCs w:val="21"/>
                    </w:rPr>
                    <w:t>固废</w:t>
                  </w:r>
                </w:p>
              </w:tc>
              <w:tc>
                <w:tcPr>
                  <w:tcW w:w="342" w:type="pct"/>
                  <w:tcBorders>
                    <w:tl2br w:val="nil"/>
                    <w:tr2bl w:val="nil"/>
                  </w:tcBorders>
                  <w:noWrap w:val="0"/>
                  <w:vAlign w:val="center"/>
                </w:tcPr>
                <w:p w14:paraId="7EAB00AB">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444" w:type="pct"/>
                  <w:tcBorders>
                    <w:tl2br w:val="nil"/>
                    <w:tr2bl w:val="nil"/>
                  </w:tcBorders>
                  <w:noWrap w:val="0"/>
                  <w:vAlign w:val="center"/>
                </w:tcPr>
                <w:p w14:paraId="75D53C40">
                  <w:pPr>
                    <w:topLinePunct/>
                    <w:adjustRightInd w:val="0"/>
                    <w:snapToGrid w:val="0"/>
                    <w:ind w:left="-73" w:leftChars="-35" w:right="-73" w:rightChars="-35"/>
                    <w:jc w:val="center"/>
                    <w:rPr>
                      <w:rFonts w:hint="eastAsia"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SW01</w:t>
                  </w:r>
                </w:p>
              </w:tc>
              <w:tc>
                <w:tcPr>
                  <w:tcW w:w="822" w:type="pct"/>
                  <w:tcBorders>
                    <w:tl2br w:val="nil"/>
                    <w:tr2bl w:val="nil"/>
                  </w:tcBorders>
                  <w:noWrap w:val="0"/>
                  <w:vAlign w:val="center"/>
                </w:tcPr>
                <w:p w14:paraId="5D915F65">
                  <w:pPr>
                    <w:topLinePunct/>
                    <w:adjustRightInd w:val="0"/>
                    <w:snapToGrid w:val="0"/>
                    <w:ind w:left="-73" w:leftChars="-35" w:right="-73" w:rightChars="-35"/>
                    <w:jc w:val="center"/>
                    <w:rPr>
                      <w:rFonts w:hint="eastAsia"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313-001-S01</w:t>
                  </w:r>
                </w:p>
              </w:tc>
              <w:tc>
                <w:tcPr>
                  <w:tcW w:w="438" w:type="pct"/>
                  <w:tcBorders>
                    <w:tl2br w:val="nil"/>
                    <w:tr2bl w:val="nil"/>
                  </w:tcBorders>
                  <w:noWrap w:val="0"/>
                  <w:vAlign w:val="center"/>
                </w:tcPr>
                <w:p w14:paraId="5EEFE1E2">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6075</w:t>
                  </w:r>
                </w:p>
              </w:tc>
              <w:tc>
                <w:tcPr>
                  <w:tcW w:w="536" w:type="pct"/>
                  <w:tcBorders>
                    <w:tl2br w:val="nil"/>
                    <w:tr2bl w:val="nil"/>
                  </w:tcBorders>
                  <w:noWrap w:val="0"/>
                  <w:vAlign w:val="center"/>
                </w:tcPr>
                <w:p w14:paraId="7C9C7E77">
                  <w:pPr>
                    <w:adjustRightInd w:val="0"/>
                    <w:snapToGrid w:val="0"/>
                    <w:jc w:val="center"/>
                    <w:rPr>
                      <w:rFonts w:hint="eastAsia" w:eastAsia="宋体"/>
                      <w:b w:val="0"/>
                      <w:bCs w:val="0"/>
                      <w:color w:val="auto"/>
                      <w:sz w:val="21"/>
                      <w:szCs w:val="21"/>
                      <w:lang w:val="en-US" w:eastAsia="zh-CN"/>
                    </w:rPr>
                  </w:pPr>
                  <w:r>
                    <w:rPr>
                      <w:rFonts w:hint="eastAsia"/>
                      <w:b w:val="0"/>
                      <w:bCs w:val="0"/>
                      <w:color w:val="auto"/>
                      <w:sz w:val="21"/>
                      <w:szCs w:val="21"/>
                      <w:lang w:val="en-US" w:eastAsia="zh-CN"/>
                    </w:rPr>
                    <w:t>堆放</w:t>
                  </w:r>
                </w:p>
              </w:tc>
              <w:tc>
                <w:tcPr>
                  <w:tcW w:w="457" w:type="pct"/>
                  <w:tcBorders>
                    <w:tl2br w:val="nil"/>
                    <w:tr2bl w:val="nil"/>
                  </w:tcBorders>
                  <w:noWrap w:val="0"/>
                  <w:vAlign w:val="center"/>
                </w:tcPr>
                <w:p w14:paraId="0E785DE0">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6075</w:t>
                  </w:r>
                </w:p>
              </w:tc>
              <w:tc>
                <w:tcPr>
                  <w:tcW w:w="810" w:type="pct"/>
                  <w:vMerge w:val="restart"/>
                  <w:tcBorders>
                    <w:tl2br w:val="nil"/>
                    <w:tr2bl w:val="nil"/>
                  </w:tcBorders>
                  <w:noWrap w:val="0"/>
                  <w:vAlign w:val="center"/>
                </w:tcPr>
                <w:p w14:paraId="7C297F7B">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钢厂回收</w:t>
                  </w:r>
                </w:p>
              </w:tc>
            </w:tr>
            <w:tr w14:paraId="4ED537B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45001BB9">
                  <w:pPr>
                    <w:adjustRightInd w:val="0"/>
                    <w:snapToGrid w:val="0"/>
                    <w:jc w:val="center"/>
                    <w:rPr>
                      <w:rFonts w:hint="default"/>
                      <w:color w:val="auto"/>
                      <w:sz w:val="21"/>
                      <w:szCs w:val="21"/>
                      <w:lang w:val="en-US" w:eastAsia="zh-CN"/>
                    </w:rPr>
                  </w:pPr>
                  <w:r>
                    <w:rPr>
                      <w:rFonts w:hint="eastAsia"/>
                      <w:color w:val="auto"/>
                      <w:sz w:val="21"/>
                      <w:szCs w:val="21"/>
                      <w:lang w:val="en-US" w:eastAsia="zh-CN"/>
                    </w:rPr>
                    <w:t>2</w:t>
                  </w:r>
                </w:p>
              </w:tc>
              <w:tc>
                <w:tcPr>
                  <w:tcW w:w="648" w:type="pct"/>
                  <w:tcBorders>
                    <w:tl2br w:val="nil"/>
                    <w:tr2bl w:val="nil"/>
                  </w:tcBorders>
                  <w:noWrap w:val="0"/>
                  <w:vAlign w:val="center"/>
                </w:tcPr>
                <w:p w14:paraId="39EFAEC5">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氧化皮</w:t>
                  </w:r>
                </w:p>
              </w:tc>
              <w:tc>
                <w:tcPr>
                  <w:tcW w:w="331" w:type="pct"/>
                  <w:vMerge w:val="continue"/>
                  <w:tcBorders>
                    <w:tl2br w:val="nil"/>
                    <w:tr2bl w:val="nil"/>
                  </w:tcBorders>
                  <w:noWrap w:val="0"/>
                  <w:vAlign w:val="center"/>
                </w:tcPr>
                <w:p w14:paraId="1D6FD02B">
                  <w:pPr>
                    <w:adjustRightInd w:val="0"/>
                    <w:snapToGrid w:val="0"/>
                    <w:jc w:val="center"/>
                    <w:rPr>
                      <w:color w:val="auto"/>
                      <w:sz w:val="21"/>
                      <w:szCs w:val="21"/>
                    </w:rPr>
                  </w:pPr>
                </w:p>
              </w:tc>
              <w:tc>
                <w:tcPr>
                  <w:tcW w:w="342" w:type="pct"/>
                  <w:tcBorders>
                    <w:tl2br w:val="nil"/>
                    <w:tr2bl w:val="nil"/>
                  </w:tcBorders>
                  <w:noWrap w:val="0"/>
                  <w:vAlign w:val="center"/>
                </w:tcPr>
                <w:p w14:paraId="07FBFCDD">
                  <w:pPr>
                    <w:topLinePunct/>
                    <w:adjustRightInd w:val="0"/>
                    <w:snapToGrid w:val="0"/>
                    <w:ind w:left="-73" w:leftChars="-35" w:right="-73" w:rightChars="-35"/>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44" w:type="pct"/>
                  <w:tcBorders>
                    <w:tl2br w:val="nil"/>
                    <w:tr2bl w:val="nil"/>
                  </w:tcBorders>
                  <w:noWrap w:val="0"/>
                  <w:vAlign w:val="center"/>
                </w:tcPr>
                <w:p w14:paraId="499AA163">
                  <w:pPr>
                    <w:topLinePunct/>
                    <w:adjustRightInd w:val="0"/>
                    <w:snapToGrid w:val="0"/>
                    <w:ind w:left="-73" w:leftChars="-35" w:right="-73" w:rightChars="-35"/>
                    <w:jc w:val="center"/>
                    <w:rPr>
                      <w:rFonts w:hint="eastAsia"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SW01</w:t>
                  </w:r>
                </w:p>
              </w:tc>
              <w:tc>
                <w:tcPr>
                  <w:tcW w:w="822" w:type="pct"/>
                  <w:tcBorders>
                    <w:tl2br w:val="nil"/>
                    <w:tr2bl w:val="nil"/>
                  </w:tcBorders>
                  <w:noWrap w:val="0"/>
                  <w:vAlign w:val="center"/>
                </w:tcPr>
                <w:p w14:paraId="6A4E13D4">
                  <w:pPr>
                    <w:topLinePunct/>
                    <w:adjustRightInd w:val="0"/>
                    <w:snapToGrid w:val="0"/>
                    <w:ind w:left="-73" w:leftChars="-35" w:right="-73" w:rightChars="-35"/>
                    <w:jc w:val="center"/>
                    <w:rPr>
                      <w:rFonts w:hint="eastAsia" w:ascii="Times New Roman" w:hAnsi="Times New Roman" w:eastAsia="宋体" w:cs="Times New Roman"/>
                      <w:color w:val="auto"/>
                      <w:spacing w:val="4"/>
                      <w:kern w:val="18"/>
                      <w:sz w:val="21"/>
                      <w:szCs w:val="21"/>
                      <w:lang w:val="en-US" w:eastAsia="zh-CN" w:bidi="ar-SA"/>
                    </w:rPr>
                  </w:pPr>
                  <w:r>
                    <w:rPr>
                      <w:rFonts w:hint="eastAsia" w:cs="Times New Roman"/>
                      <w:color w:val="auto"/>
                      <w:spacing w:val="4"/>
                      <w:kern w:val="18"/>
                      <w:sz w:val="21"/>
                      <w:szCs w:val="21"/>
                      <w:lang w:val="en-US" w:eastAsia="zh-CN"/>
                    </w:rPr>
                    <w:t>313-001-S01</w:t>
                  </w:r>
                </w:p>
              </w:tc>
              <w:tc>
                <w:tcPr>
                  <w:tcW w:w="438" w:type="pct"/>
                  <w:tcBorders>
                    <w:tl2br w:val="nil"/>
                    <w:tr2bl w:val="nil"/>
                  </w:tcBorders>
                  <w:noWrap w:val="0"/>
                  <w:vAlign w:val="center"/>
                </w:tcPr>
                <w:p w14:paraId="66AD8877">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337.5</w:t>
                  </w:r>
                </w:p>
              </w:tc>
              <w:tc>
                <w:tcPr>
                  <w:tcW w:w="536" w:type="pct"/>
                  <w:tcBorders>
                    <w:tl2br w:val="nil"/>
                    <w:tr2bl w:val="nil"/>
                  </w:tcBorders>
                  <w:noWrap w:val="0"/>
                  <w:vAlign w:val="center"/>
                </w:tcPr>
                <w:p w14:paraId="0DAAD656">
                  <w:pPr>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堆放</w:t>
                  </w:r>
                </w:p>
              </w:tc>
              <w:tc>
                <w:tcPr>
                  <w:tcW w:w="457" w:type="pct"/>
                  <w:tcBorders>
                    <w:tl2br w:val="nil"/>
                    <w:tr2bl w:val="nil"/>
                  </w:tcBorders>
                  <w:noWrap w:val="0"/>
                  <w:vAlign w:val="center"/>
                </w:tcPr>
                <w:p w14:paraId="7A6E1E43">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337.5</w:t>
                  </w:r>
                </w:p>
              </w:tc>
              <w:tc>
                <w:tcPr>
                  <w:tcW w:w="810" w:type="pct"/>
                  <w:vMerge w:val="continue"/>
                  <w:tcBorders>
                    <w:tl2br w:val="nil"/>
                    <w:tr2bl w:val="nil"/>
                  </w:tcBorders>
                  <w:noWrap w:val="0"/>
                  <w:vAlign w:val="center"/>
                </w:tcPr>
                <w:p w14:paraId="21414BF2">
                  <w:pPr>
                    <w:adjustRightInd w:val="0"/>
                    <w:snapToGrid w:val="0"/>
                    <w:jc w:val="center"/>
                    <w:rPr>
                      <w:rFonts w:hint="default"/>
                      <w:color w:val="auto"/>
                      <w:sz w:val="21"/>
                      <w:szCs w:val="21"/>
                      <w:lang w:val="en-US" w:eastAsia="zh-CN"/>
                    </w:rPr>
                  </w:pPr>
                </w:p>
              </w:tc>
            </w:tr>
            <w:tr w14:paraId="637EC38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5571469C">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648" w:type="pct"/>
                  <w:tcBorders>
                    <w:tl2br w:val="nil"/>
                    <w:tr2bl w:val="nil"/>
                  </w:tcBorders>
                  <w:noWrap w:val="0"/>
                  <w:vAlign w:val="center"/>
                </w:tcPr>
                <w:p w14:paraId="45DCCD32">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含油金属屑</w:t>
                  </w:r>
                </w:p>
              </w:tc>
              <w:tc>
                <w:tcPr>
                  <w:tcW w:w="331" w:type="pct"/>
                  <w:vMerge w:val="restart"/>
                  <w:tcBorders>
                    <w:tl2br w:val="nil"/>
                    <w:tr2bl w:val="nil"/>
                  </w:tcBorders>
                  <w:noWrap w:val="0"/>
                  <w:vAlign w:val="center"/>
                </w:tcPr>
                <w:p w14:paraId="1E28EBF8">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342" w:type="pct"/>
                  <w:tcBorders>
                    <w:tl2br w:val="nil"/>
                    <w:tr2bl w:val="nil"/>
                  </w:tcBorders>
                  <w:noWrap w:val="0"/>
                  <w:vAlign w:val="center"/>
                </w:tcPr>
                <w:p w14:paraId="7CB235B1">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w:t>
                  </w:r>
                </w:p>
              </w:tc>
              <w:tc>
                <w:tcPr>
                  <w:tcW w:w="444" w:type="pct"/>
                  <w:tcBorders>
                    <w:tl2br w:val="nil"/>
                    <w:tr2bl w:val="nil"/>
                  </w:tcBorders>
                  <w:noWrap w:val="0"/>
                  <w:vAlign w:val="center"/>
                </w:tcPr>
                <w:p w14:paraId="2F2200AB">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HW09</w:t>
                  </w:r>
                </w:p>
              </w:tc>
              <w:tc>
                <w:tcPr>
                  <w:tcW w:w="822" w:type="pct"/>
                  <w:tcBorders>
                    <w:tl2br w:val="nil"/>
                    <w:tr2bl w:val="nil"/>
                  </w:tcBorders>
                  <w:noWrap w:val="0"/>
                  <w:vAlign w:val="center"/>
                </w:tcPr>
                <w:p w14:paraId="6A3DF9E3">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900-006-09</w:t>
                  </w:r>
                </w:p>
              </w:tc>
              <w:tc>
                <w:tcPr>
                  <w:tcW w:w="438" w:type="pct"/>
                  <w:tcBorders>
                    <w:tl2br w:val="nil"/>
                    <w:tr2bl w:val="nil"/>
                  </w:tcBorders>
                  <w:noWrap w:val="0"/>
                  <w:vAlign w:val="center"/>
                </w:tcPr>
                <w:p w14:paraId="7C61CD30">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337.5</w:t>
                  </w:r>
                </w:p>
              </w:tc>
              <w:tc>
                <w:tcPr>
                  <w:tcW w:w="536" w:type="pct"/>
                  <w:tcBorders>
                    <w:tl2br w:val="nil"/>
                    <w:tr2bl w:val="nil"/>
                  </w:tcBorders>
                  <w:noWrap w:val="0"/>
                  <w:vAlign w:val="center"/>
                </w:tcPr>
                <w:p w14:paraId="06FF3113">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堆放</w:t>
                  </w:r>
                </w:p>
              </w:tc>
              <w:tc>
                <w:tcPr>
                  <w:tcW w:w="457" w:type="pct"/>
                  <w:tcBorders>
                    <w:tl2br w:val="nil"/>
                    <w:tr2bl w:val="nil"/>
                  </w:tcBorders>
                  <w:noWrap w:val="0"/>
                  <w:vAlign w:val="center"/>
                </w:tcPr>
                <w:p w14:paraId="142491E6">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337.5</w:t>
                  </w:r>
                </w:p>
              </w:tc>
              <w:tc>
                <w:tcPr>
                  <w:tcW w:w="810" w:type="pct"/>
                  <w:vMerge w:val="restart"/>
                  <w:tcBorders>
                    <w:tl2br w:val="nil"/>
                    <w:tr2bl w:val="nil"/>
                  </w:tcBorders>
                  <w:noWrap w:val="0"/>
                  <w:vAlign w:val="center"/>
                </w:tcPr>
                <w:p w14:paraId="62BAAB37">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委托有资质单位处置</w:t>
                  </w:r>
                </w:p>
              </w:tc>
            </w:tr>
            <w:tr w14:paraId="5EF4E15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1E049C22">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c>
                <w:tcPr>
                  <w:tcW w:w="648" w:type="pct"/>
                  <w:tcBorders>
                    <w:tl2br w:val="nil"/>
                    <w:tr2bl w:val="nil"/>
                  </w:tcBorders>
                  <w:noWrap w:val="0"/>
                  <w:vAlign w:val="center"/>
                </w:tcPr>
                <w:p w14:paraId="72F212B7">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废切削液</w:t>
                  </w:r>
                </w:p>
              </w:tc>
              <w:tc>
                <w:tcPr>
                  <w:tcW w:w="331" w:type="pct"/>
                  <w:vMerge w:val="continue"/>
                  <w:tcBorders>
                    <w:tl2br w:val="nil"/>
                    <w:tr2bl w:val="nil"/>
                  </w:tcBorders>
                  <w:noWrap w:val="0"/>
                  <w:vAlign w:val="center"/>
                </w:tcPr>
                <w:p w14:paraId="35750063">
                  <w:pPr>
                    <w:adjustRightInd w:val="0"/>
                    <w:snapToGrid w:val="0"/>
                    <w:jc w:val="center"/>
                    <w:rPr>
                      <w:rFonts w:hint="default" w:ascii="Times New Roman" w:hAnsi="Times New Roman" w:eastAsia="宋体" w:cs="Times New Roman"/>
                      <w:color w:val="auto"/>
                      <w:kern w:val="2"/>
                      <w:sz w:val="21"/>
                      <w:szCs w:val="21"/>
                      <w:lang w:val="en-US" w:eastAsia="zh-CN" w:bidi="ar-SA"/>
                    </w:rPr>
                  </w:pPr>
                </w:p>
              </w:tc>
              <w:tc>
                <w:tcPr>
                  <w:tcW w:w="342" w:type="pct"/>
                  <w:tcBorders>
                    <w:tl2br w:val="nil"/>
                    <w:tr2bl w:val="nil"/>
                  </w:tcBorders>
                  <w:noWrap w:val="0"/>
                  <w:vAlign w:val="center"/>
                </w:tcPr>
                <w:p w14:paraId="3FAC2B38">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444" w:type="pct"/>
                  <w:tcBorders>
                    <w:tl2br w:val="nil"/>
                    <w:tr2bl w:val="nil"/>
                  </w:tcBorders>
                  <w:noWrap w:val="0"/>
                  <w:vAlign w:val="center"/>
                </w:tcPr>
                <w:p w14:paraId="4DC6CE2A">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HW09</w:t>
                  </w:r>
                </w:p>
              </w:tc>
              <w:tc>
                <w:tcPr>
                  <w:tcW w:w="822" w:type="pct"/>
                  <w:tcBorders>
                    <w:tl2br w:val="nil"/>
                    <w:tr2bl w:val="nil"/>
                  </w:tcBorders>
                  <w:noWrap w:val="0"/>
                  <w:vAlign w:val="center"/>
                </w:tcPr>
                <w:p w14:paraId="7AE2972C">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900-006-09</w:t>
                  </w:r>
                </w:p>
              </w:tc>
              <w:tc>
                <w:tcPr>
                  <w:tcW w:w="438" w:type="pct"/>
                  <w:tcBorders>
                    <w:tl2br w:val="nil"/>
                    <w:tr2bl w:val="nil"/>
                  </w:tcBorders>
                  <w:noWrap w:val="0"/>
                  <w:vAlign w:val="center"/>
                </w:tcPr>
                <w:p w14:paraId="3C12D9A3">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0.5</w:t>
                  </w:r>
                </w:p>
              </w:tc>
              <w:tc>
                <w:tcPr>
                  <w:tcW w:w="536" w:type="pct"/>
                  <w:tcBorders>
                    <w:tl2br w:val="nil"/>
                    <w:tr2bl w:val="nil"/>
                  </w:tcBorders>
                  <w:noWrap w:val="0"/>
                  <w:vAlign w:val="center"/>
                </w:tcPr>
                <w:p w14:paraId="0A14B0F6">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桶装封存</w:t>
                  </w:r>
                </w:p>
              </w:tc>
              <w:tc>
                <w:tcPr>
                  <w:tcW w:w="457" w:type="pct"/>
                  <w:tcBorders>
                    <w:tl2br w:val="nil"/>
                    <w:tr2bl w:val="nil"/>
                  </w:tcBorders>
                  <w:noWrap w:val="0"/>
                  <w:vAlign w:val="center"/>
                </w:tcPr>
                <w:p w14:paraId="54D2ED50">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0.25</w:t>
                  </w:r>
                </w:p>
              </w:tc>
              <w:tc>
                <w:tcPr>
                  <w:tcW w:w="810" w:type="pct"/>
                  <w:vMerge w:val="continue"/>
                  <w:tcBorders>
                    <w:tl2br w:val="nil"/>
                    <w:tr2bl w:val="nil"/>
                  </w:tcBorders>
                  <w:noWrap w:val="0"/>
                  <w:vAlign w:val="center"/>
                </w:tcPr>
                <w:p w14:paraId="32E2FADB">
                  <w:pPr>
                    <w:adjustRightInd w:val="0"/>
                    <w:snapToGrid w:val="0"/>
                    <w:jc w:val="center"/>
                    <w:rPr>
                      <w:rFonts w:hint="default" w:eastAsia="宋体"/>
                      <w:color w:val="auto"/>
                      <w:sz w:val="21"/>
                      <w:szCs w:val="21"/>
                      <w:lang w:val="en-US" w:eastAsia="zh-CN"/>
                    </w:rPr>
                  </w:pPr>
                </w:p>
              </w:tc>
            </w:tr>
            <w:tr w14:paraId="6ED8A570">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7888FB22">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648" w:type="pct"/>
                  <w:tcBorders>
                    <w:tl2br w:val="nil"/>
                    <w:tr2bl w:val="nil"/>
                  </w:tcBorders>
                  <w:noWrap w:val="0"/>
                  <w:vAlign w:val="center"/>
                </w:tcPr>
                <w:p w14:paraId="227A9669">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废液压油</w:t>
                  </w:r>
                </w:p>
              </w:tc>
              <w:tc>
                <w:tcPr>
                  <w:tcW w:w="331" w:type="pct"/>
                  <w:vMerge w:val="continue"/>
                  <w:tcBorders>
                    <w:tl2br w:val="nil"/>
                    <w:tr2bl w:val="nil"/>
                  </w:tcBorders>
                  <w:noWrap w:val="0"/>
                  <w:vAlign w:val="center"/>
                </w:tcPr>
                <w:p w14:paraId="7199916B">
                  <w:pPr>
                    <w:adjustRightInd w:val="0"/>
                    <w:snapToGrid w:val="0"/>
                    <w:jc w:val="center"/>
                    <w:rPr>
                      <w:rFonts w:hint="eastAsia" w:cs="Times New Roman"/>
                      <w:color w:val="auto"/>
                      <w:kern w:val="2"/>
                      <w:sz w:val="21"/>
                      <w:szCs w:val="21"/>
                      <w:lang w:val="en-US" w:eastAsia="zh-CN" w:bidi="ar-SA"/>
                    </w:rPr>
                  </w:pPr>
                </w:p>
              </w:tc>
              <w:tc>
                <w:tcPr>
                  <w:tcW w:w="342" w:type="pct"/>
                  <w:tcBorders>
                    <w:tl2br w:val="nil"/>
                    <w:tr2bl w:val="nil"/>
                  </w:tcBorders>
                  <w:noWrap w:val="0"/>
                  <w:vAlign w:val="center"/>
                </w:tcPr>
                <w:p w14:paraId="33ACF753">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444" w:type="pct"/>
                  <w:tcBorders>
                    <w:tl2br w:val="nil"/>
                    <w:tr2bl w:val="nil"/>
                  </w:tcBorders>
                  <w:noWrap w:val="0"/>
                  <w:vAlign w:val="center"/>
                </w:tcPr>
                <w:p w14:paraId="42FC6DF6">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822" w:type="pct"/>
                  <w:tcBorders>
                    <w:tl2br w:val="nil"/>
                    <w:tr2bl w:val="nil"/>
                  </w:tcBorders>
                  <w:noWrap w:val="0"/>
                  <w:vAlign w:val="center"/>
                </w:tcPr>
                <w:p w14:paraId="0E3BAB89">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900-218-08</w:t>
                  </w:r>
                </w:p>
              </w:tc>
              <w:tc>
                <w:tcPr>
                  <w:tcW w:w="438" w:type="pct"/>
                  <w:tcBorders>
                    <w:tl2br w:val="nil"/>
                    <w:tr2bl w:val="nil"/>
                  </w:tcBorders>
                  <w:noWrap w:val="0"/>
                  <w:vAlign w:val="center"/>
                </w:tcPr>
                <w:p w14:paraId="70D4DA16">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536" w:type="pct"/>
                  <w:tcBorders>
                    <w:tl2br w:val="nil"/>
                    <w:tr2bl w:val="nil"/>
                  </w:tcBorders>
                  <w:noWrap w:val="0"/>
                  <w:vAlign w:val="center"/>
                </w:tcPr>
                <w:p w14:paraId="6299EE83">
                  <w:pPr>
                    <w:adjustRightInd w:val="0"/>
                    <w:snapToGrid w:val="0"/>
                    <w:jc w:val="center"/>
                    <w:rPr>
                      <w:rFonts w:hint="eastAsia"/>
                      <w:color w:val="auto"/>
                      <w:sz w:val="21"/>
                      <w:szCs w:val="21"/>
                      <w:lang w:val="en-US" w:eastAsia="zh-CN"/>
                    </w:rPr>
                  </w:pPr>
                  <w:r>
                    <w:rPr>
                      <w:rFonts w:hint="eastAsia"/>
                      <w:color w:val="auto"/>
                      <w:sz w:val="21"/>
                      <w:szCs w:val="21"/>
                      <w:lang w:val="en-US" w:eastAsia="zh-CN"/>
                    </w:rPr>
                    <w:t>桶装封存</w:t>
                  </w:r>
                </w:p>
              </w:tc>
              <w:tc>
                <w:tcPr>
                  <w:tcW w:w="457" w:type="pct"/>
                  <w:tcBorders>
                    <w:tl2br w:val="nil"/>
                    <w:tr2bl w:val="nil"/>
                  </w:tcBorders>
                  <w:noWrap w:val="0"/>
                  <w:vAlign w:val="center"/>
                </w:tcPr>
                <w:p w14:paraId="50CDEB07">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810" w:type="pct"/>
                  <w:vMerge w:val="continue"/>
                  <w:tcBorders>
                    <w:tl2br w:val="nil"/>
                    <w:tr2bl w:val="nil"/>
                  </w:tcBorders>
                  <w:noWrap w:val="0"/>
                  <w:vAlign w:val="center"/>
                </w:tcPr>
                <w:p w14:paraId="51F7D579">
                  <w:pPr>
                    <w:adjustRightInd w:val="0"/>
                    <w:snapToGrid w:val="0"/>
                    <w:jc w:val="center"/>
                    <w:rPr>
                      <w:rFonts w:hint="eastAsia"/>
                      <w:color w:val="auto"/>
                      <w:sz w:val="21"/>
                      <w:szCs w:val="21"/>
                      <w:lang w:val="en-US" w:eastAsia="zh-CN"/>
                    </w:rPr>
                  </w:pPr>
                </w:p>
              </w:tc>
            </w:tr>
            <w:tr w14:paraId="3C44B5E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3954EA60">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648" w:type="pct"/>
                  <w:tcBorders>
                    <w:tl2br w:val="nil"/>
                    <w:tr2bl w:val="nil"/>
                  </w:tcBorders>
                  <w:noWrap w:val="0"/>
                  <w:vAlign w:val="center"/>
                </w:tcPr>
                <w:p w14:paraId="7B5C3F05">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废润滑油</w:t>
                  </w:r>
                </w:p>
              </w:tc>
              <w:tc>
                <w:tcPr>
                  <w:tcW w:w="331" w:type="pct"/>
                  <w:vMerge w:val="continue"/>
                  <w:tcBorders>
                    <w:tl2br w:val="nil"/>
                    <w:tr2bl w:val="nil"/>
                  </w:tcBorders>
                  <w:noWrap w:val="0"/>
                  <w:vAlign w:val="center"/>
                </w:tcPr>
                <w:p w14:paraId="4E7D3419">
                  <w:pPr>
                    <w:adjustRightInd w:val="0"/>
                    <w:snapToGrid w:val="0"/>
                    <w:jc w:val="center"/>
                    <w:rPr>
                      <w:rFonts w:hint="eastAsia" w:cs="Times New Roman"/>
                      <w:color w:val="auto"/>
                      <w:kern w:val="2"/>
                      <w:sz w:val="21"/>
                      <w:szCs w:val="21"/>
                      <w:lang w:val="en-US" w:eastAsia="zh-CN" w:bidi="ar-SA"/>
                    </w:rPr>
                  </w:pPr>
                </w:p>
              </w:tc>
              <w:tc>
                <w:tcPr>
                  <w:tcW w:w="342" w:type="pct"/>
                  <w:tcBorders>
                    <w:tl2br w:val="nil"/>
                    <w:tr2bl w:val="nil"/>
                  </w:tcBorders>
                  <w:noWrap w:val="0"/>
                  <w:vAlign w:val="center"/>
                </w:tcPr>
                <w:p w14:paraId="0CC7CC59">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444" w:type="pct"/>
                  <w:tcBorders>
                    <w:tl2br w:val="nil"/>
                    <w:tr2bl w:val="nil"/>
                  </w:tcBorders>
                  <w:noWrap w:val="0"/>
                  <w:vAlign w:val="center"/>
                </w:tcPr>
                <w:p w14:paraId="75239384">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822" w:type="pct"/>
                  <w:tcBorders>
                    <w:tl2br w:val="nil"/>
                    <w:tr2bl w:val="nil"/>
                  </w:tcBorders>
                  <w:noWrap w:val="0"/>
                  <w:vAlign w:val="center"/>
                </w:tcPr>
                <w:p w14:paraId="5B5FBD68">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900-217-08</w:t>
                  </w:r>
                </w:p>
              </w:tc>
              <w:tc>
                <w:tcPr>
                  <w:tcW w:w="438" w:type="pct"/>
                  <w:tcBorders>
                    <w:tl2br w:val="nil"/>
                    <w:tr2bl w:val="nil"/>
                  </w:tcBorders>
                  <w:noWrap w:val="0"/>
                  <w:vAlign w:val="center"/>
                </w:tcPr>
                <w:p w14:paraId="05253D70">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0.7</w:t>
                  </w:r>
                </w:p>
              </w:tc>
              <w:tc>
                <w:tcPr>
                  <w:tcW w:w="536" w:type="pct"/>
                  <w:tcBorders>
                    <w:tl2br w:val="nil"/>
                    <w:tr2bl w:val="nil"/>
                  </w:tcBorders>
                  <w:noWrap w:val="0"/>
                  <w:vAlign w:val="center"/>
                </w:tcPr>
                <w:p w14:paraId="5A36F97D">
                  <w:pPr>
                    <w:adjustRightInd w:val="0"/>
                    <w:snapToGrid w:val="0"/>
                    <w:jc w:val="center"/>
                    <w:rPr>
                      <w:rFonts w:hint="eastAsia"/>
                      <w:color w:val="auto"/>
                      <w:sz w:val="21"/>
                      <w:szCs w:val="21"/>
                      <w:lang w:val="en-US" w:eastAsia="zh-CN"/>
                    </w:rPr>
                  </w:pPr>
                  <w:r>
                    <w:rPr>
                      <w:rFonts w:hint="eastAsia"/>
                      <w:color w:val="auto"/>
                      <w:sz w:val="21"/>
                      <w:szCs w:val="21"/>
                      <w:lang w:val="en-US" w:eastAsia="zh-CN"/>
                    </w:rPr>
                    <w:t>桶装封存</w:t>
                  </w:r>
                </w:p>
              </w:tc>
              <w:tc>
                <w:tcPr>
                  <w:tcW w:w="457" w:type="pct"/>
                  <w:tcBorders>
                    <w:tl2br w:val="nil"/>
                    <w:tr2bl w:val="nil"/>
                  </w:tcBorders>
                  <w:noWrap w:val="0"/>
                  <w:vAlign w:val="center"/>
                </w:tcPr>
                <w:p w14:paraId="136BBFE8">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0.7</w:t>
                  </w:r>
                </w:p>
              </w:tc>
              <w:tc>
                <w:tcPr>
                  <w:tcW w:w="810" w:type="pct"/>
                  <w:vMerge w:val="continue"/>
                  <w:tcBorders>
                    <w:tl2br w:val="nil"/>
                    <w:tr2bl w:val="nil"/>
                  </w:tcBorders>
                  <w:noWrap w:val="0"/>
                  <w:vAlign w:val="center"/>
                </w:tcPr>
                <w:p w14:paraId="5290139C">
                  <w:pPr>
                    <w:adjustRightInd w:val="0"/>
                    <w:snapToGrid w:val="0"/>
                    <w:jc w:val="center"/>
                    <w:rPr>
                      <w:rFonts w:hint="eastAsia"/>
                      <w:color w:val="auto"/>
                      <w:sz w:val="21"/>
                      <w:szCs w:val="21"/>
                      <w:lang w:val="en-US" w:eastAsia="zh-CN"/>
                    </w:rPr>
                  </w:pPr>
                </w:p>
              </w:tc>
            </w:tr>
            <w:tr w14:paraId="535FF426">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5F2A2405">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648" w:type="pct"/>
                  <w:tcBorders>
                    <w:tl2br w:val="nil"/>
                    <w:tr2bl w:val="nil"/>
                  </w:tcBorders>
                  <w:noWrap w:val="0"/>
                  <w:vAlign w:val="center"/>
                </w:tcPr>
                <w:p w14:paraId="702EC3CF">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废包装桶</w:t>
                  </w:r>
                </w:p>
              </w:tc>
              <w:tc>
                <w:tcPr>
                  <w:tcW w:w="331" w:type="pct"/>
                  <w:vMerge w:val="continue"/>
                  <w:tcBorders>
                    <w:tl2br w:val="nil"/>
                    <w:tr2bl w:val="nil"/>
                  </w:tcBorders>
                  <w:noWrap w:val="0"/>
                  <w:vAlign w:val="center"/>
                </w:tcPr>
                <w:p w14:paraId="2E2F42EC">
                  <w:pPr>
                    <w:adjustRightInd w:val="0"/>
                    <w:snapToGrid w:val="0"/>
                    <w:jc w:val="center"/>
                    <w:rPr>
                      <w:rFonts w:hint="eastAsia" w:cs="Times New Roman"/>
                      <w:color w:val="auto"/>
                      <w:kern w:val="2"/>
                      <w:sz w:val="21"/>
                      <w:szCs w:val="21"/>
                      <w:lang w:val="en-US" w:eastAsia="zh-CN" w:bidi="ar-SA"/>
                    </w:rPr>
                  </w:pPr>
                </w:p>
              </w:tc>
              <w:tc>
                <w:tcPr>
                  <w:tcW w:w="342" w:type="pct"/>
                  <w:tcBorders>
                    <w:tl2br w:val="nil"/>
                    <w:tr2bl w:val="nil"/>
                  </w:tcBorders>
                  <w:noWrap w:val="0"/>
                  <w:vAlign w:val="center"/>
                </w:tcPr>
                <w:p w14:paraId="1FEE1A0E">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T，I</w:t>
                  </w:r>
                </w:p>
              </w:tc>
              <w:tc>
                <w:tcPr>
                  <w:tcW w:w="444" w:type="pct"/>
                  <w:tcBorders>
                    <w:tl2br w:val="nil"/>
                    <w:tr2bl w:val="nil"/>
                  </w:tcBorders>
                  <w:noWrap w:val="0"/>
                  <w:vAlign w:val="center"/>
                </w:tcPr>
                <w:p w14:paraId="47B945E6">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822" w:type="pct"/>
                  <w:tcBorders>
                    <w:tl2br w:val="nil"/>
                    <w:tr2bl w:val="nil"/>
                  </w:tcBorders>
                  <w:noWrap w:val="0"/>
                  <w:vAlign w:val="center"/>
                </w:tcPr>
                <w:p w14:paraId="5AB3BEE5">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900-249-08</w:t>
                  </w:r>
                </w:p>
              </w:tc>
              <w:tc>
                <w:tcPr>
                  <w:tcW w:w="438" w:type="pct"/>
                  <w:tcBorders>
                    <w:tl2br w:val="nil"/>
                    <w:tr2bl w:val="nil"/>
                  </w:tcBorders>
                  <w:noWrap w:val="0"/>
                  <w:vAlign w:val="center"/>
                </w:tcPr>
                <w:p w14:paraId="7BA406DD">
                  <w:pPr>
                    <w:adjustRightInd w:val="0"/>
                    <w:snapToGrid w:val="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0.5</w:t>
                  </w:r>
                </w:p>
              </w:tc>
              <w:tc>
                <w:tcPr>
                  <w:tcW w:w="536" w:type="pct"/>
                  <w:tcBorders>
                    <w:tl2br w:val="nil"/>
                    <w:tr2bl w:val="nil"/>
                  </w:tcBorders>
                  <w:noWrap w:val="0"/>
                  <w:vAlign w:val="center"/>
                </w:tcPr>
                <w:p w14:paraId="474D6FFC">
                  <w:pPr>
                    <w:adjustRightInd w:val="0"/>
                    <w:snapToGrid w:val="0"/>
                    <w:jc w:val="center"/>
                    <w:rPr>
                      <w:rFonts w:hint="default"/>
                      <w:color w:val="auto"/>
                      <w:sz w:val="21"/>
                      <w:szCs w:val="21"/>
                      <w:lang w:val="en-US" w:eastAsia="zh-CN"/>
                    </w:rPr>
                  </w:pPr>
                  <w:r>
                    <w:rPr>
                      <w:rFonts w:hint="eastAsia"/>
                      <w:color w:val="auto"/>
                      <w:sz w:val="21"/>
                      <w:szCs w:val="21"/>
                      <w:lang w:val="en-US" w:eastAsia="zh-CN"/>
                    </w:rPr>
                    <w:t>堆放</w:t>
                  </w:r>
                </w:p>
              </w:tc>
              <w:tc>
                <w:tcPr>
                  <w:tcW w:w="457" w:type="pct"/>
                  <w:tcBorders>
                    <w:tl2br w:val="nil"/>
                    <w:tr2bl w:val="nil"/>
                  </w:tcBorders>
                  <w:noWrap w:val="0"/>
                  <w:vAlign w:val="center"/>
                </w:tcPr>
                <w:p w14:paraId="488AD939">
                  <w:pPr>
                    <w:adjustRightInd w:val="0"/>
                    <w:snapToGrid w:val="0"/>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0.5</w:t>
                  </w:r>
                </w:p>
              </w:tc>
              <w:tc>
                <w:tcPr>
                  <w:tcW w:w="810" w:type="pct"/>
                  <w:vMerge w:val="continue"/>
                  <w:tcBorders>
                    <w:tl2br w:val="nil"/>
                    <w:tr2bl w:val="nil"/>
                  </w:tcBorders>
                  <w:noWrap w:val="0"/>
                  <w:vAlign w:val="center"/>
                </w:tcPr>
                <w:p w14:paraId="792499F4">
                  <w:pPr>
                    <w:adjustRightInd w:val="0"/>
                    <w:snapToGrid w:val="0"/>
                    <w:jc w:val="center"/>
                    <w:rPr>
                      <w:rFonts w:hint="eastAsia"/>
                      <w:color w:val="auto"/>
                      <w:sz w:val="21"/>
                      <w:szCs w:val="21"/>
                      <w:lang w:val="en-US" w:eastAsia="zh-CN"/>
                    </w:rPr>
                  </w:pPr>
                </w:p>
              </w:tc>
            </w:tr>
            <w:tr w14:paraId="0C1502E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363" w:hRule="atLeast"/>
                <w:jc w:val="center"/>
              </w:trPr>
              <w:tc>
                <w:tcPr>
                  <w:tcW w:w="166" w:type="pct"/>
                  <w:tcBorders>
                    <w:tl2br w:val="nil"/>
                    <w:tr2bl w:val="nil"/>
                  </w:tcBorders>
                  <w:noWrap w:val="0"/>
                  <w:vAlign w:val="center"/>
                </w:tcPr>
                <w:p w14:paraId="027BA46A">
                  <w:pPr>
                    <w:adjustRightInd w:val="0"/>
                    <w:snapToGrid w:val="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648" w:type="pct"/>
                  <w:tcBorders>
                    <w:tl2br w:val="nil"/>
                    <w:tr2bl w:val="nil"/>
                  </w:tcBorders>
                  <w:noWrap w:val="0"/>
                  <w:vAlign w:val="center"/>
                </w:tcPr>
                <w:p w14:paraId="64FFC4DF">
                  <w:pPr>
                    <w:widowControl/>
                    <w:jc w:val="center"/>
                    <w:textAlignment w:val="center"/>
                    <w:rPr>
                      <w:rFonts w:hint="eastAsia" w:cs="Times New Roman"/>
                      <w:color w:val="auto"/>
                      <w:kern w:val="0"/>
                      <w:sz w:val="21"/>
                      <w:szCs w:val="21"/>
                      <w:lang w:val="en-US" w:eastAsia="zh-CN" w:bidi="ar-SA"/>
                    </w:rPr>
                  </w:pPr>
                  <w:r>
                    <w:rPr>
                      <w:rFonts w:hint="eastAsia" w:cs="Times New Roman"/>
                      <w:color w:val="auto"/>
                      <w:kern w:val="0"/>
                      <w:sz w:val="21"/>
                      <w:szCs w:val="21"/>
                      <w:lang w:val="en-US" w:eastAsia="zh-CN" w:bidi="ar-SA"/>
                    </w:rPr>
                    <w:t>含油抹布手套</w:t>
                  </w:r>
                </w:p>
              </w:tc>
              <w:tc>
                <w:tcPr>
                  <w:tcW w:w="331" w:type="pct"/>
                  <w:vMerge w:val="continue"/>
                  <w:tcBorders>
                    <w:tl2br w:val="nil"/>
                    <w:tr2bl w:val="nil"/>
                  </w:tcBorders>
                  <w:noWrap w:val="0"/>
                  <w:vAlign w:val="center"/>
                </w:tcPr>
                <w:p w14:paraId="03E5A5B8">
                  <w:pPr>
                    <w:adjustRightInd w:val="0"/>
                    <w:snapToGrid w:val="0"/>
                    <w:jc w:val="center"/>
                    <w:rPr>
                      <w:rFonts w:hint="eastAsia" w:cs="Times New Roman"/>
                      <w:color w:val="auto"/>
                      <w:kern w:val="2"/>
                      <w:sz w:val="21"/>
                      <w:szCs w:val="21"/>
                      <w:lang w:val="en-US" w:eastAsia="zh-CN" w:bidi="ar-SA"/>
                    </w:rPr>
                  </w:pPr>
                </w:p>
              </w:tc>
              <w:tc>
                <w:tcPr>
                  <w:tcW w:w="342" w:type="pct"/>
                  <w:tcBorders>
                    <w:tl2br w:val="nil"/>
                    <w:tr2bl w:val="nil"/>
                  </w:tcBorders>
                  <w:noWrap w:val="0"/>
                  <w:vAlign w:val="center"/>
                </w:tcPr>
                <w:p w14:paraId="13895885">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T/In</w:t>
                  </w:r>
                </w:p>
              </w:tc>
              <w:tc>
                <w:tcPr>
                  <w:tcW w:w="444" w:type="pct"/>
                  <w:tcBorders>
                    <w:tl2br w:val="nil"/>
                    <w:tr2bl w:val="nil"/>
                  </w:tcBorders>
                  <w:noWrap w:val="0"/>
                  <w:vAlign w:val="center"/>
                </w:tcPr>
                <w:p w14:paraId="71C619BF">
                  <w:pPr>
                    <w:adjustRightInd w:val="0"/>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rPr>
                    <w:t>HW49</w:t>
                  </w:r>
                </w:p>
              </w:tc>
              <w:tc>
                <w:tcPr>
                  <w:tcW w:w="822" w:type="pct"/>
                  <w:tcBorders>
                    <w:tl2br w:val="nil"/>
                    <w:tr2bl w:val="nil"/>
                  </w:tcBorders>
                  <w:noWrap w:val="0"/>
                  <w:vAlign w:val="center"/>
                </w:tcPr>
                <w:p w14:paraId="192786E4">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900-041-49</w:t>
                  </w:r>
                </w:p>
              </w:tc>
              <w:tc>
                <w:tcPr>
                  <w:tcW w:w="438" w:type="pct"/>
                  <w:tcBorders>
                    <w:tl2br w:val="nil"/>
                    <w:tr2bl w:val="nil"/>
                  </w:tcBorders>
                  <w:noWrap w:val="0"/>
                  <w:vAlign w:val="center"/>
                </w:tcPr>
                <w:p w14:paraId="68E8B143">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0.1</w:t>
                  </w:r>
                </w:p>
              </w:tc>
              <w:tc>
                <w:tcPr>
                  <w:tcW w:w="536" w:type="pct"/>
                  <w:tcBorders>
                    <w:tl2br w:val="nil"/>
                    <w:tr2bl w:val="nil"/>
                  </w:tcBorders>
                  <w:noWrap w:val="0"/>
                  <w:vAlign w:val="center"/>
                </w:tcPr>
                <w:p w14:paraId="291713E7">
                  <w:pPr>
                    <w:adjustRightInd w:val="0"/>
                    <w:snapToGrid w:val="0"/>
                    <w:jc w:val="center"/>
                    <w:rPr>
                      <w:rFonts w:hint="default"/>
                      <w:color w:val="auto"/>
                      <w:sz w:val="21"/>
                      <w:szCs w:val="21"/>
                      <w:lang w:val="en-US" w:eastAsia="zh-CN"/>
                    </w:rPr>
                  </w:pPr>
                  <w:r>
                    <w:rPr>
                      <w:rFonts w:hint="eastAsia"/>
                      <w:color w:val="auto"/>
                      <w:sz w:val="21"/>
                      <w:szCs w:val="21"/>
                      <w:lang w:val="en-US" w:eastAsia="zh-CN"/>
                    </w:rPr>
                    <w:t>袋装</w:t>
                  </w:r>
                </w:p>
              </w:tc>
              <w:tc>
                <w:tcPr>
                  <w:tcW w:w="457" w:type="pct"/>
                  <w:tcBorders>
                    <w:tl2br w:val="nil"/>
                    <w:tr2bl w:val="nil"/>
                  </w:tcBorders>
                  <w:noWrap w:val="0"/>
                  <w:vAlign w:val="center"/>
                </w:tcPr>
                <w:p w14:paraId="638E3957">
                  <w:pPr>
                    <w:adjustRightInd w:val="0"/>
                    <w:snapToGrid w:val="0"/>
                    <w:jc w:val="center"/>
                    <w:textAlignment w:val="baseline"/>
                    <w:rPr>
                      <w:rFonts w:hint="default"/>
                      <w:color w:val="auto"/>
                      <w:sz w:val="21"/>
                      <w:szCs w:val="21"/>
                      <w:lang w:val="en-US" w:eastAsia="zh-CN"/>
                    </w:rPr>
                  </w:pPr>
                  <w:r>
                    <w:rPr>
                      <w:rFonts w:hint="eastAsia"/>
                      <w:color w:val="auto"/>
                      <w:sz w:val="21"/>
                      <w:szCs w:val="21"/>
                      <w:lang w:val="en-US" w:eastAsia="zh-CN"/>
                    </w:rPr>
                    <w:t>0.1</w:t>
                  </w:r>
                </w:p>
              </w:tc>
              <w:tc>
                <w:tcPr>
                  <w:tcW w:w="810" w:type="pct"/>
                  <w:vMerge w:val="continue"/>
                  <w:tcBorders>
                    <w:tl2br w:val="nil"/>
                    <w:tr2bl w:val="nil"/>
                  </w:tcBorders>
                  <w:noWrap w:val="0"/>
                  <w:vAlign w:val="center"/>
                </w:tcPr>
                <w:p w14:paraId="39414231">
                  <w:pPr>
                    <w:adjustRightInd w:val="0"/>
                    <w:snapToGrid w:val="0"/>
                    <w:jc w:val="center"/>
                    <w:rPr>
                      <w:rFonts w:hint="eastAsia"/>
                      <w:color w:val="auto"/>
                      <w:sz w:val="21"/>
                      <w:szCs w:val="21"/>
                      <w:lang w:val="en-US" w:eastAsia="zh-CN"/>
                    </w:rPr>
                  </w:pPr>
                </w:p>
              </w:tc>
            </w:tr>
          </w:tbl>
          <w:p w14:paraId="683439CC">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cs="Times New Roman"/>
                <w:b/>
                <w:bCs/>
                <w:color w:val="auto"/>
                <w:sz w:val="21"/>
                <w:szCs w:val="21"/>
                <w:lang w:val="en-US" w:eastAsia="zh-CN"/>
              </w:rPr>
              <w:t>20</w:t>
            </w:r>
            <w:r>
              <w:rPr>
                <w:rFonts w:hint="default" w:ascii="Times New Roman" w:hAnsi="Times New Roman" w:eastAsia="宋体" w:cs="Times New Roman"/>
                <w:b/>
                <w:bCs/>
                <w:color w:val="auto"/>
                <w:sz w:val="21"/>
                <w:szCs w:val="21"/>
              </w:rPr>
              <w:t xml:space="preserve">  建设项目危险废物贮存场所（设施）基本情况表</w:t>
            </w:r>
          </w:p>
          <w:tbl>
            <w:tblPr>
              <w:tblStyle w:val="42"/>
              <w:tblW w:w="4996"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42"/>
              <w:gridCol w:w="939"/>
              <w:gridCol w:w="1250"/>
              <w:gridCol w:w="867"/>
              <w:gridCol w:w="1203"/>
              <w:gridCol w:w="603"/>
              <w:gridCol w:w="677"/>
              <w:gridCol w:w="939"/>
              <w:gridCol w:w="627"/>
              <w:gridCol w:w="719"/>
            </w:tblGrid>
            <w:tr w14:paraId="20A9537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67" w:type="pct"/>
                  <w:noWrap w:val="0"/>
                  <w:vAlign w:val="center"/>
                </w:tcPr>
                <w:p w14:paraId="58FF8A19">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567" w:type="pct"/>
                  <w:noWrap w:val="0"/>
                  <w:vAlign w:val="center"/>
                </w:tcPr>
                <w:p w14:paraId="6371E6A3">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贮存场所（设施）名称</w:t>
                  </w:r>
                </w:p>
              </w:tc>
              <w:tc>
                <w:tcPr>
                  <w:tcW w:w="756" w:type="pct"/>
                  <w:noWrap w:val="0"/>
                  <w:vAlign w:val="center"/>
                </w:tcPr>
                <w:p w14:paraId="29FB5DE3">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危险废物名称</w:t>
                  </w:r>
                </w:p>
              </w:tc>
              <w:tc>
                <w:tcPr>
                  <w:tcW w:w="524" w:type="pct"/>
                  <w:noWrap w:val="0"/>
                  <w:vAlign w:val="center"/>
                </w:tcPr>
                <w:p w14:paraId="00C9E247">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危险废物类别</w:t>
                  </w:r>
                </w:p>
              </w:tc>
              <w:tc>
                <w:tcPr>
                  <w:tcW w:w="727" w:type="pct"/>
                  <w:noWrap w:val="0"/>
                  <w:vAlign w:val="center"/>
                </w:tcPr>
                <w:p w14:paraId="6E755EBD">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危险废物代码</w:t>
                  </w:r>
                </w:p>
              </w:tc>
              <w:tc>
                <w:tcPr>
                  <w:tcW w:w="364" w:type="pct"/>
                  <w:noWrap w:val="0"/>
                  <w:vAlign w:val="center"/>
                </w:tcPr>
                <w:p w14:paraId="59074916">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位置</w:t>
                  </w:r>
                </w:p>
              </w:tc>
              <w:tc>
                <w:tcPr>
                  <w:tcW w:w="409" w:type="pct"/>
                  <w:noWrap w:val="0"/>
                  <w:vAlign w:val="center"/>
                </w:tcPr>
                <w:p w14:paraId="2BB92FEA">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占地面积</w:t>
                  </w:r>
                </w:p>
              </w:tc>
              <w:tc>
                <w:tcPr>
                  <w:tcW w:w="567" w:type="pct"/>
                  <w:noWrap w:val="0"/>
                  <w:vAlign w:val="center"/>
                </w:tcPr>
                <w:p w14:paraId="594FED7D">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贮存方式</w:t>
                  </w:r>
                </w:p>
              </w:tc>
              <w:tc>
                <w:tcPr>
                  <w:tcW w:w="379" w:type="pct"/>
                  <w:noWrap w:val="0"/>
                  <w:vAlign w:val="center"/>
                </w:tcPr>
                <w:p w14:paraId="1FD33179">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贮存能力</w:t>
                  </w:r>
                </w:p>
              </w:tc>
              <w:tc>
                <w:tcPr>
                  <w:tcW w:w="434" w:type="pct"/>
                  <w:noWrap w:val="0"/>
                  <w:vAlign w:val="center"/>
                </w:tcPr>
                <w:p w14:paraId="54E3F13D">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w:t>
                  </w:r>
                </w:p>
                <w:p w14:paraId="6B12C4AD">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周期</w:t>
                  </w:r>
                </w:p>
              </w:tc>
            </w:tr>
            <w:tr w14:paraId="6D4FA75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67" w:type="pct"/>
                  <w:noWrap w:val="0"/>
                  <w:vAlign w:val="center"/>
                </w:tcPr>
                <w:p w14:paraId="2DCBD544">
                  <w:pPr>
                    <w:widowControl/>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567" w:type="pct"/>
                  <w:vMerge w:val="restart"/>
                  <w:noWrap w:val="0"/>
                  <w:vAlign w:val="center"/>
                </w:tcPr>
                <w:p w14:paraId="75BFD2BF">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危废仓库</w:t>
                  </w:r>
                </w:p>
              </w:tc>
              <w:tc>
                <w:tcPr>
                  <w:tcW w:w="756" w:type="pct"/>
                  <w:noWrap w:val="0"/>
                  <w:vAlign w:val="center"/>
                </w:tcPr>
                <w:p w14:paraId="674CD1D5">
                  <w:pPr>
                    <w:widowControl/>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废切削液</w:t>
                  </w:r>
                </w:p>
              </w:tc>
              <w:tc>
                <w:tcPr>
                  <w:tcW w:w="524" w:type="pct"/>
                  <w:noWrap w:val="0"/>
                  <w:vAlign w:val="center"/>
                </w:tcPr>
                <w:p w14:paraId="17DD5250">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HW09</w:t>
                  </w:r>
                </w:p>
              </w:tc>
              <w:tc>
                <w:tcPr>
                  <w:tcW w:w="727" w:type="pct"/>
                  <w:noWrap w:val="0"/>
                  <w:vAlign w:val="center"/>
                </w:tcPr>
                <w:p w14:paraId="07C18AC8">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900-006-09</w:t>
                  </w:r>
                </w:p>
              </w:tc>
              <w:tc>
                <w:tcPr>
                  <w:tcW w:w="364" w:type="pct"/>
                  <w:vMerge w:val="restart"/>
                  <w:noWrap w:val="0"/>
                  <w:vAlign w:val="center"/>
                </w:tcPr>
                <w:p w14:paraId="15EBF93A">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厂内</w:t>
                  </w:r>
                </w:p>
              </w:tc>
              <w:tc>
                <w:tcPr>
                  <w:tcW w:w="409" w:type="pct"/>
                  <w:vMerge w:val="restart"/>
                  <w:noWrap w:val="0"/>
                  <w:vAlign w:val="center"/>
                </w:tcPr>
                <w:p w14:paraId="084D3A43">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567" w:type="pct"/>
                  <w:noWrap w:val="0"/>
                  <w:vAlign w:val="center"/>
                </w:tcPr>
                <w:p w14:paraId="08E6FCB3">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废液桶</w:t>
                  </w:r>
                </w:p>
              </w:tc>
              <w:tc>
                <w:tcPr>
                  <w:tcW w:w="379" w:type="pct"/>
                  <w:vMerge w:val="restart"/>
                  <w:noWrap w:val="0"/>
                  <w:vAlign w:val="center"/>
                </w:tcPr>
                <w:p w14:paraId="55BD84DB">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w:t>
                  </w:r>
                  <w:r>
                    <w:rPr>
                      <w:rFonts w:hint="eastAsia" w:eastAsia="宋体" w:cs="Times New Roman"/>
                      <w:color w:val="auto"/>
                      <w:sz w:val="21"/>
                      <w:szCs w:val="21"/>
                      <w:lang w:val="en-US" w:eastAsia="zh-CN"/>
                    </w:rPr>
                    <w:t>t</w:t>
                  </w:r>
                </w:p>
              </w:tc>
              <w:tc>
                <w:tcPr>
                  <w:tcW w:w="434" w:type="pct"/>
                  <w:vMerge w:val="restart"/>
                  <w:noWrap w:val="0"/>
                  <w:vAlign w:val="center"/>
                </w:tcPr>
                <w:p w14:paraId="29DE42DF">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3个月</w:t>
                  </w:r>
                </w:p>
              </w:tc>
            </w:tr>
            <w:tr w14:paraId="7FC4F12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67" w:type="pct"/>
                  <w:noWrap w:val="0"/>
                  <w:vAlign w:val="center"/>
                </w:tcPr>
                <w:p w14:paraId="7A725BD0">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567" w:type="pct"/>
                  <w:vMerge w:val="continue"/>
                  <w:noWrap w:val="0"/>
                  <w:vAlign w:val="center"/>
                </w:tcPr>
                <w:p w14:paraId="47004022">
                  <w:pPr>
                    <w:widowControl/>
                    <w:jc w:val="center"/>
                    <w:textAlignment w:val="center"/>
                    <w:rPr>
                      <w:rFonts w:hint="eastAsia" w:ascii="Times New Roman" w:hAnsi="Times New Roman" w:eastAsia="宋体" w:cs="Times New Roman"/>
                      <w:color w:val="auto"/>
                      <w:sz w:val="21"/>
                      <w:szCs w:val="21"/>
                      <w:lang w:val="en-US" w:eastAsia="zh-CN"/>
                    </w:rPr>
                  </w:pPr>
                </w:p>
              </w:tc>
              <w:tc>
                <w:tcPr>
                  <w:tcW w:w="756" w:type="pct"/>
                  <w:noWrap w:val="0"/>
                  <w:vAlign w:val="center"/>
                </w:tcPr>
                <w:p w14:paraId="108E21B3">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废液压油</w:t>
                  </w:r>
                </w:p>
              </w:tc>
              <w:tc>
                <w:tcPr>
                  <w:tcW w:w="524" w:type="pct"/>
                  <w:noWrap w:val="0"/>
                  <w:vAlign w:val="center"/>
                </w:tcPr>
                <w:p w14:paraId="0932DB7D">
                  <w:pPr>
                    <w:topLinePunct/>
                    <w:adjustRightInd w:val="0"/>
                    <w:snapToGrid w:val="0"/>
                    <w:ind w:left="-73" w:leftChars="-35" w:right="-73" w:rightChars="-35"/>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727" w:type="pct"/>
                  <w:noWrap w:val="0"/>
                  <w:vAlign w:val="center"/>
                </w:tcPr>
                <w:p w14:paraId="3E8EF65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900-218-08</w:t>
                  </w:r>
                </w:p>
              </w:tc>
              <w:tc>
                <w:tcPr>
                  <w:tcW w:w="364" w:type="pct"/>
                  <w:vMerge w:val="continue"/>
                  <w:noWrap w:val="0"/>
                  <w:vAlign w:val="center"/>
                </w:tcPr>
                <w:p w14:paraId="5D802DE0">
                  <w:pPr>
                    <w:widowControl/>
                    <w:jc w:val="center"/>
                    <w:textAlignment w:val="center"/>
                    <w:rPr>
                      <w:rFonts w:hint="default" w:ascii="Times New Roman" w:hAnsi="Times New Roman" w:eastAsia="宋体" w:cs="Times New Roman"/>
                      <w:color w:val="auto"/>
                      <w:sz w:val="21"/>
                      <w:szCs w:val="21"/>
                      <w:lang w:val="en-US" w:eastAsia="zh-CN"/>
                    </w:rPr>
                  </w:pPr>
                </w:p>
              </w:tc>
              <w:tc>
                <w:tcPr>
                  <w:tcW w:w="409" w:type="pct"/>
                  <w:vMerge w:val="continue"/>
                  <w:noWrap w:val="0"/>
                  <w:vAlign w:val="center"/>
                </w:tcPr>
                <w:p w14:paraId="2024A5C8">
                  <w:pPr>
                    <w:widowControl/>
                    <w:jc w:val="center"/>
                    <w:textAlignment w:val="center"/>
                    <w:rPr>
                      <w:rFonts w:hint="eastAsia" w:ascii="Times New Roman" w:hAnsi="Times New Roman" w:eastAsia="宋体" w:cs="Times New Roman"/>
                      <w:color w:val="auto"/>
                      <w:sz w:val="21"/>
                      <w:szCs w:val="21"/>
                      <w:lang w:val="en-US" w:eastAsia="zh-CN"/>
                    </w:rPr>
                  </w:pPr>
                </w:p>
              </w:tc>
              <w:tc>
                <w:tcPr>
                  <w:tcW w:w="567" w:type="pct"/>
                  <w:noWrap w:val="0"/>
                  <w:vAlign w:val="center"/>
                </w:tcPr>
                <w:p w14:paraId="434A444C">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废液桶</w:t>
                  </w:r>
                </w:p>
              </w:tc>
              <w:tc>
                <w:tcPr>
                  <w:tcW w:w="379" w:type="pct"/>
                  <w:vMerge w:val="continue"/>
                  <w:noWrap w:val="0"/>
                  <w:vAlign w:val="center"/>
                </w:tcPr>
                <w:p w14:paraId="11559614">
                  <w:pPr>
                    <w:widowControl/>
                    <w:jc w:val="center"/>
                    <w:textAlignment w:val="center"/>
                    <w:rPr>
                      <w:rFonts w:hint="eastAsia" w:ascii="Times New Roman" w:hAnsi="Times New Roman" w:eastAsia="宋体" w:cs="Times New Roman"/>
                      <w:color w:val="auto"/>
                      <w:sz w:val="21"/>
                      <w:szCs w:val="21"/>
                      <w:lang w:val="en-US" w:eastAsia="zh-CN"/>
                    </w:rPr>
                  </w:pPr>
                </w:p>
              </w:tc>
              <w:tc>
                <w:tcPr>
                  <w:tcW w:w="434" w:type="pct"/>
                  <w:vMerge w:val="continue"/>
                  <w:noWrap w:val="0"/>
                  <w:vAlign w:val="center"/>
                </w:tcPr>
                <w:p w14:paraId="67A10BE0">
                  <w:pPr>
                    <w:widowControl/>
                    <w:jc w:val="center"/>
                    <w:textAlignment w:val="center"/>
                    <w:rPr>
                      <w:rFonts w:hint="default" w:ascii="Times New Roman" w:hAnsi="Times New Roman" w:eastAsia="宋体" w:cs="Times New Roman"/>
                      <w:color w:val="auto"/>
                      <w:sz w:val="21"/>
                      <w:szCs w:val="21"/>
                      <w:lang w:val="en-US" w:eastAsia="zh-CN"/>
                    </w:rPr>
                  </w:pPr>
                </w:p>
              </w:tc>
            </w:tr>
            <w:tr w14:paraId="4772A82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267" w:type="pct"/>
                  <w:noWrap w:val="0"/>
                  <w:vAlign w:val="center"/>
                </w:tcPr>
                <w:p w14:paraId="762E2206">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567" w:type="pct"/>
                  <w:vMerge w:val="continue"/>
                  <w:noWrap w:val="0"/>
                  <w:vAlign w:val="center"/>
                </w:tcPr>
                <w:p w14:paraId="7C4D8B4F">
                  <w:pPr>
                    <w:widowControl/>
                    <w:jc w:val="center"/>
                    <w:textAlignment w:val="center"/>
                    <w:rPr>
                      <w:rFonts w:hint="default" w:ascii="Times New Roman" w:hAnsi="Times New Roman" w:eastAsia="宋体" w:cs="Times New Roman"/>
                      <w:color w:val="auto"/>
                      <w:sz w:val="21"/>
                      <w:szCs w:val="21"/>
                      <w:lang w:val="en-US" w:eastAsia="zh-CN"/>
                    </w:rPr>
                  </w:pPr>
                </w:p>
              </w:tc>
              <w:tc>
                <w:tcPr>
                  <w:tcW w:w="756" w:type="pct"/>
                  <w:noWrap w:val="0"/>
                  <w:vAlign w:val="center"/>
                </w:tcPr>
                <w:p w14:paraId="3518904F">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废润滑油</w:t>
                  </w:r>
                </w:p>
              </w:tc>
              <w:tc>
                <w:tcPr>
                  <w:tcW w:w="524" w:type="pct"/>
                  <w:noWrap w:val="0"/>
                  <w:vAlign w:val="center"/>
                </w:tcPr>
                <w:p w14:paraId="67BE6C8E">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727" w:type="pct"/>
                  <w:noWrap w:val="0"/>
                  <w:vAlign w:val="center"/>
                </w:tcPr>
                <w:p w14:paraId="08785FB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900-217-08</w:t>
                  </w:r>
                </w:p>
              </w:tc>
              <w:tc>
                <w:tcPr>
                  <w:tcW w:w="364" w:type="pct"/>
                  <w:vMerge w:val="continue"/>
                  <w:noWrap w:val="0"/>
                  <w:vAlign w:val="center"/>
                </w:tcPr>
                <w:p w14:paraId="186E7342">
                  <w:pPr>
                    <w:widowControl/>
                    <w:jc w:val="center"/>
                    <w:textAlignment w:val="center"/>
                    <w:rPr>
                      <w:rFonts w:hint="default" w:ascii="Times New Roman" w:hAnsi="Times New Roman" w:eastAsia="宋体" w:cs="Times New Roman"/>
                      <w:color w:val="auto"/>
                      <w:sz w:val="21"/>
                      <w:szCs w:val="21"/>
                      <w:lang w:val="en-US" w:eastAsia="zh-CN"/>
                    </w:rPr>
                  </w:pPr>
                </w:p>
              </w:tc>
              <w:tc>
                <w:tcPr>
                  <w:tcW w:w="409" w:type="pct"/>
                  <w:vMerge w:val="continue"/>
                  <w:noWrap w:val="0"/>
                  <w:vAlign w:val="center"/>
                </w:tcPr>
                <w:p w14:paraId="422D83E8">
                  <w:pPr>
                    <w:widowControl/>
                    <w:jc w:val="center"/>
                    <w:textAlignment w:val="center"/>
                    <w:rPr>
                      <w:rFonts w:hint="default" w:ascii="Times New Roman" w:hAnsi="Times New Roman" w:eastAsia="宋体" w:cs="Times New Roman"/>
                      <w:color w:val="auto"/>
                      <w:sz w:val="21"/>
                      <w:szCs w:val="21"/>
                      <w:lang w:val="en-US" w:eastAsia="zh-CN"/>
                    </w:rPr>
                  </w:pPr>
                </w:p>
              </w:tc>
              <w:tc>
                <w:tcPr>
                  <w:tcW w:w="567" w:type="pct"/>
                  <w:noWrap w:val="0"/>
                  <w:vAlign w:val="center"/>
                </w:tcPr>
                <w:p w14:paraId="6EC90519">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废液桶</w:t>
                  </w:r>
                </w:p>
              </w:tc>
              <w:tc>
                <w:tcPr>
                  <w:tcW w:w="379" w:type="pct"/>
                  <w:vMerge w:val="continue"/>
                  <w:noWrap w:val="0"/>
                  <w:vAlign w:val="center"/>
                </w:tcPr>
                <w:p w14:paraId="3355ECC5">
                  <w:pPr>
                    <w:widowControl/>
                    <w:jc w:val="center"/>
                    <w:textAlignment w:val="center"/>
                    <w:rPr>
                      <w:rFonts w:hint="default" w:ascii="Times New Roman" w:hAnsi="Times New Roman" w:eastAsia="宋体" w:cs="Times New Roman"/>
                      <w:color w:val="auto"/>
                      <w:sz w:val="21"/>
                      <w:szCs w:val="21"/>
                      <w:lang w:val="en-US" w:eastAsia="zh-CN"/>
                    </w:rPr>
                  </w:pPr>
                </w:p>
              </w:tc>
              <w:tc>
                <w:tcPr>
                  <w:tcW w:w="434" w:type="pct"/>
                  <w:vMerge w:val="continue"/>
                  <w:noWrap w:val="0"/>
                  <w:vAlign w:val="center"/>
                </w:tcPr>
                <w:p w14:paraId="0AB4CA9E">
                  <w:pPr>
                    <w:widowControl/>
                    <w:jc w:val="center"/>
                    <w:textAlignment w:val="center"/>
                    <w:rPr>
                      <w:rFonts w:hint="default" w:ascii="Times New Roman" w:hAnsi="Times New Roman" w:eastAsia="宋体" w:cs="Times New Roman"/>
                      <w:color w:val="auto"/>
                      <w:sz w:val="21"/>
                      <w:szCs w:val="21"/>
                      <w:lang w:val="en-US" w:eastAsia="zh-CN"/>
                    </w:rPr>
                  </w:pPr>
                </w:p>
              </w:tc>
            </w:tr>
            <w:tr w14:paraId="501F1D1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83" w:hRule="atLeast"/>
                <w:jc w:val="center"/>
              </w:trPr>
              <w:tc>
                <w:tcPr>
                  <w:tcW w:w="267" w:type="pct"/>
                  <w:noWrap w:val="0"/>
                  <w:vAlign w:val="center"/>
                </w:tcPr>
                <w:p w14:paraId="4CBF1C5F">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567" w:type="pct"/>
                  <w:vMerge w:val="continue"/>
                  <w:noWrap w:val="0"/>
                  <w:vAlign w:val="center"/>
                </w:tcPr>
                <w:p w14:paraId="0300B96A">
                  <w:pPr>
                    <w:widowControl/>
                    <w:jc w:val="center"/>
                    <w:textAlignment w:val="center"/>
                    <w:rPr>
                      <w:rFonts w:hint="default" w:ascii="Times New Roman" w:hAnsi="Times New Roman" w:eastAsia="宋体" w:cs="Times New Roman"/>
                      <w:color w:val="auto"/>
                      <w:sz w:val="21"/>
                      <w:szCs w:val="21"/>
                      <w:lang w:val="en-US" w:eastAsia="zh-CN"/>
                    </w:rPr>
                  </w:pPr>
                </w:p>
              </w:tc>
              <w:tc>
                <w:tcPr>
                  <w:tcW w:w="756" w:type="pct"/>
                  <w:noWrap w:val="0"/>
                  <w:vAlign w:val="center"/>
                </w:tcPr>
                <w:p w14:paraId="7992540D">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废包装桶</w:t>
                  </w:r>
                </w:p>
              </w:tc>
              <w:tc>
                <w:tcPr>
                  <w:tcW w:w="524" w:type="pct"/>
                  <w:noWrap w:val="0"/>
                  <w:vAlign w:val="center"/>
                </w:tcPr>
                <w:p w14:paraId="73329A09">
                  <w:pPr>
                    <w:topLinePunct/>
                    <w:adjustRightInd w:val="0"/>
                    <w:snapToGrid w:val="0"/>
                    <w:ind w:left="-73" w:leftChars="-35" w:right="-73" w:rightChars="-35"/>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HW08</w:t>
                  </w:r>
                </w:p>
              </w:tc>
              <w:tc>
                <w:tcPr>
                  <w:tcW w:w="727" w:type="pct"/>
                  <w:noWrap w:val="0"/>
                  <w:vAlign w:val="center"/>
                </w:tcPr>
                <w:p w14:paraId="67F9474B">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900-249-08</w:t>
                  </w:r>
                </w:p>
              </w:tc>
              <w:tc>
                <w:tcPr>
                  <w:tcW w:w="364" w:type="pct"/>
                  <w:vMerge w:val="continue"/>
                  <w:noWrap w:val="0"/>
                  <w:vAlign w:val="center"/>
                </w:tcPr>
                <w:p w14:paraId="0AACAC46">
                  <w:pPr>
                    <w:widowControl/>
                    <w:jc w:val="center"/>
                    <w:textAlignment w:val="center"/>
                    <w:rPr>
                      <w:rFonts w:hint="default" w:ascii="Times New Roman" w:hAnsi="Times New Roman" w:eastAsia="宋体" w:cs="Times New Roman"/>
                      <w:color w:val="auto"/>
                      <w:sz w:val="21"/>
                      <w:szCs w:val="21"/>
                      <w:lang w:val="en-US" w:eastAsia="zh-CN"/>
                    </w:rPr>
                  </w:pPr>
                </w:p>
              </w:tc>
              <w:tc>
                <w:tcPr>
                  <w:tcW w:w="409" w:type="pct"/>
                  <w:vMerge w:val="continue"/>
                  <w:noWrap w:val="0"/>
                  <w:vAlign w:val="center"/>
                </w:tcPr>
                <w:p w14:paraId="5948A0D7">
                  <w:pPr>
                    <w:widowControl/>
                    <w:jc w:val="center"/>
                    <w:textAlignment w:val="center"/>
                    <w:rPr>
                      <w:rFonts w:hint="default" w:ascii="Times New Roman" w:hAnsi="Times New Roman" w:eastAsia="宋体" w:cs="Times New Roman"/>
                      <w:color w:val="auto"/>
                      <w:sz w:val="21"/>
                      <w:szCs w:val="21"/>
                      <w:lang w:val="en-US" w:eastAsia="zh-CN"/>
                    </w:rPr>
                  </w:pPr>
                </w:p>
              </w:tc>
              <w:tc>
                <w:tcPr>
                  <w:tcW w:w="567" w:type="pct"/>
                  <w:noWrap w:val="0"/>
                  <w:vAlign w:val="center"/>
                </w:tcPr>
                <w:p w14:paraId="5E5EE0F8">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吨袋</w:t>
                  </w:r>
                </w:p>
              </w:tc>
              <w:tc>
                <w:tcPr>
                  <w:tcW w:w="379" w:type="pct"/>
                  <w:vMerge w:val="continue"/>
                  <w:noWrap w:val="0"/>
                  <w:vAlign w:val="center"/>
                </w:tcPr>
                <w:p w14:paraId="75CD3E5E">
                  <w:pPr>
                    <w:widowControl/>
                    <w:jc w:val="center"/>
                    <w:textAlignment w:val="center"/>
                    <w:rPr>
                      <w:rFonts w:hint="default" w:ascii="Times New Roman" w:hAnsi="Times New Roman" w:eastAsia="宋体" w:cs="Times New Roman"/>
                      <w:color w:val="auto"/>
                      <w:sz w:val="21"/>
                      <w:szCs w:val="21"/>
                      <w:lang w:val="en-US" w:eastAsia="zh-CN"/>
                    </w:rPr>
                  </w:pPr>
                </w:p>
              </w:tc>
              <w:tc>
                <w:tcPr>
                  <w:tcW w:w="434" w:type="pct"/>
                  <w:vMerge w:val="continue"/>
                  <w:noWrap w:val="0"/>
                  <w:vAlign w:val="center"/>
                </w:tcPr>
                <w:p w14:paraId="60E1EAF0">
                  <w:pPr>
                    <w:widowControl/>
                    <w:jc w:val="center"/>
                    <w:textAlignment w:val="center"/>
                    <w:rPr>
                      <w:rFonts w:hint="default" w:ascii="Times New Roman" w:hAnsi="Times New Roman" w:eastAsia="宋体" w:cs="Times New Roman"/>
                      <w:color w:val="auto"/>
                      <w:sz w:val="21"/>
                      <w:szCs w:val="21"/>
                      <w:lang w:val="en-US" w:eastAsia="zh-CN"/>
                    </w:rPr>
                  </w:pPr>
                </w:p>
              </w:tc>
            </w:tr>
            <w:tr w14:paraId="0E34AA3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267" w:type="pct"/>
                  <w:noWrap w:val="0"/>
                  <w:vAlign w:val="center"/>
                </w:tcPr>
                <w:p w14:paraId="69A3420D">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567" w:type="pct"/>
                  <w:vMerge w:val="continue"/>
                  <w:noWrap w:val="0"/>
                  <w:vAlign w:val="center"/>
                </w:tcPr>
                <w:p w14:paraId="7B3CF601">
                  <w:pPr>
                    <w:widowControl/>
                    <w:jc w:val="center"/>
                    <w:textAlignment w:val="center"/>
                    <w:rPr>
                      <w:rFonts w:hint="default" w:ascii="Times New Roman" w:hAnsi="Times New Roman" w:eastAsia="宋体" w:cs="Times New Roman"/>
                      <w:color w:val="auto"/>
                      <w:sz w:val="21"/>
                      <w:szCs w:val="21"/>
                      <w:lang w:val="en-US" w:eastAsia="zh-CN"/>
                    </w:rPr>
                  </w:pPr>
                </w:p>
              </w:tc>
              <w:tc>
                <w:tcPr>
                  <w:tcW w:w="756" w:type="pct"/>
                  <w:noWrap w:val="0"/>
                  <w:vAlign w:val="center"/>
                </w:tcPr>
                <w:p w14:paraId="5F573E75">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含油抹布手套</w:t>
                  </w:r>
                </w:p>
              </w:tc>
              <w:tc>
                <w:tcPr>
                  <w:tcW w:w="524" w:type="pct"/>
                  <w:noWrap w:val="0"/>
                  <w:vAlign w:val="center"/>
                </w:tcPr>
                <w:p w14:paraId="6A8D16AF">
                  <w:pPr>
                    <w:adjustRightInd w:val="0"/>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rPr>
                    <w:t>HW49</w:t>
                  </w:r>
                </w:p>
              </w:tc>
              <w:tc>
                <w:tcPr>
                  <w:tcW w:w="727" w:type="pct"/>
                  <w:noWrap w:val="0"/>
                  <w:vAlign w:val="center"/>
                </w:tcPr>
                <w:p w14:paraId="7E963096">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900-041-49</w:t>
                  </w:r>
                </w:p>
              </w:tc>
              <w:tc>
                <w:tcPr>
                  <w:tcW w:w="364" w:type="pct"/>
                  <w:vMerge w:val="continue"/>
                  <w:noWrap w:val="0"/>
                  <w:vAlign w:val="center"/>
                </w:tcPr>
                <w:p w14:paraId="4E805E9D">
                  <w:pPr>
                    <w:widowControl/>
                    <w:jc w:val="center"/>
                    <w:textAlignment w:val="center"/>
                    <w:rPr>
                      <w:rFonts w:hint="default" w:ascii="Times New Roman" w:hAnsi="Times New Roman" w:eastAsia="宋体" w:cs="Times New Roman"/>
                      <w:color w:val="auto"/>
                      <w:sz w:val="21"/>
                      <w:szCs w:val="21"/>
                      <w:lang w:val="en-US" w:eastAsia="zh-CN"/>
                    </w:rPr>
                  </w:pPr>
                </w:p>
              </w:tc>
              <w:tc>
                <w:tcPr>
                  <w:tcW w:w="409" w:type="pct"/>
                  <w:vMerge w:val="continue"/>
                  <w:noWrap w:val="0"/>
                  <w:vAlign w:val="center"/>
                </w:tcPr>
                <w:p w14:paraId="22E4BE28">
                  <w:pPr>
                    <w:widowControl/>
                    <w:jc w:val="center"/>
                    <w:textAlignment w:val="center"/>
                    <w:rPr>
                      <w:rFonts w:hint="default" w:ascii="Times New Roman" w:hAnsi="Times New Roman" w:eastAsia="宋体" w:cs="Times New Roman"/>
                      <w:color w:val="auto"/>
                      <w:sz w:val="21"/>
                      <w:szCs w:val="21"/>
                      <w:lang w:val="en-US" w:eastAsia="zh-CN"/>
                    </w:rPr>
                  </w:pPr>
                </w:p>
              </w:tc>
              <w:tc>
                <w:tcPr>
                  <w:tcW w:w="567" w:type="pct"/>
                  <w:noWrap w:val="0"/>
                  <w:vAlign w:val="center"/>
                </w:tcPr>
                <w:p w14:paraId="3E06A8D5">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吨袋</w:t>
                  </w:r>
                </w:p>
              </w:tc>
              <w:tc>
                <w:tcPr>
                  <w:tcW w:w="379" w:type="pct"/>
                  <w:vMerge w:val="continue"/>
                  <w:noWrap w:val="0"/>
                  <w:vAlign w:val="center"/>
                </w:tcPr>
                <w:p w14:paraId="33DEAB16">
                  <w:pPr>
                    <w:widowControl/>
                    <w:jc w:val="center"/>
                    <w:textAlignment w:val="center"/>
                    <w:rPr>
                      <w:rFonts w:hint="default" w:ascii="Times New Roman" w:hAnsi="Times New Roman" w:eastAsia="宋体" w:cs="Times New Roman"/>
                      <w:color w:val="auto"/>
                      <w:sz w:val="21"/>
                      <w:szCs w:val="21"/>
                      <w:lang w:val="en-US" w:eastAsia="zh-CN"/>
                    </w:rPr>
                  </w:pPr>
                </w:p>
              </w:tc>
              <w:tc>
                <w:tcPr>
                  <w:tcW w:w="434" w:type="pct"/>
                  <w:vMerge w:val="continue"/>
                  <w:noWrap w:val="0"/>
                  <w:vAlign w:val="center"/>
                </w:tcPr>
                <w:p w14:paraId="3929201E">
                  <w:pPr>
                    <w:widowControl/>
                    <w:jc w:val="center"/>
                    <w:textAlignment w:val="center"/>
                    <w:rPr>
                      <w:rFonts w:hint="default" w:ascii="Times New Roman" w:hAnsi="Times New Roman" w:eastAsia="宋体" w:cs="Times New Roman"/>
                      <w:color w:val="auto"/>
                      <w:sz w:val="21"/>
                      <w:szCs w:val="21"/>
                      <w:lang w:val="en-US" w:eastAsia="zh-CN"/>
                    </w:rPr>
                  </w:pPr>
                </w:p>
              </w:tc>
            </w:tr>
            <w:tr w14:paraId="083E078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267" w:type="pct"/>
                  <w:noWrap w:val="0"/>
                  <w:vAlign w:val="center"/>
                </w:tcPr>
                <w:p w14:paraId="7F22D894">
                  <w:pPr>
                    <w:widowControl/>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567" w:type="pct"/>
                  <w:vMerge w:val="continue"/>
                  <w:noWrap w:val="0"/>
                  <w:vAlign w:val="center"/>
                </w:tcPr>
                <w:p w14:paraId="5EBB7FD0">
                  <w:pPr>
                    <w:widowControl/>
                    <w:jc w:val="center"/>
                    <w:textAlignment w:val="center"/>
                    <w:rPr>
                      <w:rFonts w:hint="default" w:ascii="Times New Roman" w:hAnsi="Times New Roman" w:eastAsia="宋体" w:cs="Times New Roman"/>
                      <w:color w:val="auto"/>
                      <w:sz w:val="21"/>
                      <w:szCs w:val="21"/>
                      <w:lang w:val="en-US" w:eastAsia="zh-CN"/>
                    </w:rPr>
                  </w:pPr>
                </w:p>
              </w:tc>
              <w:tc>
                <w:tcPr>
                  <w:tcW w:w="756" w:type="pct"/>
                  <w:noWrap w:val="0"/>
                  <w:vAlign w:val="center"/>
                </w:tcPr>
                <w:p w14:paraId="1FB8F8CC">
                  <w:pPr>
                    <w:widowControl/>
                    <w:jc w:val="center"/>
                    <w:textAlignment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含油金属屑</w:t>
                  </w:r>
                </w:p>
              </w:tc>
              <w:tc>
                <w:tcPr>
                  <w:tcW w:w="524" w:type="pct"/>
                  <w:noWrap w:val="0"/>
                  <w:vAlign w:val="center"/>
                </w:tcPr>
                <w:p w14:paraId="604E7232">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HW09</w:t>
                  </w:r>
                </w:p>
              </w:tc>
              <w:tc>
                <w:tcPr>
                  <w:tcW w:w="727" w:type="pct"/>
                  <w:noWrap w:val="0"/>
                  <w:vAlign w:val="center"/>
                </w:tcPr>
                <w:p w14:paraId="1A36CFED">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900-006-09</w:t>
                  </w:r>
                </w:p>
              </w:tc>
              <w:tc>
                <w:tcPr>
                  <w:tcW w:w="364" w:type="pct"/>
                  <w:vMerge w:val="continue"/>
                  <w:noWrap w:val="0"/>
                  <w:vAlign w:val="center"/>
                </w:tcPr>
                <w:p w14:paraId="4BC179E3">
                  <w:pPr>
                    <w:widowControl/>
                    <w:jc w:val="center"/>
                    <w:textAlignment w:val="center"/>
                    <w:rPr>
                      <w:rFonts w:hint="default" w:ascii="Times New Roman" w:hAnsi="Times New Roman" w:eastAsia="宋体" w:cs="Times New Roman"/>
                      <w:color w:val="auto"/>
                      <w:sz w:val="21"/>
                      <w:szCs w:val="21"/>
                      <w:lang w:val="en-US" w:eastAsia="zh-CN"/>
                    </w:rPr>
                  </w:pPr>
                </w:p>
              </w:tc>
              <w:tc>
                <w:tcPr>
                  <w:tcW w:w="409" w:type="pct"/>
                  <w:vMerge w:val="continue"/>
                  <w:noWrap w:val="0"/>
                  <w:vAlign w:val="center"/>
                </w:tcPr>
                <w:p w14:paraId="23A7B0D5">
                  <w:pPr>
                    <w:widowControl/>
                    <w:jc w:val="center"/>
                    <w:textAlignment w:val="center"/>
                    <w:rPr>
                      <w:rFonts w:hint="default" w:ascii="Times New Roman" w:hAnsi="Times New Roman" w:eastAsia="宋体" w:cs="Times New Roman"/>
                      <w:color w:val="auto"/>
                      <w:sz w:val="21"/>
                      <w:szCs w:val="21"/>
                      <w:lang w:val="en-US" w:eastAsia="zh-CN"/>
                    </w:rPr>
                  </w:pPr>
                </w:p>
              </w:tc>
              <w:tc>
                <w:tcPr>
                  <w:tcW w:w="567" w:type="pct"/>
                  <w:noWrap w:val="0"/>
                  <w:vAlign w:val="center"/>
                </w:tcPr>
                <w:p w14:paraId="70520ADB">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吨袋</w:t>
                  </w:r>
                </w:p>
              </w:tc>
              <w:tc>
                <w:tcPr>
                  <w:tcW w:w="379" w:type="pct"/>
                  <w:vMerge w:val="continue"/>
                  <w:noWrap w:val="0"/>
                  <w:vAlign w:val="center"/>
                </w:tcPr>
                <w:p w14:paraId="27D38B62">
                  <w:pPr>
                    <w:widowControl/>
                    <w:jc w:val="center"/>
                    <w:textAlignment w:val="center"/>
                    <w:rPr>
                      <w:rFonts w:hint="default" w:ascii="Times New Roman" w:hAnsi="Times New Roman" w:eastAsia="宋体" w:cs="Times New Roman"/>
                      <w:color w:val="auto"/>
                      <w:sz w:val="21"/>
                      <w:szCs w:val="21"/>
                      <w:lang w:val="en-US" w:eastAsia="zh-CN"/>
                    </w:rPr>
                  </w:pPr>
                </w:p>
              </w:tc>
              <w:tc>
                <w:tcPr>
                  <w:tcW w:w="434" w:type="pct"/>
                  <w:vMerge w:val="continue"/>
                  <w:noWrap w:val="0"/>
                  <w:vAlign w:val="center"/>
                </w:tcPr>
                <w:p w14:paraId="16533E99">
                  <w:pPr>
                    <w:widowControl/>
                    <w:jc w:val="center"/>
                    <w:textAlignment w:val="center"/>
                    <w:rPr>
                      <w:rFonts w:hint="default" w:ascii="Times New Roman" w:hAnsi="Times New Roman" w:eastAsia="宋体" w:cs="Times New Roman"/>
                      <w:color w:val="auto"/>
                      <w:sz w:val="21"/>
                      <w:szCs w:val="21"/>
                      <w:lang w:val="en-US" w:eastAsia="zh-CN"/>
                    </w:rPr>
                  </w:pPr>
                </w:p>
              </w:tc>
            </w:tr>
          </w:tbl>
          <w:p w14:paraId="53FCE5FA">
            <w:pPr>
              <w:autoSpaceDE w:val="0"/>
              <w:autoSpaceDN w:val="0"/>
              <w:adjustRightInd w:val="0"/>
              <w:spacing w:line="360" w:lineRule="auto"/>
              <w:ind w:firstLine="420" w:firstLineChars="200"/>
              <w:jc w:val="left"/>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lang w:val="en-US" w:eastAsia="zh-CN"/>
              </w:rPr>
              <w:t>从项目采用的固废利用及处置方式来分析，对产生的各类固废按其性质分类分区收集和暂存，并均能得到有效利用或妥善处置。在严格管理下，项目的固体废物对周围环境不会产生二次污染。</w:t>
            </w:r>
          </w:p>
          <w:p w14:paraId="178A154C">
            <w:pPr>
              <w:autoSpaceDE w:val="0"/>
              <w:autoSpaceDN w:val="0"/>
              <w:adjustRightInd w:val="0"/>
              <w:spacing w:line="360" w:lineRule="auto"/>
              <w:ind w:firstLine="420" w:firstLineChars="200"/>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（2）固废环境影响分析</w:t>
            </w:r>
          </w:p>
          <w:p w14:paraId="10E315EE">
            <w:pPr>
              <w:autoSpaceDE w:val="0"/>
              <w:autoSpaceDN w:val="0"/>
              <w:adjustRightInd w:val="0"/>
              <w:spacing w:line="360" w:lineRule="auto"/>
              <w:ind w:firstLine="422" w:firstLineChars="200"/>
              <w:jc w:val="left"/>
              <w:rPr>
                <w:b/>
                <w:bCs/>
                <w:color w:val="auto"/>
                <w:kern w:val="0"/>
                <w:szCs w:val="21"/>
              </w:rPr>
            </w:pPr>
            <w:r>
              <w:rPr>
                <w:rFonts w:hint="eastAsia"/>
                <w:b/>
                <w:bCs/>
                <w:color w:val="auto"/>
                <w:kern w:val="0"/>
                <w:szCs w:val="21"/>
              </w:rPr>
              <w:t>①一般工业固废贮存场所（设施）环境影响分析</w:t>
            </w:r>
          </w:p>
          <w:p w14:paraId="78566F3B">
            <w:pPr>
              <w:adjustRightInd w:val="0"/>
              <w:snapToGrid w:val="0"/>
              <w:spacing w:line="360" w:lineRule="auto"/>
              <w:ind w:firstLine="420" w:firstLineChars="200"/>
              <w:rPr>
                <w:rFonts w:hint="default" w:ascii="Times New Roman" w:hAnsi="Times New Roman" w:eastAsia="宋体" w:cs="Times New Roman"/>
                <w:color w:val="auto"/>
                <w:kern w:val="0"/>
                <w:szCs w:val="21"/>
              </w:rPr>
            </w:pPr>
            <w:r>
              <w:rPr>
                <w:rFonts w:hint="eastAsia"/>
                <w:color w:val="auto"/>
                <w:kern w:val="0"/>
                <w:szCs w:val="21"/>
              </w:rPr>
              <w:t>项目产生的一般工业固废，收集后出售处理。项目</w:t>
            </w:r>
            <w:r>
              <w:rPr>
                <w:rFonts w:hint="eastAsia"/>
                <w:color w:val="auto"/>
                <w:kern w:val="0"/>
                <w:szCs w:val="21"/>
                <w:lang w:val="en-US" w:eastAsia="zh-CN"/>
              </w:rPr>
              <w:t>厂区内</w:t>
            </w:r>
            <w:r>
              <w:rPr>
                <w:rFonts w:hint="eastAsia"/>
                <w:color w:val="auto"/>
                <w:kern w:val="0"/>
                <w:szCs w:val="21"/>
              </w:rPr>
              <w:t>设置</w:t>
            </w:r>
            <w:r>
              <w:rPr>
                <w:color w:val="auto"/>
                <w:kern w:val="0"/>
                <w:szCs w:val="21"/>
              </w:rPr>
              <w:t>1</w:t>
            </w:r>
            <w:r>
              <w:rPr>
                <w:rFonts w:hint="eastAsia"/>
                <w:color w:val="auto"/>
                <w:kern w:val="0"/>
                <w:szCs w:val="21"/>
              </w:rPr>
              <w:t>个一般固废堆放区，占地面积为</w:t>
            </w:r>
            <w:r>
              <w:rPr>
                <w:rFonts w:hint="eastAsia"/>
                <w:color w:val="auto"/>
                <w:kern w:val="0"/>
                <w:szCs w:val="21"/>
                <w:lang w:val="en-US" w:eastAsia="zh-CN"/>
              </w:rPr>
              <w:t>150</w:t>
            </w:r>
            <w:r>
              <w:rPr>
                <w:color w:val="auto"/>
                <w:kern w:val="0"/>
                <w:szCs w:val="21"/>
              </w:rPr>
              <w:t>m</w:t>
            </w:r>
            <w:r>
              <w:rPr>
                <w:color w:val="auto"/>
                <w:kern w:val="0"/>
                <w:szCs w:val="21"/>
                <w:vertAlign w:val="superscript"/>
              </w:rPr>
              <w:t>2</w:t>
            </w:r>
            <w:r>
              <w:rPr>
                <w:rFonts w:hint="eastAsia"/>
                <w:color w:val="auto"/>
                <w:kern w:val="0"/>
                <w:szCs w:val="21"/>
              </w:rPr>
              <w:t>。</w:t>
            </w:r>
            <w:r>
              <w:rPr>
                <w:rFonts w:hint="eastAsia" w:ascii="Times New Roman" w:hAnsi="Times New Roman" w:cs="Times New Roman"/>
                <w:b w:val="0"/>
                <w:bCs w:val="0"/>
                <w:color w:val="auto"/>
                <w:kern w:val="0"/>
                <w:sz w:val="21"/>
                <w:szCs w:val="21"/>
                <w:lang w:val="en-US" w:eastAsia="zh-CN"/>
              </w:rPr>
              <w:t>一般固废及时外售，故一般固废堆场面积足够满足本项目的需求。</w:t>
            </w:r>
            <w:r>
              <w:rPr>
                <w:rFonts w:hint="default" w:ascii="Times New Roman" w:hAnsi="Times New Roman" w:eastAsia="宋体" w:cs="Times New Roman"/>
                <w:color w:val="auto"/>
                <w:kern w:val="0"/>
                <w:szCs w:val="21"/>
              </w:rPr>
              <w:t>按照</w:t>
            </w:r>
            <w:r>
              <w:rPr>
                <w:rFonts w:hint="default" w:ascii="Times New Roman" w:hAnsi="Times New Roman" w:cs="Times New Roman"/>
                <w:color w:val="auto"/>
                <w:kern w:val="0"/>
                <w:szCs w:val="21"/>
                <w:lang w:eastAsia="zh-CN"/>
              </w:rPr>
              <w:t>通海门环发〔</w:t>
            </w:r>
            <w:r>
              <w:rPr>
                <w:rFonts w:hint="default" w:ascii="Times New Roman" w:hAnsi="Times New Roman" w:cs="Times New Roman"/>
                <w:color w:val="auto"/>
                <w:kern w:val="0"/>
                <w:szCs w:val="21"/>
                <w:lang w:val="en-US" w:eastAsia="zh-CN"/>
              </w:rPr>
              <w:t>2023〕46号、</w:t>
            </w:r>
            <w:r>
              <w:rPr>
                <w:rFonts w:hint="default" w:ascii="Times New Roman" w:hAnsi="Times New Roman" w:eastAsia="宋体" w:cs="Times New Roman"/>
                <w:color w:val="auto"/>
                <w:kern w:val="0"/>
                <w:szCs w:val="21"/>
              </w:rPr>
              <w:t>《一般工业固体废物贮存和填埋污染控制标准》（GB 18599-2020）对照完善，该一般固废暂存区需满足如下具体要求：</w:t>
            </w:r>
          </w:p>
          <w:p w14:paraId="7E594B23">
            <w:pPr>
              <w:adjustRightInd w:val="0"/>
              <w:snapToGrid w:val="0"/>
              <w:spacing w:line="360" w:lineRule="auto"/>
              <w:ind w:firstLine="420" w:firstLineChars="200"/>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1）</w:t>
            </w:r>
            <w:r>
              <w:rPr>
                <w:rFonts w:hint="default" w:ascii="Times New Roman" w:hAnsi="Times New Roman" w:cs="Times New Roman"/>
                <w:color w:val="auto"/>
                <w:kern w:val="0"/>
                <w:szCs w:val="21"/>
                <w:lang w:eastAsia="zh-CN"/>
              </w:rPr>
              <w:t>加强源头管控，按照《一般工业固体废物管理台账制作指南 （试行）》 （生态环境部公告2021年第82号 ) （附件1) 要求，建立一般工业固体废物管理台账等。</w:t>
            </w:r>
          </w:p>
          <w:p w14:paraId="36324637">
            <w:pPr>
              <w:adjustRightInd w:val="0"/>
              <w:snapToGrid w:val="0"/>
              <w:spacing w:line="360" w:lineRule="auto"/>
              <w:ind w:firstLine="420" w:firstLineChars="200"/>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val="en-US" w:eastAsia="zh-CN"/>
              </w:rPr>
              <w:t>2）规范厂内贮存，</w:t>
            </w:r>
            <w:r>
              <w:rPr>
                <w:rFonts w:hint="default" w:ascii="Times New Roman" w:hAnsi="Times New Roman" w:eastAsia="宋体" w:cs="Times New Roman"/>
                <w:color w:val="auto"/>
                <w:kern w:val="0"/>
                <w:szCs w:val="21"/>
              </w:rPr>
              <w:t>贮存场的建设类型，按照《环境保护图形标志—固体废物贮存（处置场）》（GB15562.2-1995）要求，贮存场规范张贴环保标志。</w:t>
            </w:r>
          </w:p>
          <w:p w14:paraId="2C305D8A">
            <w:pPr>
              <w:adjustRightInd w:val="0"/>
              <w:snapToGrid w:val="0"/>
              <w:spacing w:line="360" w:lineRule="auto"/>
              <w:ind w:firstLine="420" w:firstLineChars="200"/>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val="en-US" w:eastAsia="zh-CN"/>
              </w:rPr>
              <w:t>3）加强运输、利用、处置过程管理，</w:t>
            </w:r>
            <w:r>
              <w:rPr>
                <w:rFonts w:hint="default" w:ascii="Times New Roman" w:hAnsi="Times New Roman" w:eastAsia="宋体" w:cs="Times New Roman"/>
                <w:color w:val="auto"/>
                <w:kern w:val="0"/>
                <w:szCs w:val="21"/>
              </w:rPr>
              <w:t>必须与将要堆放的一般工业固体废物的类别相一致，一般工业固体废物暂存区禁止危险废物和生活垃圾混入。</w:t>
            </w:r>
          </w:p>
          <w:p w14:paraId="5D77A454">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4）严格落实排污许可证制度。</w:t>
            </w:r>
          </w:p>
          <w:p w14:paraId="564A1753">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5）规范一般工业固体废物转移处置流程，鼓励一般工业固废就近利用处置，原则上一般工业固废利用处置不出省。</w:t>
            </w:r>
          </w:p>
          <w:p w14:paraId="53AE6550">
            <w:pPr>
              <w:adjustRightInd w:val="0"/>
              <w:snapToGrid w:val="0"/>
              <w:spacing w:line="360" w:lineRule="auto"/>
              <w:ind w:firstLine="420" w:firstLineChars="200"/>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color w:val="auto"/>
                <w:kern w:val="0"/>
                <w:szCs w:val="21"/>
                <w:lang w:val="en-US" w:eastAsia="zh-CN"/>
              </w:rPr>
              <w:t>从项目采用的固废利用及处置方式来分析，对产生的各类固废按其性质分类分区收集和暂存，并均能得到有效利用或妥善处置。在严格管理下，项目的固体废物对周围环境不会产生二次污染。</w:t>
            </w:r>
          </w:p>
          <w:p w14:paraId="5CEFD1F4">
            <w:pPr>
              <w:autoSpaceDE w:val="0"/>
              <w:autoSpaceDN w:val="0"/>
              <w:adjustRightInd w:val="0"/>
              <w:spacing w:line="360" w:lineRule="auto"/>
              <w:ind w:firstLine="422" w:firstLineChars="200"/>
              <w:jc w:val="left"/>
              <w:rPr>
                <w:b/>
                <w:bCs/>
                <w:color w:val="auto"/>
                <w:kern w:val="0"/>
                <w:szCs w:val="21"/>
              </w:rPr>
            </w:pPr>
            <w:r>
              <w:rPr>
                <w:rFonts w:hint="eastAsia"/>
                <w:b/>
                <w:bCs/>
                <w:color w:val="auto"/>
                <w:kern w:val="0"/>
                <w:szCs w:val="21"/>
              </w:rPr>
              <w:t>②危险废物贮存场所（设施）环境影响分析</w:t>
            </w:r>
          </w:p>
          <w:p w14:paraId="0B7B2D5E">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①危险废物贮存场所环境影响分析</w:t>
            </w:r>
          </w:p>
          <w:p w14:paraId="7ADA875B">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A：</w:t>
            </w:r>
            <w:r>
              <w:rPr>
                <w:rFonts w:hint="default" w:ascii="Times New Roman" w:hAnsi="Times New Roman" w:eastAsia="宋体" w:cs="Times New Roman"/>
                <w:color w:val="auto"/>
                <w:kern w:val="0"/>
                <w:szCs w:val="21"/>
                <w:lang w:val="en-US" w:eastAsia="zh-CN"/>
              </w:rPr>
              <w:t>选址可行性：项目所在地区地质结构稳定，地震烈度为Ⅵ度，地址情况满足《危险废物贮存污染控制标准》（GB</w:t>
            </w:r>
            <w:r>
              <w:rPr>
                <w:rFonts w:hint="eastAsia" w:ascii="Times New Roman" w:hAnsi="Times New Roman" w:eastAsia="宋体" w:cs="Times New Roman"/>
                <w:color w:val="auto"/>
                <w:kern w:val="0"/>
                <w:szCs w:val="21"/>
                <w:lang w:val="en-US" w:eastAsia="zh-CN"/>
              </w:rPr>
              <w:t>18597—2023</w:t>
            </w:r>
            <w:r>
              <w:rPr>
                <w:rFonts w:hint="default" w:ascii="Times New Roman" w:hAnsi="Times New Roman" w:eastAsia="宋体" w:cs="Times New Roman"/>
                <w:color w:val="auto"/>
                <w:kern w:val="0"/>
                <w:szCs w:val="21"/>
                <w:lang w:val="en-US" w:eastAsia="zh-CN"/>
              </w:rPr>
              <w:t>）的要求。</w:t>
            </w:r>
            <w:r>
              <w:rPr>
                <w:rFonts w:hint="eastAsia" w:ascii="Times New Roman" w:hAnsi="Times New Roman" w:eastAsia="宋体" w:cs="Times New Roman"/>
                <w:color w:val="auto"/>
                <w:kern w:val="0"/>
                <w:szCs w:val="21"/>
                <w:lang w:val="en-US" w:eastAsia="zh-CN"/>
              </w:rPr>
              <w:t>危废仓库厂界</w:t>
            </w:r>
            <w:r>
              <w:rPr>
                <w:rFonts w:hint="default" w:ascii="Times New Roman" w:hAnsi="Times New Roman" w:eastAsia="宋体" w:cs="Times New Roman"/>
                <w:color w:val="auto"/>
                <w:kern w:val="0"/>
                <w:szCs w:val="21"/>
                <w:lang w:val="en-US" w:eastAsia="zh-CN"/>
              </w:rPr>
              <w:t>周边以工业企业为主，符合贮存要求。</w:t>
            </w:r>
          </w:p>
          <w:p w14:paraId="58CE0D00">
            <w:pPr>
              <w:autoSpaceDE w:val="0"/>
              <w:autoSpaceDN w:val="0"/>
              <w:adjustRightInd w:val="0"/>
              <w:spacing w:line="360" w:lineRule="auto"/>
              <w:ind w:firstLine="420" w:firstLineChars="200"/>
              <w:jc w:val="left"/>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B、贮存能力分析：本项目拟设置</w:t>
            </w:r>
            <w:r>
              <w:rPr>
                <w:rFonts w:hint="eastAsia" w:cs="Times New Roman"/>
                <w:b w:val="0"/>
                <w:bCs w:val="0"/>
                <w:color w:val="auto"/>
                <w:kern w:val="0"/>
                <w:sz w:val="21"/>
                <w:szCs w:val="21"/>
                <w:lang w:val="en-US" w:eastAsia="zh-CN"/>
              </w:rPr>
              <w:t>30</w:t>
            </w:r>
            <w:r>
              <w:rPr>
                <w:rFonts w:hint="default" w:ascii="Times New Roman" w:hAnsi="Times New Roman" w:cs="Times New Roman"/>
                <w:b w:val="0"/>
                <w:bCs w:val="0"/>
                <w:color w:val="auto"/>
                <w:kern w:val="0"/>
                <w:sz w:val="21"/>
                <w:szCs w:val="21"/>
                <w:lang w:val="en-US" w:eastAsia="zh-CN"/>
              </w:rPr>
              <w:t>m</w:t>
            </w:r>
            <w:r>
              <w:rPr>
                <w:rFonts w:hint="eastAsia" w:ascii="Times New Roman" w:hAnsi="Times New Roman" w:cs="Times New Roman"/>
                <w:b w:val="0"/>
                <w:bCs w:val="0"/>
                <w:color w:val="auto"/>
                <w:kern w:val="0"/>
                <w:sz w:val="21"/>
                <w:szCs w:val="21"/>
                <w:vertAlign w:val="superscript"/>
                <w:lang w:val="en-US" w:eastAsia="zh-CN"/>
              </w:rPr>
              <w:t>2</w:t>
            </w:r>
            <w:r>
              <w:rPr>
                <w:rFonts w:hint="default" w:ascii="Times New Roman" w:hAnsi="Times New Roman" w:cs="Times New Roman"/>
                <w:b w:val="0"/>
                <w:bCs w:val="0"/>
                <w:color w:val="auto"/>
                <w:kern w:val="0"/>
                <w:sz w:val="21"/>
                <w:szCs w:val="21"/>
                <w:lang w:val="en-US" w:eastAsia="zh-CN"/>
              </w:rPr>
              <w:t>的危险废物贮存仓库，各危险废物均密封储存，则废气产生量较少，本环评不做定量分析，且危废仓库内开有通风口，散逸的废气通风后无组织排放。本项目危险废物产生量为</w:t>
            </w:r>
            <w:r>
              <w:rPr>
                <w:rFonts w:hint="eastAsia" w:cs="Times New Roman"/>
                <w:b w:val="0"/>
                <w:bCs w:val="0"/>
                <w:color w:val="auto"/>
                <w:kern w:val="0"/>
                <w:sz w:val="21"/>
                <w:szCs w:val="21"/>
                <w:lang w:val="en-US" w:eastAsia="zh-CN"/>
              </w:rPr>
              <w:t>344.05</w:t>
            </w:r>
            <w:r>
              <w:rPr>
                <w:rFonts w:hint="default" w:ascii="Times New Roman" w:hAnsi="Times New Roman" w:cs="Times New Roman"/>
                <w:b w:val="0"/>
                <w:bCs w:val="0"/>
                <w:color w:val="auto"/>
                <w:kern w:val="0"/>
                <w:sz w:val="21"/>
                <w:szCs w:val="21"/>
                <w:lang w:val="en-US" w:eastAsia="zh-CN"/>
              </w:rPr>
              <w:t>t/a，计划约每3个月清运一次危险废物，每次危险废物的最大暂存量</w:t>
            </w:r>
            <w:r>
              <w:rPr>
                <w:rFonts w:hint="eastAsia" w:cs="Times New Roman"/>
                <w:b w:val="0"/>
                <w:bCs w:val="0"/>
                <w:color w:val="auto"/>
                <w:kern w:val="0"/>
                <w:sz w:val="21"/>
                <w:szCs w:val="21"/>
                <w:lang w:val="en-US" w:eastAsia="zh-CN"/>
              </w:rPr>
              <w:t>86.0125</w:t>
            </w:r>
            <w:r>
              <w:rPr>
                <w:rFonts w:hint="default" w:ascii="Times New Roman" w:hAnsi="Times New Roman" w:cs="Times New Roman"/>
                <w:b w:val="0"/>
                <w:bCs w:val="0"/>
                <w:color w:val="auto"/>
                <w:kern w:val="0"/>
                <w:sz w:val="21"/>
                <w:szCs w:val="21"/>
                <w:lang w:val="en-US" w:eastAsia="zh-CN"/>
              </w:rPr>
              <w:t>t，因此拟设置的</w:t>
            </w:r>
            <w:r>
              <w:rPr>
                <w:rFonts w:hint="eastAsia" w:cs="Times New Roman"/>
                <w:b w:val="0"/>
                <w:bCs w:val="0"/>
                <w:color w:val="auto"/>
                <w:kern w:val="0"/>
                <w:sz w:val="21"/>
                <w:szCs w:val="21"/>
                <w:lang w:val="en-US" w:eastAsia="zh-CN"/>
              </w:rPr>
              <w:t>30</w:t>
            </w:r>
            <w:r>
              <w:rPr>
                <w:rFonts w:hint="default" w:ascii="Times New Roman" w:hAnsi="Times New Roman" w:cs="Times New Roman"/>
                <w:b w:val="0"/>
                <w:bCs w:val="0"/>
                <w:color w:val="auto"/>
                <w:kern w:val="0"/>
                <w:sz w:val="21"/>
                <w:szCs w:val="21"/>
                <w:lang w:val="en-US" w:eastAsia="zh-CN"/>
              </w:rPr>
              <w:t>m</w:t>
            </w:r>
            <w:r>
              <w:rPr>
                <w:rFonts w:hint="default" w:ascii="Times New Roman" w:hAnsi="Times New Roman" w:cs="Times New Roman"/>
                <w:b w:val="0"/>
                <w:bCs w:val="0"/>
                <w:color w:val="auto"/>
                <w:kern w:val="0"/>
                <w:sz w:val="21"/>
                <w:szCs w:val="21"/>
                <w:vertAlign w:val="superscript"/>
                <w:lang w:val="en-US" w:eastAsia="zh-CN"/>
              </w:rPr>
              <w:t>2</w:t>
            </w:r>
            <w:r>
              <w:rPr>
                <w:rFonts w:hint="default" w:ascii="Times New Roman" w:hAnsi="Times New Roman" w:cs="Times New Roman"/>
                <w:b w:val="0"/>
                <w:bCs w:val="0"/>
                <w:color w:val="auto"/>
                <w:kern w:val="0"/>
                <w:sz w:val="21"/>
                <w:szCs w:val="21"/>
                <w:lang w:val="en-US" w:eastAsia="zh-CN"/>
              </w:rPr>
              <w:t>危废仓库可以满足本项目危废暂存所需。为进一步避免风险，建议企业尽量减少危险废物的暂存周期，及时委托有资质单位进行处置。</w:t>
            </w:r>
          </w:p>
          <w:p w14:paraId="73AED56E">
            <w:pPr>
              <w:adjustRightInd w:val="0"/>
              <w:snapToGrid w:val="0"/>
              <w:jc w:val="cente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rPr>
              <w:t>4-</w:t>
            </w:r>
            <w:r>
              <w:rPr>
                <w:rFonts w:hint="eastAsia" w:ascii="Times New Roman" w:hAnsi="Times New Roman" w:eastAsia="宋体" w:cs="Times New Roman"/>
                <w:b/>
                <w:bCs/>
                <w:color w:val="auto"/>
                <w:sz w:val="21"/>
                <w:szCs w:val="21"/>
                <w:lang w:val="en-US" w:eastAsia="zh-CN"/>
              </w:rPr>
              <w:t>2</w:t>
            </w:r>
            <w:r>
              <w:rPr>
                <w:rFonts w:hint="eastAsia" w:cs="Times New Roman"/>
                <w:b/>
                <w:bCs/>
                <w:color w:val="auto"/>
                <w:sz w:val="21"/>
                <w:szCs w:val="21"/>
                <w:lang w:val="en-US" w:eastAsia="zh-CN"/>
              </w:rPr>
              <w:t>1</w:t>
            </w:r>
            <w:r>
              <w:rPr>
                <w:rFonts w:hint="eastAsia" w:ascii="Times New Roman" w:hAnsi="Times New Roman" w:eastAsia="宋体" w:cs="Times New Roman"/>
                <w:b/>
                <w:bCs/>
                <w:color w:val="auto"/>
                <w:sz w:val="21"/>
                <w:szCs w:val="21"/>
              </w:rPr>
              <w:t xml:space="preserve">  与《危险废物贮存污染控制标准》(GB18597-2023)相符性分析</w:t>
            </w:r>
          </w:p>
          <w:tbl>
            <w:tblPr>
              <w:tblStyle w:val="42"/>
              <w:tblW w:w="4984"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76"/>
              <w:gridCol w:w="668"/>
              <w:gridCol w:w="3738"/>
              <w:gridCol w:w="2562"/>
              <w:gridCol w:w="601"/>
            </w:tblGrid>
            <w:tr w14:paraId="396DD6C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409" w:type="pct"/>
                  <w:noWrap w:val="0"/>
                  <w:vAlign w:val="center"/>
                </w:tcPr>
                <w:p w14:paraId="2A0D5E7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val="en-US" w:eastAsia="zh-CN"/>
                    </w:rPr>
                    <w:t>序号</w:t>
                  </w:r>
                </w:p>
              </w:tc>
              <w:tc>
                <w:tcPr>
                  <w:tcW w:w="2672" w:type="pct"/>
                  <w:gridSpan w:val="2"/>
                  <w:noWrap w:val="0"/>
                  <w:vAlign w:val="center"/>
                </w:tcPr>
                <w:p w14:paraId="52EC896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规范设置要求</w:t>
                  </w:r>
                </w:p>
              </w:tc>
              <w:tc>
                <w:tcPr>
                  <w:tcW w:w="1553" w:type="pct"/>
                  <w:noWrap w:val="0"/>
                  <w:vAlign w:val="center"/>
                </w:tcPr>
                <w:p w14:paraId="77AE9FE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拟设置情况</w:t>
                  </w:r>
                </w:p>
              </w:tc>
              <w:tc>
                <w:tcPr>
                  <w:tcW w:w="364" w:type="pct"/>
                  <w:noWrap w:val="0"/>
                  <w:vAlign w:val="center"/>
                </w:tcPr>
                <w:p w14:paraId="554F803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相符性</w:t>
                  </w:r>
                </w:p>
              </w:tc>
            </w:tr>
            <w:tr w14:paraId="4F81BF7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06" w:hRule="atLeast"/>
                <w:jc w:val="center"/>
              </w:trPr>
              <w:tc>
                <w:tcPr>
                  <w:tcW w:w="409" w:type="pct"/>
                  <w:noWrap w:val="0"/>
                  <w:vAlign w:val="center"/>
                </w:tcPr>
                <w:p w14:paraId="2F44372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05" w:type="pct"/>
                  <w:vMerge w:val="restart"/>
                  <w:noWrap w:val="0"/>
                  <w:vAlign w:val="center"/>
                </w:tcPr>
                <w:p w14:paraId="71E4A9A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贮存设施污染控制要求</w:t>
                  </w:r>
                </w:p>
              </w:tc>
              <w:tc>
                <w:tcPr>
                  <w:tcW w:w="2266" w:type="pct"/>
                  <w:noWrap w:val="0"/>
                  <w:vAlign w:val="center"/>
                </w:tcPr>
                <w:p w14:paraId="6C1AAD5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贮存设施应根据危险废物的形态、物理化学性质、包装形式和污染物迁移途径，采取必要的防风、防晒、防雨、防漏、防渗防腐以及其他环境污染防治措施，不应露天堆放危险废物。</w:t>
                  </w:r>
                </w:p>
              </w:tc>
              <w:tc>
                <w:tcPr>
                  <w:tcW w:w="1553" w:type="pct"/>
                  <w:noWrap w:val="0"/>
                  <w:vAlign w:val="center"/>
                </w:tcPr>
                <w:p w14:paraId="71B91649">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本项目危废分区分类储存于危废暂存区，无露天堆放。危险废物贮存设施规范采取防风、防晒、防雨、防漏、防渗、防腐措施。</w:t>
                  </w:r>
                </w:p>
              </w:tc>
              <w:tc>
                <w:tcPr>
                  <w:tcW w:w="364" w:type="pct"/>
                  <w:noWrap w:val="0"/>
                  <w:vAlign w:val="center"/>
                </w:tcPr>
                <w:p w14:paraId="583A070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相符</w:t>
                  </w:r>
                </w:p>
              </w:tc>
            </w:tr>
            <w:tr w14:paraId="58857A0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409" w:type="pct"/>
                  <w:noWrap w:val="0"/>
                  <w:vAlign w:val="center"/>
                </w:tcPr>
                <w:p w14:paraId="7C5775E0">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05" w:type="pct"/>
                  <w:vMerge w:val="continue"/>
                  <w:noWrap w:val="0"/>
                  <w:vAlign w:val="center"/>
                </w:tcPr>
                <w:p w14:paraId="1FBDB4F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1D20A0F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贮存设施应根据危险废物的类别、</w:t>
                  </w:r>
                  <w:r>
                    <w:rPr>
                      <w:rFonts w:hint="default" w:ascii="Times New Roman" w:hAnsi="Times New Roman" w:cs="Times New Roman"/>
                      <w:color w:val="auto"/>
                      <w:sz w:val="21"/>
                      <w:szCs w:val="21"/>
                      <w:lang w:eastAsia="zh-CN"/>
                    </w:rPr>
                    <w:t>数量</w:t>
                  </w:r>
                  <w:r>
                    <w:rPr>
                      <w:rFonts w:hint="default" w:ascii="Times New Roman" w:hAnsi="Times New Roman" w:cs="Times New Roman"/>
                      <w:color w:val="auto"/>
                      <w:sz w:val="21"/>
                      <w:szCs w:val="21"/>
                    </w:rPr>
                    <w:t>、形态、物理化学性质和污染防治等要求设置必要的贮存分区，避免不相容的危险废物接触、混合。</w:t>
                  </w:r>
                </w:p>
              </w:tc>
              <w:tc>
                <w:tcPr>
                  <w:tcW w:w="1553" w:type="pct"/>
                  <w:noWrap w:val="0"/>
                  <w:vAlign w:val="center"/>
                </w:tcPr>
                <w:p w14:paraId="74D57B2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本项目危废分区分类储存。</w:t>
                  </w:r>
                </w:p>
              </w:tc>
              <w:tc>
                <w:tcPr>
                  <w:tcW w:w="364" w:type="pct"/>
                  <w:noWrap w:val="0"/>
                  <w:vAlign w:val="center"/>
                </w:tcPr>
                <w:p w14:paraId="5D26A3B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201BE47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035" w:hRule="atLeast"/>
                <w:jc w:val="center"/>
              </w:trPr>
              <w:tc>
                <w:tcPr>
                  <w:tcW w:w="409" w:type="pct"/>
                  <w:noWrap w:val="0"/>
                  <w:vAlign w:val="center"/>
                </w:tcPr>
                <w:p w14:paraId="581E7D0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405" w:type="pct"/>
                  <w:vMerge w:val="continue"/>
                  <w:noWrap w:val="0"/>
                  <w:vAlign w:val="center"/>
                </w:tcPr>
                <w:p w14:paraId="367BF971">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176F827B">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贮存设施或贮存分区内地面、墙面裙脚、堵截泄漏的围堰、接触危险废物的隔板和墙体等应采用坚固的材料建造，表面无裂缝。</w:t>
                  </w:r>
                </w:p>
              </w:tc>
              <w:tc>
                <w:tcPr>
                  <w:tcW w:w="1553" w:type="pct"/>
                  <w:noWrap w:val="0"/>
                  <w:vAlign w:val="center"/>
                </w:tcPr>
                <w:p w14:paraId="38AA86D4">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本项目危废暂存区地面与裙脚等要用坚固、防渗的材料建造（涂刷防腐、防渗涂料），渗透系数</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表面无裂缝</w:t>
                  </w:r>
                  <w:r>
                    <w:rPr>
                      <w:rFonts w:hint="default" w:ascii="Times New Roman" w:hAnsi="Times New Roman" w:cs="Times New Roman"/>
                      <w:color w:val="auto"/>
                      <w:sz w:val="21"/>
                      <w:szCs w:val="21"/>
                      <w:lang w:eastAsia="zh-CN"/>
                    </w:rPr>
                    <w:t>。</w:t>
                  </w:r>
                </w:p>
              </w:tc>
              <w:tc>
                <w:tcPr>
                  <w:tcW w:w="364" w:type="pct"/>
                  <w:noWrap w:val="0"/>
                  <w:vAlign w:val="center"/>
                </w:tcPr>
                <w:p w14:paraId="463A3F39">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7F3EA56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289" w:hRule="atLeast"/>
                <w:jc w:val="center"/>
              </w:trPr>
              <w:tc>
                <w:tcPr>
                  <w:tcW w:w="409" w:type="pct"/>
                  <w:noWrap w:val="0"/>
                  <w:vAlign w:val="center"/>
                </w:tcPr>
                <w:p w14:paraId="4175E220">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405" w:type="pct"/>
                  <w:vMerge w:val="continue"/>
                  <w:noWrap w:val="0"/>
                  <w:vAlign w:val="center"/>
                </w:tcPr>
                <w:p w14:paraId="3B12C729">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0867BAFC">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贮存设施地面与裙脚应采取表面防渗措施；表面防渗材料应与所接触的物料或污染物相容，可</w:t>
                  </w:r>
                  <w:r>
                    <w:rPr>
                      <w:rFonts w:hint="default" w:ascii="Times New Roman" w:hAnsi="Times New Roman" w:cs="Times New Roman"/>
                      <w:color w:val="auto"/>
                      <w:sz w:val="21"/>
                      <w:szCs w:val="21"/>
                      <w:lang w:val="en-US" w:eastAsia="zh-CN"/>
                    </w:rPr>
                    <w:t>采用抗渗混凝土、高密度聚乙烯膜、钠基膨润土防水毯或其他防渗性能等效的材料。贮存的危险废物直接接触地面的，还应进行基础防渗，防渗层为至少1m厚黏土层（渗透系数不大千10</w:t>
                  </w:r>
                  <w:r>
                    <w:rPr>
                      <w:rFonts w:hint="default" w:ascii="Times New Roman" w:hAnsi="Times New Roman" w:cs="Times New Roman"/>
                      <w:color w:val="auto"/>
                      <w:sz w:val="21"/>
                      <w:szCs w:val="21"/>
                      <w:vertAlign w:val="superscript"/>
                      <w:lang w:val="en-US" w:eastAsia="zh-CN"/>
                    </w:rPr>
                    <w:t>-7</w:t>
                  </w:r>
                  <w:r>
                    <w:rPr>
                      <w:rFonts w:hint="default" w:ascii="Times New Roman" w:hAnsi="Times New Roman" w:cs="Times New Roman"/>
                      <w:color w:val="auto"/>
                      <w:sz w:val="21"/>
                      <w:szCs w:val="21"/>
                      <w:lang w:val="en-US" w:eastAsia="zh-CN"/>
                    </w:rPr>
                    <w:t>cm/s)或至少2mm厚高密度聚乙烯膜等人工防渗材料（渗透系数不大千10-10cm/s)，或其他防渗性能等效的材料。</w:t>
                  </w:r>
                </w:p>
              </w:tc>
              <w:tc>
                <w:tcPr>
                  <w:tcW w:w="1553" w:type="pct"/>
                  <w:noWrap w:val="0"/>
                  <w:vAlign w:val="center"/>
                </w:tcPr>
                <w:p w14:paraId="6F6E9E3D">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本项目危废暂存区地面与裙脚等要用坚固、防渗的材料建造（涂刷防腐、防渗涂料），渗透系数10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tc>
              <w:tc>
                <w:tcPr>
                  <w:tcW w:w="364" w:type="pct"/>
                  <w:noWrap w:val="0"/>
                  <w:vAlign w:val="center"/>
                </w:tcPr>
                <w:p w14:paraId="4F02964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6B5D24A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4998A69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405" w:type="pct"/>
                  <w:vMerge w:val="continue"/>
                  <w:noWrap w:val="0"/>
                  <w:vAlign w:val="center"/>
                </w:tcPr>
                <w:p w14:paraId="6642994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2F023E9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同一</w:t>
                  </w:r>
                  <w:r>
                    <w:rPr>
                      <w:rFonts w:hint="default" w:ascii="Times New Roman" w:hAnsi="Times New Roman" w:cs="Times New Roman"/>
                      <w:color w:val="auto"/>
                      <w:sz w:val="21"/>
                      <w:szCs w:val="21"/>
                    </w:rPr>
                    <w:t>贮存设施宜采用相同的防渗、防腐工艺（包括防渗、防腐结构或材料），防渗、防腐材料应狻盖所有可能与废物及其渗滤液、渗漏液等接触的构筑物表面；采用不同防渗、防腐工艺应分别建设贮存分区。</w:t>
                  </w:r>
                </w:p>
              </w:tc>
              <w:tc>
                <w:tcPr>
                  <w:tcW w:w="1553" w:type="pct"/>
                  <w:noWrap w:val="0"/>
                  <w:vAlign w:val="center"/>
                </w:tcPr>
                <w:p w14:paraId="2A4050B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本项目危废暂存区地面与裙脚等要采用相同的防渗、防腐工艺，防渗、防腐材料覆盖所有可能与废物及其渗滤液、</w:t>
                  </w:r>
                  <w:r>
                    <w:rPr>
                      <w:rFonts w:hint="default" w:ascii="Times New Roman" w:hAnsi="Times New Roman" w:cs="Times New Roman"/>
                      <w:color w:val="auto"/>
                      <w:sz w:val="21"/>
                      <w:szCs w:val="21"/>
                      <w:lang w:eastAsia="zh-CN"/>
                    </w:rPr>
                    <w:t>渗透</w:t>
                  </w:r>
                  <w:r>
                    <w:rPr>
                      <w:rFonts w:hint="default" w:ascii="Times New Roman" w:hAnsi="Times New Roman" w:cs="Times New Roman"/>
                      <w:color w:val="auto"/>
                      <w:sz w:val="21"/>
                      <w:szCs w:val="21"/>
                    </w:rPr>
                    <w:t>液等接触的构筑物表面</w:t>
                  </w:r>
                </w:p>
              </w:tc>
              <w:tc>
                <w:tcPr>
                  <w:tcW w:w="364" w:type="pct"/>
                  <w:noWrap w:val="0"/>
                  <w:vAlign w:val="center"/>
                </w:tcPr>
                <w:p w14:paraId="5F4101F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25FAF19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7659A54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405" w:type="pct"/>
                  <w:vMerge w:val="continue"/>
                  <w:noWrap w:val="0"/>
                  <w:vAlign w:val="center"/>
                </w:tcPr>
                <w:p w14:paraId="1E8AED4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487ADA7C">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贮存设施应采取技术和管理措施防止无关人员进入</w:t>
                  </w:r>
                  <w:r>
                    <w:rPr>
                      <w:rFonts w:hint="default" w:ascii="Times New Roman" w:hAnsi="Times New Roman" w:cs="Times New Roman"/>
                      <w:color w:val="auto"/>
                      <w:sz w:val="21"/>
                      <w:szCs w:val="21"/>
                      <w:lang w:eastAsia="zh-CN"/>
                    </w:rPr>
                    <w:t>。</w:t>
                  </w:r>
                </w:p>
              </w:tc>
              <w:tc>
                <w:tcPr>
                  <w:tcW w:w="1553" w:type="pct"/>
                  <w:noWrap w:val="0"/>
                  <w:vAlign w:val="center"/>
                </w:tcPr>
                <w:p w14:paraId="5AF742F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危险废物暂存区设专人管理，在出入口、设施内部等关键位置规范设置视频监控，并与中控室联网。</w:t>
                  </w:r>
                </w:p>
              </w:tc>
              <w:tc>
                <w:tcPr>
                  <w:tcW w:w="364" w:type="pct"/>
                  <w:noWrap w:val="0"/>
                  <w:vAlign w:val="center"/>
                </w:tcPr>
                <w:p w14:paraId="61E66DCC">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61ED8BB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59F5169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405" w:type="pct"/>
                  <w:vMerge w:val="continue"/>
                  <w:noWrap w:val="0"/>
                  <w:vAlign w:val="center"/>
                </w:tcPr>
                <w:p w14:paraId="7AF5CFB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7FA0BFA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贮存库内不同贮存分区之间应采取隔离措施。隔离措施可根据危险废物特性采用过道、隔板或隔墙等方式。</w:t>
                  </w:r>
                </w:p>
              </w:tc>
              <w:tc>
                <w:tcPr>
                  <w:tcW w:w="1553" w:type="pct"/>
                  <w:noWrap w:val="0"/>
                  <w:vAlign w:val="center"/>
                </w:tcPr>
                <w:p w14:paraId="690B306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本项目各危废分区分类储存</w:t>
                  </w:r>
                  <w:r>
                    <w:rPr>
                      <w:rFonts w:hint="default" w:ascii="Times New Roman" w:hAnsi="Times New Roman" w:cs="Times New Roman"/>
                      <w:color w:val="auto"/>
                      <w:sz w:val="21"/>
                      <w:szCs w:val="21"/>
                      <w:lang w:val="en-US" w:eastAsia="zh-CN"/>
                    </w:rPr>
                    <w:t>于</w:t>
                  </w:r>
                  <w:r>
                    <w:rPr>
                      <w:rFonts w:hint="default" w:ascii="Times New Roman" w:hAnsi="Times New Roman" w:cs="Times New Roman"/>
                      <w:color w:val="auto"/>
                      <w:sz w:val="21"/>
                      <w:szCs w:val="21"/>
                    </w:rPr>
                    <w:t>危废暂存区内，采用过道进行隔离</w:t>
                  </w:r>
                  <w:r>
                    <w:rPr>
                      <w:rFonts w:hint="default" w:ascii="Times New Roman" w:hAnsi="Times New Roman" w:cs="Times New Roman"/>
                      <w:color w:val="auto"/>
                      <w:sz w:val="21"/>
                      <w:szCs w:val="21"/>
                      <w:lang w:eastAsia="zh-CN"/>
                    </w:rPr>
                    <w:t>。</w:t>
                  </w:r>
                </w:p>
              </w:tc>
              <w:tc>
                <w:tcPr>
                  <w:tcW w:w="364" w:type="pct"/>
                  <w:noWrap w:val="0"/>
                  <w:vAlign w:val="center"/>
                </w:tcPr>
                <w:p w14:paraId="7483473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15E5C89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373CEEDC">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405" w:type="pct"/>
                  <w:vMerge w:val="continue"/>
                  <w:noWrap w:val="0"/>
                  <w:vAlign w:val="center"/>
                </w:tcPr>
                <w:p w14:paraId="2EFC225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543F1713">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在贮存库内或通过贮存分区方式贮存液态危险废物的，应具有液体泄漏堵截设施，堵截设施最小容积不应</w:t>
                  </w:r>
                  <w:r>
                    <w:rPr>
                      <w:rFonts w:hint="default" w:ascii="Times New Roman" w:hAnsi="Times New Roman" w:cs="Times New Roman"/>
                      <w:color w:val="auto"/>
                      <w:sz w:val="21"/>
                      <w:szCs w:val="21"/>
                      <w:lang w:eastAsia="zh-CN"/>
                    </w:rPr>
                    <w:t>低于</w:t>
                  </w:r>
                  <w:r>
                    <w:rPr>
                      <w:rFonts w:hint="default" w:ascii="Times New Roman" w:hAnsi="Times New Roman" w:cs="Times New Roman"/>
                      <w:color w:val="auto"/>
                      <w:sz w:val="21"/>
                      <w:szCs w:val="21"/>
                    </w:rPr>
                    <w:t>对应贮存区域最大液态废物容器容积或液态废物总储量1/10(二者取较大者）；</w:t>
                  </w:r>
                  <w:r>
                    <w:rPr>
                      <w:rFonts w:hint="default" w:ascii="Times New Roman" w:hAnsi="Times New Roman" w:cs="Times New Roman"/>
                      <w:color w:val="auto"/>
                      <w:sz w:val="21"/>
                      <w:szCs w:val="21"/>
                      <w:lang w:eastAsia="zh-CN"/>
                    </w:rPr>
                    <w:t>用于</w:t>
                  </w:r>
                  <w:r>
                    <w:rPr>
                      <w:rFonts w:hint="default" w:ascii="Times New Roman" w:hAnsi="Times New Roman" w:cs="Times New Roman"/>
                      <w:color w:val="auto"/>
                      <w:sz w:val="21"/>
                      <w:szCs w:val="21"/>
                    </w:rPr>
                    <w:t>贮存可能产生渗滤液的危险废物的贮存库或贮存分区应设计渗滤液收集设施，收集设施容积应满足渗滤液的收栠要求。</w:t>
                  </w:r>
                </w:p>
              </w:tc>
              <w:tc>
                <w:tcPr>
                  <w:tcW w:w="1553" w:type="pct"/>
                  <w:noWrap w:val="0"/>
                  <w:vAlign w:val="center"/>
                </w:tcPr>
                <w:p w14:paraId="7385458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危险废物暂存区四周设有导流沟，并设置液体收集装置，满足最大泄漏液态物质的收集</w:t>
                  </w:r>
                  <w:r>
                    <w:rPr>
                      <w:rFonts w:hint="default" w:ascii="Times New Roman" w:hAnsi="Times New Roman" w:cs="Times New Roman"/>
                      <w:color w:val="auto"/>
                      <w:sz w:val="21"/>
                      <w:szCs w:val="21"/>
                      <w:lang w:eastAsia="zh-CN"/>
                    </w:rPr>
                    <w:t>。</w:t>
                  </w:r>
                </w:p>
              </w:tc>
              <w:tc>
                <w:tcPr>
                  <w:tcW w:w="364" w:type="pct"/>
                  <w:noWrap w:val="0"/>
                  <w:vAlign w:val="center"/>
                </w:tcPr>
                <w:p w14:paraId="342300F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1DE43F4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1A5B269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405" w:type="pct"/>
                  <w:vMerge w:val="continue"/>
                  <w:noWrap w:val="0"/>
                  <w:vAlign w:val="center"/>
                </w:tcPr>
                <w:p w14:paraId="2BA4FB7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24C9139B">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贮存易产生粉尘、vo</w:t>
                  </w:r>
                  <w:r>
                    <w:rPr>
                      <w:rFonts w:hint="default" w:ascii="Times New Roman" w:hAnsi="Times New Roman" w:cs="Times New Roman"/>
                      <w:color w:val="auto"/>
                      <w:sz w:val="21"/>
                      <w:szCs w:val="21"/>
                      <w:lang w:val="en-US" w:eastAsia="zh-CN"/>
                    </w:rPr>
                    <w:t>c</w:t>
                  </w:r>
                  <w:r>
                    <w:rPr>
                      <w:rFonts w:hint="default" w:ascii="Times New Roman" w:hAnsi="Times New Roman" w:cs="Times New Roman"/>
                      <w:color w:val="auto"/>
                      <w:sz w:val="21"/>
                      <w:szCs w:val="21"/>
                    </w:rPr>
                    <w:t>s、酸雾、有毒有害大气污染物和刺激性气味气体的危险废物贮存库，应设置气体收集装置和气体净化设施；气体净化设施的排气筒高度应符合GB16297要求</w:t>
                  </w:r>
                  <w:r>
                    <w:rPr>
                      <w:rFonts w:hint="default" w:ascii="Times New Roman" w:hAnsi="Times New Roman" w:cs="Times New Roman"/>
                      <w:color w:val="auto"/>
                      <w:sz w:val="21"/>
                      <w:szCs w:val="21"/>
                      <w:lang w:eastAsia="zh-CN"/>
                    </w:rPr>
                    <w:t>。</w:t>
                  </w:r>
                </w:p>
              </w:tc>
              <w:tc>
                <w:tcPr>
                  <w:tcW w:w="1553" w:type="pct"/>
                  <w:noWrap w:val="0"/>
                  <w:vAlign w:val="center"/>
                </w:tcPr>
                <w:p w14:paraId="2F8EFCD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w:t>
                  </w:r>
                  <w:r>
                    <w:rPr>
                      <w:rFonts w:hint="default" w:ascii="Times New Roman" w:hAnsi="Times New Roman" w:cs="Times New Roman"/>
                      <w:color w:val="auto"/>
                      <w:sz w:val="21"/>
                      <w:szCs w:val="21"/>
                      <w:lang w:val="en-US" w:eastAsia="zh-CN"/>
                    </w:rPr>
                    <w:t>废液</w:t>
                  </w:r>
                  <w:r>
                    <w:rPr>
                      <w:rFonts w:hint="default" w:ascii="Times New Roman" w:hAnsi="Times New Roman" w:cs="Times New Roman"/>
                      <w:color w:val="auto"/>
                      <w:sz w:val="21"/>
                      <w:szCs w:val="21"/>
                    </w:rPr>
                    <w:t>均贮存在密闭容器中，无敞开式储存，危废贮存过程基本不产生废气，故无须设置气体导出口及气体净化装置</w:t>
                  </w:r>
                  <w:r>
                    <w:rPr>
                      <w:rFonts w:hint="default" w:ascii="Times New Roman" w:hAnsi="Times New Roman" w:cs="Times New Roman"/>
                      <w:color w:val="auto"/>
                      <w:sz w:val="21"/>
                      <w:szCs w:val="21"/>
                      <w:lang w:eastAsia="zh-CN"/>
                    </w:rPr>
                    <w:t>。</w:t>
                  </w:r>
                </w:p>
              </w:tc>
              <w:tc>
                <w:tcPr>
                  <w:tcW w:w="364" w:type="pct"/>
                  <w:noWrap w:val="0"/>
                  <w:vAlign w:val="center"/>
                </w:tcPr>
                <w:p w14:paraId="15D8343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15FD680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33B63901">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405" w:type="pct"/>
                  <w:vMerge w:val="restart"/>
                  <w:noWrap w:val="0"/>
                  <w:vAlign w:val="center"/>
                </w:tcPr>
                <w:p w14:paraId="789E20A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容器和包装物污染控制要求</w:t>
                  </w:r>
                </w:p>
              </w:tc>
              <w:tc>
                <w:tcPr>
                  <w:tcW w:w="2266" w:type="pct"/>
                  <w:noWrap w:val="0"/>
                  <w:vAlign w:val="center"/>
                </w:tcPr>
                <w:p w14:paraId="1D7B2380">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容器和包装物材质、内衬应与盛装的危险废物相容。</w:t>
                  </w:r>
                </w:p>
              </w:tc>
              <w:tc>
                <w:tcPr>
                  <w:tcW w:w="1553" w:type="pct"/>
                  <w:noWrap w:val="0"/>
                  <w:vAlign w:val="center"/>
                </w:tcPr>
                <w:p w14:paraId="738D603C">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本项目危废均密封暂存，废</w:t>
                  </w:r>
                  <w:r>
                    <w:rPr>
                      <w:rFonts w:hint="default" w:ascii="Times New Roman" w:hAnsi="Times New Roman" w:cs="Times New Roman"/>
                      <w:color w:val="auto"/>
                      <w:sz w:val="21"/>
                      <w:szCs w:val="21"/>
                      <w:lang w:val="en-US" w:eastAsia="zh-CN"/>
                    </w:rPr>
                    <w:t>液</w:t>
                  </w:r>
                  <w:r>
                    <w:rPr>
                      <w:rFonts w:hint="default" w:ascii="Times New Roman" w:hAnsi="Times New Roman" w:cs="Times New Roman"/>
                      <w:color w:val="auto"/>
                      <w:sz w:val="21"/>
                      <w:szCs w:val="21"/>
                    </w:rPr>
                    <w:t>采用密闭桶装，</w:t>
                  </w:r>
                  <w:r>
                    <w:rPr>
                      <w:rFonts w:hint="default" w:ascii="Times New Roman" w:hAnsi="Times New Roman" w:cs="Times New Roman"/>
                      <w:color w:val="auto"/>
                      <w:sz w:val="21"/>
                      <w:szCs w:val="21"/>
                      <w:lang w:val="en-US" w:eastAsia="zh-CN"/>
                    </w:rPr>
                    <w:t>废化学药剂包装、废活性炭</w:t>
                  </w:r>
                  <w:r>
                    <w:rPr>
                      <w:rFonts w:hint="default" w:ascii="Times New Roman" w:hAnsi="Times New Roman" w:cs="Times New Roman"/>
                      <w:color w:val="auto"/>
                      <w:sz w:val="21"/>
                      <w:szCs w:val="21"/>
                    </w:rPr>
                    <w:t>采用防渗漏吨袋，设置防泄漏托盘等，危险废物相容且不相互反应。</w:t>
                  </w:r>
                </w:p>
              </w:tc>
              <w:tc>
                <w:tcPr>
                  <w:tcW w:w="364" w:type="pct"/>
                  <w:noWrap w:val="0"/>
                  <w:vAlign w:val="center"/>
                </w:tcPr>
                <w:p w14:paraId="286D6F17">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2349F1B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606F04A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405" w:type="pct"/>
                  <w:vMerge w:val="continue"/>
                  <w:noWrap w:val="0"/>
                  <w:vAlign w:val="center"/>
                </w:tcPr>
                <w:p w14:paraId="52990F4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7F61FC6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使用容器盛装液态、半固态危险废物时，容器内部应留有适当的空间，以适应因温度变化等可能引发的收缩和膨胀，防止其导致容器渗漏或永久变形。</w:t>
                  </w:r>
                </w:p>
              </w:tc>
              <w:tc>
                <w:tcPr>
                  <w:tcW w:w="1553" w:type="pct"/>
                  <w:noWrap w:val="0"/>
                  <w:vAlign w:val="center"/>
                </w:tcPr>
                <w:p w14:paraId="0DB68E1F">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本项目液态危险废物容器顶部与液体表面之间保留</w:t>
                  </w:r>
                  <w:r>
                    <w:rPr>
                      <w:rFonts w:hint="default" w:ascii="Times New Roman" w:hAnsi="Times New Roman" w:cs="Times New Roman"/>
                      <w:color w:val="auto"/>
                      <w:sz w:val="21"/>
                      <w:szCs w:val="21"/>
                      <w:lang w:val="en-US" w:eastAsia="zh-CN"/>
                    </w:rPr>
                    <w:t>100</w:t>
                  </w:r>
                  <w:r>
                    <w:rPr>
                      <w:rFonts w:hint="default" w:ascii="Times New Roman" w:hAnsi="Times New Roman" w:cs="Times New Roman"/>
                      <w:color w:val="auto"/>
                      <w:sz w:val="21"/>
                      <w:szCs w:val="21"/>
                    </w:rPr>
                    <w:t>毫米以上的空间。</w:t>
                  </w:r>
                </w:p>
              </w:tc>
              <w:tc>
                <w:tcPr>
                  <w:tcW w:w="364" w:type="pct"/>
                  <w:noWrap w:val="0"/>
                  <w:vAlign w:val="center"/>
                </w:tcPr>
                <w:p w14:paraId="21391E0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626B14B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3281E77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405" w:type="pct"/>
                  <w:vMerge w:val="restart"/>
                  <w:noWrap w:val="0"/>
                  <w:vAlign w:val="center"/>
                </w:tcPr>
                <w:p w14:paraId="7AD907F0">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贮存过程污染控制要求</w:t>
                  </w:r>
                </w:p>
              </w:tc>
              <w:tc>
                <w:tcPr>
                  <w:tcW w:w="2266" w:type="pct"/>
                  <w:noWrap w:val="0"/>
                  <w:vAlign w:val="center"/>
                </w:tcPr>
                <w:p w14:paraId="2A4ED451">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在常温常压下不易水解、不易挥发的固态危险废物可分类堆放贮存，其他固态危险废物应装入容器或包装物内贮存。</w:t>
                  </w:r>
                </w:p>
              </w:tc>
              <w:tc>
                <w:tcPr>
                  <w:tcW w:w="1553" w:type="pct"/>
                  <w:noWrap w:val="0"/>
                  <w:vAlign w:val="center"/>
                </w:tcPr>
                <w:p w14:paraId="595ED6F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本项目危废均密封暂存，废</w:t>
                  </w:r>
                  <w:r>
                    <w:rPr>
                      <w:rFonts w:hint="default" w:ascii="Times New Roman" w:hAnsi="Times New Roman" w:cs="Times New Roman"/>
                      <w:color w:val="auto"/>
                      <w:sz w:val="21"/>
                      <w:szCs w:val="21"/>
                      <w:lang w:val="en-US" w:eastAsia="zh-CN"/>
                    </w:rPr>
                    <w:t>液</w:t>
                  </w:r>
                  <w:r>
                    <w:rPr>
                      <w:rFonts w:hint="default" w:ascii="Times New Roman" w:hAnsi="Times New Roman" w:cs="Times New Roman"/>
                      <w:color w:val="auto"/>
                      <w:sz w:val="21"/>
                      <w:szCs w:val="21"/>
                    </w:rPr>
                    <w:t>采用密闭桶装，</w:t>
                  </w:r>
                  <w:r>
                    <w:rPr>
                      <w:rFonts w:hint="default" w:ascii="Times New Roman" w:hAnsi="Times New Roman" w:cs="Times New Roman"/>
                      <w:color w:val="auto"/>
                      <w:sz w:val="21"/>
                      <w:szCs w:val="21"/>
                      <w:lang w:val="en-US" w:eastAsia="zh-CN"/>
                    </w:rPr>
                    <w:t>废化学药剂包装、废活性炭</w:t>
                  </w:r>
                  <w:r>
                    <w:rPr>
                      <w:rFonts w:hint="default" w:ascii="Times New Roman" w:hAnsi="Times New Roman" w:cs="Times New Roman"/>
                      <w:color w:val="auto"/>
                      <w:sz w:val="21"/>
                      <w:szCs w:val="21"/>
                    </w:rPr>
                    <w:t>采用防渗漏吨袋，设置防泄漏托盘等</w:t>
                  </w:r>
                </w:p>
              </w:tc>
              <w:tc>
                <w:tcPr>
                  <w:tcW w:w="364" w:type="pct"/>
                  <w:noWrap w:val="0"/>
                  <w:vAlign w:val="center"/>
                </w:tcPr>
                <w:p w14:paraId="298A077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72F8936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6CC376E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405" w:type="pct"/>
                  <w:vMerge w:val="continue"/>
                  <w:noWrap w:val="0"/>
                  <w:vAlign w:val="center"/>
                </w:tcPr>
                <w:p w14:paraId="478AADE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5E9178AD">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液态危险废物应装入容器内贮存，或直接采用贮存池、贮存罐区贮存。</w:t>
                  </w:r>
                </w:p>
              </w:tc>
              <w:tc>
                <w:tcPr>
                  <w:tcW w:w="1553" w:type="pct"/>
                  <w:noWrap w:val="0"/>
                  <w:vAlign w:val="center"/>
                </w:tcPr>
                <w:p w14:paraId="6894CE7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本项目液</w:t>
                  </w:r>
                  <w:r>
                    <w:rPr>
                      <w:rFonts w:hint="default" w:ascii="Times New Roman" w:hAnsi="Times New Roman" w:cs="Times New Roman"/>
                      <w:color w:val="auto"/>
                      <w:sz w:val="21"/>
                      <w:szCs w:val="21"/>
                      <w:lang w:val="en-US" w:eastAsia="zh-CN"/>
                    </w:rPr>
                    <w:t>态废</w:t>
                  </w:r>
                  <w:r>
                    <w:rPr>
                      <w:rFonts w:hint="default" w:ascii="Times New Roman" w:hAnsi="Times New Roman" w:cs="Times New Roman"/>
                      <w:color w:val="auto"/>
                      <w:sz w:val="21"/>
                      <w:szCs w:val="21"/>
                    </w:rPr>
                    <w:t>物装入容器</w:t>
                  </w:r>
                  <w:r>
                    <w:rPr>
                      <w:rFonts w:hint="default" w:ascii="Times New Roman" w:hAnsi="Times New Roman" w:cs="Times New Roman"/>
                      <w:color w:val="auto"/>
                      <w:sz w:val="21"/>
                      <w:szCs w:val="21"/>
                      <w:lang w:val="en-US" w:eastAsia="zh-CN"/>
                    </w:rPr>
                    <w:t>内贮存。</w:t>
                  </w:r>
                </w:p>
              </w:tc>
              <w:tc>
                <w:tcPr>
                  <w:tcW w:w="364" w:type="pct"/>
                  <w:noWrap w:val="0"/>
                  <w:vAlign w:val="center"/>
                </w:tcPr>
                <w:p w14:paraId="70A35B59">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1A13744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6C6E3201">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405" w:type="pct"/>
                  <w:vMerge w:val="continue"/>
                  <w:noWrap w:val="0"/>
                  <w:vAlign w:val="center"/>
                </w:tcPr>
                <w:p w14:paraId="6CEE6E9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458D0356">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易产生粉尘、</w:t>
                  </w:r>
                  <w:r>
                    <w:rPr>
                      <w:rFonts w:hint="default" w:ascii="Times New Roman" w:hAnsi="Times New Roman" w:cs="Times New Roman"/>
                      <w:color w:val="auto"/>
                      <w:sz w:val="21"/>
                      <w:szCs w:val="21"/>
                      <w:lang w:val="en-US" w:eastAsia="zh-CN"/>
                    </w:rPr>
                    <w:t>VOCs</w:t>
                  </w:r>
                  <w:r>
                    <w:rPr>
                      <w:rFonts w:hint="default" w:ascii="Times New Roman" w:hAnsi="Times New Roman" w:cs="Times New Roman"/>
                      <w:color w:val="auto"/>
                      <w:sz w:val="21"/>
                      <w:szCs w:val="21"/>
                    </w:rPr>
                    <w:t>、酸雾、有毒有害大气污染物和刺激性气味气体的危险废物应装入闭口容器或包装物内贮存。</w:t>
                  </w:r>
                </w:p>
              </w:tc>
              <w:tc>
                <w:tcPr>
                  <w:tcW w:w="1553" w:type="pct"/>
                  <w:noWrap w:val="0"/>
                  <w:vAlign w:val="center"/>
                </w:tcPr>
                <w:p w14:paraId="6848EE3F">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本项目危废均密封暂存，废</w:t>
                  </w:r>
                  <w:r>
                    <w:rPr>
                      <w:rFonts w:hint="default" w:ascii="Times New Roman" w:hAnsi="Times New Roman" w:cs="Times New Roman"/>
                      <w:color w:val="auto"/>
                      <w:sz w:val="21"/>
                      <w:szCs w:val="21"/>
                      <w:lang w:val="en-US" w:eastAsia="zh-CN"/>
                    </w:rPr>
                    <w:t>液</w:t>
                  </w:r>
                  <w:r>
                    <w:rPr>
                      <w:rFonts w:hint="default" w:ascii="Times New Roman" w:hAnsi="Times New Roman" w:cs="Times New Roman"/>
                      <w:color w:val="auto"/>
                      <w:sz w:val="21"/>
                      <w:szCs w:val="21"/>
                    </w:rPr>
                    <w:t>采用密闭桶装，</w:t>
                  </w:r>
                  <w:r>
                    <w:rPr>
                      <w:rFonts w:hint="default" w:ascii="Times New Roman" w:hAnsi="Times New Roman" w:cs="Times New Roman"/>
                      <w:color w:val="auto"/>
                      <w:sz w:val="21"/>
                      <w:szCs w:val="21"/>
                      <w:lang w:val="en-US" w:eastAsia="zh-CN"/>
                    </w:rPr>
                    <w:t>废化学药剂包装、废活性炭</w:t>
                  </w:r>
                  <w:r>
                    <w:rPr>
                      <w:rFonts w:hint="default" w:ascii="Times New Roman" w:hAnsi="Times New Roman" w:cs="Times New Roman"/>
                      <w:color w:val="auto"/>
                      <w:sz w:val="21"/>
                      <w:szCs w:val="21"/>
                    </w:rPr>
                    <w:t>采用防渗漏吨袋，设置防泄漏托盘等</w:t>
                  </w:r>
                </w:p>
              </w:tc>
              <w:tc>
                <w:tcPr>
                  <w:tcW w:w="364" w:type="pct"/>
                  <w:noWrap w:val="0"/>
                  <w:vAlign w:val="center"/>
                </w:tcPr>
                <w:p w14:paraId="61E8CE2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r w14:paraId="0410289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409" w:type="pct"/>
                  <w:noWrap w:val="0"/>
                  <w:vAlign w:val="center"/>
                </w:tcPr>
                <w:p w14:paraId="1EB5CA18">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405" w:type="pct"/>
                  <w:vMerge w:val="continue"/>
                  <w:noWrap w:val="0"/>
                  <w:vAlign w:val="center"/>
                </w:tcPr>
                <w:p w14:paraId="5216EEB5">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p>
              </w:tc>
              <w:tc>
                <w:tcPr>
                  <w:tcW w:w="2266" w:type="pct"/>
                  <w:noWrap w:val="0"/>
                  <w:vAlign w:val="center"/>
                </w:tcPr>
                <w:p w14:paraId="5273DABE">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危险废物贮存过程中易产生粉尘等无组织排</w:t>
                  </w:r>
                  <w:r>
                    <w:rPr>
                      <w:rFonts w:hint="default" w:ascii="Times New Roman" w:hAnsi="Times New Roman" w:cs="Times New Roman"/>
                      <w:color w:val="auto"/>
                      <w:sz w:val="21"/>
                      <w:szCs w:val="21"/>
                      <w:lang w:val="en-US" w:eastAsia="zh-CN"/>
                    </w:rPr>
                    <w:t>放的，应采取抑尘等有效措施。</w:t>
                  </w:r>
                </w:p>
              </w:tc>
              <w:tc>
                <w:tcPr>
                  <w:tcW w:w="1553" w:type="pct"/>
                  <w:noWrap w:val="0"/>
                  <w:vAlign w:val="center"/>
                </w:tcPr>
                <w:p w14:paraId="3CC2EDDA">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本项目危废均密封暂存，不易产生粉尘和有机废气</w:t>
                  </w:r>
                  <w:r>
                    <w:rPr>
                      <w:rFonts w:hint="default" w:ascii="Times New Roman" w:hAnsi="Times New Roman" w:cs="Times New Roman"/>
                      <w:color w:val="auto"/>
                      <w:sz w:val="21"/>
                      <w:szCs w:val="21"/>
                      <w:lang w:eastAsia="zh-CN"/>
                    </w:rPr>
                    <w:t>。</w:t>
                  </w:r>
                </w:p>
              </w:tc>
              <w:tc>
                <w:tcPr>
                  <w:tcW w:w="364" w:type="pct"/>
                  <w:noWrap w:val="0"/>
                  <w:vAlign w:val="center"/>
                </w:tcPr>
                <w:p w14:paraId="026F72E2">
                  <w:pPr>
                    <w:pStyle w:val="16"/>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相符</w:t>
                  </w:r>
                </w:p>
              </w:tc>
            </w:tr>
          </w:tbl>
          <w:p w14:paraId="523507D9">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根据《危险废物识别标志设置技术规范》（HJ1276-2022）设置环境保护图形标志，本公司固废堆放场的环境保护图形标志的具体要求见下表。</w:t>
            </w:r>
          </w:p>
          <w:p w14:paraId="045FDCF1">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2</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rPr>
              <w:t xml:space="preserve">   固废堆放场的环境保护图形标志一览表</w:t>
            </w:r>
          </w:p>
          <w:tbl>
            <w:tblPr>
              <w:tblStyle w:val="42"/>
              <w:tblW w:w="8771" w:type="dxa"/>
              <w:tblInd w:w="5"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06"/>
              <w:gridCol w:w="1305"/>
              <w:gridCol w:w="1560"/>
              <w:gridCol w:w="1185"/>
              <w:gridCol w:w="1155"/>
              <w:gridCol w:w="2660"/>
            </w:tblGrid>
            <w:tr w14:paraId="27BD1E6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906" w:type="dxa"/>
                  <w:noWrap w:val="0"/>
                  <w:vAlign w:val="center"/>
                </w:tcPr>
                <w:p w14:paraId="6109F9F3">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排放口名称</w:t>
                  </w:r>
                </w:p>
              </w:tc>
              <w:tc>
                <w:tcPr>
                  <w:tcW w:w="1305" w:type="dxa"/>
                  <w:noWrap w:val="0"/>
                  <w:vAlign w:val="center"/>
                </w:tcPr>
                <w:p w14:paraId="6DF990D3">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图形标志</w:t>
                  </w:r>
                </w:p>
              </w:tc>
              <w:tc>
                <w:tcPr>
                  <w:tcW w:w="1560" w:type="dxa"/>
                  <w:noWrap w:val="0"/>
                  <w:vAlign w:val="center"/>
                </w:tcPr>
                <w:p w14:paraId="12788C24">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形状</w:t>
                  </w:r>
                </w:p>
              </w:tc>
              <w:tc>
                <w:tcPr>
                  <w:tcW w:w="1185" w:type="dxa"/>
                  <w:noWrap w:val="0"/>
                  <w:vAlign w:val="center"/>
                </w:tcPr>
                <w:p w14:paraId="079C29BC">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背景颜色</w:t>
                  </w:r>
                </w:p>
              </w:tc>
              <w:tc>
                <w:tcPr>
                  <w:tcW w:w="1155" w:type="dxa"/>
                  <w:noWrap w:val="0"/>
                  <w:vAlign w:val="center"/>
                </w:tcPr>
                <w:p w14:paraId="5FAE5953">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图形颜色</w:t>
                  </w:r>
                </w:p>
              </w:tc>
              <w:tc>
                <w:tcPr>
                  <w:tcW w:w="2660" w:type="dxa"/>
                  <w:noWrap w:val="0"/>
                  <w:vAlign w:val="center"/>
                </w:tcPr>
                <w:p w14:paraId="68034074">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图形标志</w:t>
                  </w:r>
                </w:p>
              </w:tc>
            </w:tr>
            <w:tr w14:paraId="718ECDF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906" w:type="dxa"/>
                  <w:vMerge w:val="restart"/>
                  <w:noWrap w:val="0"/>
                  <w:vAlign w:val="center"/>
                </w:tcPr>
                <w:p w14:paraId="75986741">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危险废物仓库</w:t>
                  </w:r>
                </w:p>
              </w:tc>
              <w:tc>
                <w:tcPr>
                  <w:tcW w:w="1305" w:type="dxa"/>
                  <w:noWrap w:val="0"/>
                  <w:vAlign w:val="center"/>
                </w:tcPr>
                <w:p w14:paraId="7C8258B6">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危险废物贮存设施标志</w:t>
                  </w:r>
                </w:p>
              </w:tc>
              <w:tc>
                <w:tcPr>
                  <w:tcW w:w="1560" w:type="dxa"/>
                  <w:noWrap w:val="0"/>
                  <w:vAlign w:val="center"/>
                </w:tcPr>
                <w:p w14:paraId="5AF4A244">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长方形边框</w:t>
                  </w:r>
                </w:p>
              </w:tc>
              <w:tc>
                <w:tcPr>
                  <w:tcW w:w="1185" w:type="dxa"/>
                  <w:noWrap w:val="0"/>
                  <w:vAlign w:val="center"/>
                </w:tcPr>
                <w:p w14:paraId="5CEC8926">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黄色</w:t>
                  </w:r>
                </w:p>
              </w:tc>
              <w:tc>
                <w:tcPr>
                  <w:tcW w:w="1155" w:type="dxa"/>
                  <w:noWrap w:val="0"/>
                  <w:vAlign w:val="center"/>
                </w:tcPr>
                <w:p w14:paraId="23D9B8AB">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黑色</w:t>
                  </w:r>
                </w:p>
              </w:tc>
              <w:tc>
                <w:tcPr>
                  <w:tcW w:w="2660" w:type="dxa"/>
                  <w:noWrap w:val="0"/>
                  <w:vAlign w:val="center"/>
                </w:tcPr>
                <w:p w14:paraId="486E0A1B">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drawing>
                      <wp:inline distT="0" distB="0" distL="114300" distR="114300">
                        <wp:extent cx="790575" cy="1259840"/>
                        <wp:effectExtent l="0" t="0" r="9525" b="1651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790575" cy="1259840"/>
                                </a:xfrm>
                                <a:prstGeom prst="rect">
                                  <a:avLst/>
                                </a:prstGeom>
                                <a:noFill/>
                                <a:ln>
                                  <a:noFill/>
                                </a:ln>
                              </pic:spPr>
                            </pic:pic>
                          </a:graphicData>
                        </a:graphic>
                      </wp:inline>
                    </w:drawing>
                  </w:r>
                </w:p>
              </w:tc>
            </w:tr>
            <w:tr w14:paraId="5902A09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906" w:type="dxa"/>
                  <w:vMerge w:val="continue"/>
                  <w:noWrap w:val="0"/>
                  <w:vAlign w:val="center"/>
                </w:tcPr>
                <w:p w14:paraId="42F2F77A">
                  <w:pPr>
                    <w:adjustRightInd w:val="0"/>
                    <w:snapToGrid w:val="0"/>
                    <w:jc w:val="center"/>
                    <w:rPr>
                      <w:rFonts w:hint="eastAsia" w:ascii="Times New Roman" w:hAnsi="Times New Roman" w:eastAsia="宋体" w:cs="Times New Roman"/>
                      <w:b w:val="0"/>
                      <w:bCs w:val="0"/>
                      <w:color w:val="auto"/>
                      <w:sz w:val="21"/>
                      <w:szCs w:val="21"/>
                    </w:rPr>
                  </w:pPr>
                </w:p>
              </w:tc>
              <w:tc>
                <w:tcPr>
                  <w:tcW w:w="1305" w:type="dxa"/>
                  <w:noWrap w:val="0"/>
                  <w:vAlign w:val="center"/>
                </w:tcPr>
                <w:p w14:paraId="2775F014">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危废贮存分区标志</w:t>
                  </w:r>
                </w:p>
              </w:tc>
              <w:tc>
                <w:tcPr>
                  <w:tcW w:w="1560" w:type="dxa"/>
                  <w:noWrap w:val="0"/>
                  <w:vAlign w:val="center"/>
                </w:tcPr>
                <w:p w14:paraId="233B8E31">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长方形边框</w:t>
                  </w:r>
                </w:p>
              </w:tc>
              <w:tc>
                <w:tcPr>
                  <w:tcW w:w="1185" w:type="dxa"/>
                  <w:noWrap w:val="0"/>
                  <w:vAlign w:val="center"/>
                </w:tcPr>
                <w:p w14:paraId="14D7C428">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黄色</w:t>
                  </w:r>
                </w:p>
              </w:tc>
              <w:tc>
                <w:tcPr>
                  <w:tcW w:w="1155" w:type="dxa"/>
                  <w:noWrap w:val="0"/>
                  <w:vAlign w:val="center"/>
                </w:tcPr>
                <w:p w14:paraId="5A2B30BC">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黑色</w:t>
                  </w:r>
                </w:p>
              </w:tc>
              <w:tc>
                <w:tcPr>
                  <w:tcW w:w="2660" w:type="dxa"/>
                  <w:noWrap w:val="0"/>
                  <w:vAlign w:val="center"/>
                </w:tcPr>
                <w:p w14:paraId="5E901B7A">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drawing>
                      <wp:inline distT="0" distB="0" distL="114300" distR="114300">
                        <wp:extent cx="791210" cy="668655"/>
                        <wp:effectExtent l="0" t="0" r="8890" b="17145"/>
                        <wp:docPr id="64" name="图片 2" descr="168381645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descr="1683816454404"/>
                                <pic:cNvPicPr>
                                  <a:picLocks noChangeAspect="1"/>
                                </pic:cNvPicPr>
                              </pic:nvPicPr>
                              <pic:blipFill>
                                <a:blip r:embed="rId22"/>
                                <a:stretch>
                                  <a:fillRect/>
                                </a:stretch>
                              </pic:blipFill>
                              <pic:spPr>
                                <a:xfrm>
                                  <a:off x="0" y="0"/>
                                  <a:ext cx="791210" cy="668655"/>
                                </a:xfrm>
                                <a:prstGeom prst="rect">
                                  <a:avLst/>
                                </a:prstGeom>
                                <a:noFill/>
                                <a:ln>
                                  <a:noFill/>
                                </a:ln>
                              </pic:spPr>
                            </pic:pic>
                          </a:graphicData>
                        </a:graphic>
                      </wp:inline>
                    </w:drawing>
                  </w:r>
                </w:p>
              </w:tc>
            </w:tr>
            <w:tr w14:paraId="6972081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906" w:type="dxa"/>
                  <w:vMerge w:val="continue"/>
                  <w:noWrap w:val="0"/>
                  <w:vAlign w:val="center"/>
                </w:tcPr>
                <w:p w14:paraId="36490120">
                  <w:pPr>
                    <w:adjustRightInd w:val="0"/>
                    <w:snapToGrid w:val="0"/>
                    <w:jc w:val="center"/>
                    <w:rPr>
                      <w:rFonts w:hint="eastAsia" w:ascii="Times New Roman" w:hAnsi="Times New Roman" w:eastAsia="宋体" w:cs="Times New Roman"/>
                      <w:b w:val="0"/>
                      <w:bCs w:val="0"/>
                      <w:color w:val="auto"/>
                      <w:sz w:val="21"/>
                      <w:szCs w:val="21"/>
                    </w:rPr>
                  </w:pPr>
                </w:p>
              </w:tc>
              <w:tc>
                <w:tcPr>
                  <w:tcW w:w="1305" w:type="dxa"/>
                  <w:noWrap w:val="0"/>
                  <w:vAlign w:val="center"/>
                </w:tcPr>
                <w:p w14:paraId="79347FDB">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包装识别标签</w:t>
                  </w:r>
                </w:p>
              </w:tc>
              <w:tc>
                <w:tcPr>
                  <w:tcW w:w="1560" w:type="dxa"/>
                  <w:noWrap w:val="0"/>
                  <w:vAlign w:val="center"/>
                </w:tcPr>
                <w:p w14:paraId="058EBF36">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长方形边框</w:t>
                  </w:r>
                </w:p>
              </w:tc>
              <w:tc>
                <w:tcPr>
                  <w:tcW w:w="1185" w:type="dxa"/>
                  <w:noWrap w:val="0"/>
                  <w:vAlign w:val="center"/>
                </w:tcPr>
                <w:p w14:paraId="676AC9C3">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橘黄色</w:t>
                  </w:r>
                </w:p>
              </w:tc>
              <w:tc>
                <w:tcPr>
                  <w:tcW w:w="1155" w:type="dxa"/>
                  <w:noWrap w:val="0"/>
                  <w:vAlign w:val="center"/>
                </w:tcPr>
                <w:p w14:paraId="2D586CF5">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黑色</w:t>
                  </w:r>
                </w:p>
              </w:tc>
              <w:tc>
                <w:tcPr>
                  <w:tcW w:w="2660" w:type="dxa"/>
                  <w:noWrap w:val="0"/>
                  <w:vAlign w:val="center"/>
                </w:tcPr>
                <w:p w14:paraId="0FDA18B5">
                  <w:pPr>
                    <w:adjustRightInd w:val="0"/>
                    <w:snapToGrid w:val="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drawing>
                      <wp:inline distT="0" distB="0" distL="114300" distR="114300">
                        <wp:extent cx="962660" cy="962660"/>
                        <wp:effectExtent l="0" t="0" r="8890" b="8890"/>
                        <wp:docPr id="1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
                                <pic:cNvPicPr>
                                  <a:picLocks noChangeAspect="1"/>
                                </pic:cNvPicPr>
                              </pic:nvPicPr>
                              <pic:blipFill>
                                <a:blip r:embed="rId23"/>
                                <a:stretch>
                                  <a:fillRect/>
                                </a:stretch>
                              </pic:blipFill>
                              <pic:spPr>
                                <a:xfrm>
                                  <a:off x="0" y="0"/>
                                  <a:ext cx="962660" cy="962660"/>
                                </a:xfrm>
                                <a:prstGeom prst="rect">
                                  <a:avLst/>
                                </a:prstGeom>
                                <a:noFill/>
                                <a:ln>
                                  <a:noFill/>
                                </a:ln>
                              </pic:spPr>
                            </pic:pic>
                          </a:graphicData>
                        </a:graphic>
                      </wp:inline>
                    </w:drawing>
                  </w:r>
                </w:p>
              </w:tc>
            </w:tr>
          </w:tbl>
          <w:p w14:paraId="66DFD3CE">
            <w:pPr>
              <w:adjustRightInd w:val="0"/>
              <w:snapToGrid w:val="0"/>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与《江苏省固体废物全过程环境监督工作意见》（苏环办</w:t>
            </w:r>
            <w:r>
              <w:rPr>
                <w:rFonts w:hint="eastAsia"/>
                <w:b w:val="0"/>
                <w:bCs w:val="0"/>
                <w:color w:val="auto"/>
                <w:kern w:val="0"/>
                <w:szCs w:val="21"/>
              </w:rPr>
              <w:t>〔</w:t>
            </w:r>
            <w:r>
              <w:rPr>
                <w:rFonts w:hint="default" w:ascii="Times New Roman" w:hAnsi="Times New Roman" w:eastAsia="宋体" w:cs="Times New Roman"/>
                <w:color w:val="auto"/>
                <w:kern w:val="0"/>
                <w:szCs w:val="21"/>
                <w:lang w:val="en-US" w:eastAsia="zh-CN"/>
              </w:rPr>
              <w:t>2024</w:t>
            </w:r>
            <w:r>
              <w:rPr>
                <w:rFonts w:hint="eastAsia"/>
                <w:b w:val="0"/>
                <w:bCs/>
                <w:color w:val="auto"/>
                <w:sz w:val="21"/>
                <w:szCs w:val="21"/>
                <w:lang w:val="en-US" w:eastAsia="zh-CN"/>
              </w:rPr>
              <w:t>〕</w:t>
            </w:r>
            <w:r>
              <w:rPr>
                <w:rFonts w:hint="default" w:ascii="Times New Roman" w:hAnsi="Times New Roman" w:eastAsia="宋体" w:cs="Times New Roman"/>
                <w:color w:val="auto"/>
                <w:kern w:val="0"/>
                <w:szCs w:val="21"/>
                <w:lang w:val="en-US" w:eastAsia="zh-CN"/>
              </w:rPr>
              <w:t>16号）的相符性分析</w:t>
            </w:r>
          </w:p>
          <w:p w14:paraId="48E6E991">
            <w:pPr>
              <w:adjustRightInd w:val="0"/>
              <w:snapToGrid w:val="0"/>
              <w:spacing w:line="360" w:lineRule="auto"/>
              <w:ind w:firstLine="422" w:firstLineChars="200"/>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表</w:t>
            </w:r>
            <w:r>
              <w:rPr>
                <w:rFonts w:hint="eastAsia" w:ascii="Times New Roman" w:hAnsi="Times New Roman" w:eastAsia="宋体" w:cs="Times New Roman"/>
                <w:b/>
                <w:bCs/>
                <w:color w:val="auto"/>
                <w:kern w:val="0"/>
                <w:szCs w:val="21"/>
                <w:lang w:val="en-US" w:eastAsia="zh-CN"/>
              </w:rPr>
              <w:t>4-2</w:t>
            </w:r>
            <w:r>
              <w:rPr>
                <w:rFonts w:hint="eastAsia" w:cs="Times New Roman"/>
                <w:b/>
                <w:bCs/>
                <w:color w:val="auto"/>
                <w:kern w:val="0"/>
                <w:szCs w:val="21"/>
                <w:lang w:val="en-US" w:eastAsia="zh-CN"/>
              </w:rPr>
              <w:t>3</w:t>
            </w:r>
            <w:r>
              <w:rPr>
                <w:rFonts w:hint="eastAsia" w:ascii="Times New Roman" w:hAnsi="Times New Roman" w:eastAsia="宋体" w:cs="Times New Roman"/>
                <w:b/>
                <w:bCs/>
                <w:color w:val="auto"/>
                <w:kern w:val="0"/>
                <w:szCs w:val="21"/>
                <w:lang w:val="en-US" w:eastAsia="zh-CN"/>
              </w:rPr>
              <w:t xml:space="preserve"> </w:t>
            </w:r>
            <w:r>
              <w:rPr>
                <w:rFonts w:hint="default" w:ascii="Times New Roman" w:hAnsi="Times New Roman" w:eastAsia="宋体" w:cs="Times New Roman"/>
                <w:b/>
                <w:bCs/>
                <w:color w:val="auto"/>
                <w:kern w:val="0"/>
                <w:szCs w:val="21"/>
                <w:lang w:val="en-US" w:eastAsia="zh-CN"/>
              </w:rPr>
              <w:t>与</w:t>
            </w:r>
            <w:r>
              <w:rPr>
                <w:rFonts w:hint="eastAsia" w:ascii="Times New Roman" w:hAnsi="Times New Roman" w:eastAsia="宋体" w:cs="Times New Roman"/>
                <w:b/>
                <w:bCs/>
                <w:color w:val="auto"/>
                <w:kern w:val="0"/>
                <w:szCs w:val="21"/>
                <w:lang w:val="en-US" w:eastAsia="zh-CN"/>
              </w:rPr>
              <w:t>《江苏省固体废物全过程环境监督工作意见》（苏环办</w:t>
            </w:r>
            <w:r>
              <w:rPr>
                <w:rFonts w:hint="eastAsia"/>
                <w:b/>
                <w:bCs/>
                <w:color w:val="auto"/>
                <w:kern w:val="0"/>
                <w:szCs w:val="21"/>
              </w:rPr>
              <w:t>〔</w:t>
            </w:r>
            <w:r>
              <w:rPr>
                <w:rFonts w:hint="eastAsia" w:ascii="Times New Roman" w:hAnsi="Times New Roman" w:eastAsia="宋体" w:cs="Times New Roman"/>
                <w:b/>
                <w:bCs/>
                <w:color w:val="auto"/>
                <w:kern w:val="0"/>
                <w:szCs w:val="21"/>
                <w:lang w:val="en-US" w:eastAsia="zh-CN"/>
              </w:rPr>
              <w:t>2024</w:t>
            </w:r>
            <w:r>
              <w:rPr>
                <w:rFonts w:hint="eastAsia"/>
                <w:b/>
                <w:bCs w:val="0"/>
                <w:color w:val="auto"/>
                <w:sz w:val="21"/>
                <w:szCs w:val="21"/>
                <w:lang w:val="en-US" w:eastAsia="zh-CN"/>
              </w:rPr>
              <w:t>〕</w:t>
            </w:r>
            <w:r>
              <w:rPr>
                <w:rFonts w:hint="eastAsia" w:ascii="Times New Roman" w:hAnsi="Times New Roman" w:eastAsia="宋体" w:cs="Times New Roman"/>
                <w:b/>
                <w:bCs/>
                <w:color w:val="auto"/>
                <w:kern w:val="0"/>
                <w:szCs w:val="21"/>
                <w:lang w:val="en-US" w:eastAsia="zh-CN"/>
              </w:rPr>
              <w:t>16号）的</w:t>
            </w:r>
            <w:r>
              <w:rPr>
                <w:rFonts w:hint="default" w:ascii="Times New Roman" w:hAnsi="Times New Roman" w:eastAsia="宋体" w:cs="Times New Roman"/>
                <w:b/>
                <w:bCs/>
                <w:color w:val="auto"/>
                <w:kern w:val="0"/>
                <w:szCs w:val="21"/>
                <w:lang w:val="en-US" w:eastAsia="zh-CN"/>
              </w:rPr>
              <w:t>相符性分析</w:t>
            </w:r>
          </w:p>
          <w:tbl>
            <w:tblPr>
              <w:tblStyle w:val="4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145"/>
              <w:gridCol w:w="2459"/>
              <w:gridCol w:w="1039"/>
            </w:tblGrid>
            <w:tr w14:paraId="279548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5647C7FF">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507" w:type="pct"/>
                  <w:noWrap w:val="0"/>
                  <w:vAlign w:val="center"/>
                </w:tcPr>
                <w:p w14:paraId="7911E4C3">
                  <w:pPr>
                    <w:adjustRightInd w:val="0"/>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文件内容</w:t>
                  </w:r>
                </w:p>
              </w:tc>
              <w:tc>
                <w:tcPr>
                  <w:tcW w:w="1487" w:type="pct"/>
                  <w:noWrap w:val="0"/>
                  <w:vAlign w:val="center"/>
                </w:tcPr>
                <w:p w14:paraId="1A21FE69">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本项目情况</w:t>
                  </w:r>
                </w:p>
              </w:tc>
              <w:tc>
                <w:tcPr>
                  <w:tcW w:w="628" w:type="pct"/>
                  <w:noWrap w:val="0"/>
                  <w:vAlign w:val="center"/>
                </w:tcPr>
                <w:p w14:paraId="2CC8DE05">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相符性</w:t>
                  </w:r>
                </w:p>
              </w:tc>
            </w:tr>
            <w:tr w14:paraId="6C492F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6849DE33">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2507" w:type="pct"/>
                  <w:noWrap w:val="0"/>
                  <w:vAlign w:val="center"/>
                </w:tcPr>
                <w:p w14:paraId="71CD6BD1">
                  <w:pPr>
                    <w:widowControl/>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环评要评价产生的固体废物种类、数量、来源和属性，论述贮存、转移和利用处置方式合规性、合理性，提出切实可行的污染防治对策措施。所有产物要按照以下五类属性给予明确并规范表述：目标产物（产品、副产品）、鉴别属于产品（符合国家、地方或行业标准）、可定向用于特定用途按产品管理（如符合团体标准）、一般固体废物和危险废物。不得将不符合GB34330、HJ1091等标准的产物认定为“再生产品”，不得出现“中间产物”“再生产物”等不规范表述，严禁以“副产品”名义逃避监管。不能排除危险特性的固体废物，须在环评文件中明确具体鉴别方案，鉴别前按危险废物管理，鉴别后根据结论按一般固废或危险废物管理。危险废物经营单位项目环评审批要点要与危险废物经营许可审查要求衔接一致。</w:t>
                  </w:r>
                </w:p>
              </w:tc>
              <w:tc>
                <w:tcPr>
                  <w:tcW w:w="1487" w:type="pct"/>
                  <w:noWrap w:val="0"/>
                  <w:vAlign w:val="center"/>
                </w:tcPr>
                <w:p w14:paraId="56D1FBA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已对本项目可能产生的危险废物种类、数量、属性、贮存设施、利用或处置方式进行了分析</w:t>
                  </w:r>
                  <w:r>
                    <w:rPr>
                      <w:rFonts w:hint="default" w:ascii="Times New Roman" w:hAnsi="Times New Roman" w:cs="Times New Roman"/>
                      <w:color w:val="auto"/>
                      <w:kern w:val="0"/>
                      <w:sz w:val="21"/>
                      <w:szCs w:val="21"/>
                      <w:lang w:val="en-US" w:eastAsia="zh-CN"/>
                    </w:rPr>
                    <w:t>描述</w:t>
                  </w:r>
                  <w:r>
                    <w:rPr>
                      <w:rFonts w:hint="default" w:ascii="Times New Roman" w:hAnsi="Times New Roman" w:cs="Times New Roman"/>
                      <w:color w:val="auto"/>
                      <w:kern w:val="0"/>
                      <w:sz w:val="21"/>
                      <w:szCs w:val="21"/>
                    </w:rPr>
                    <w:t>。</w:t>
                  </w:r>
                </w:p>
              </w:tc>
              <w:tc>
                <w:tcPr>
                  <w:tcW w:w="628" w:type="pct"/>
                  <w:noWrap w:val="0"/>
                  <w:vAlign w:val="center"/>
                </w:tcPr>
                <w:p w14:paraId="7ED8FC16">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相符</w:t>
                  </w:r>
                </w:p>
              </w:tc>
            </w:tr>
            <w:tr w14:paraId="73C252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504A61C9">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2507" w:type="pct"/>
                  <w:noWrap w:val="0"/>
                  <w:vAlign w:val="center"/>
                </w:tcPr>
                <w:p w14:paraId="494B575E">
                  <w:pPr>
                    <w:widowControl/>
                    <w:jc w:val="left"/>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企业要在排污许可管理系统中全面、准确申报工业固体废物产生种类，以及贮存设施和利用处置等相关情况，并对其真实性负责。实际产生、转移、贮存和利用处置情况对照项目环评发生变动的，要根据变动情况及时采取重新报批环评、纳入环境保护竣工验收等手续，并及时变更排污许可。</w:t>
                  </w:r>
                </w:p>
              </w:tc>
              <w:tc>
                <w:tcPr>
                  <w:tcW w:w="1487" w:type="pct"/>
                  <w:noWrap w:val="0"/>
                  <w:vAlign w:val="center"/>
                </w:tcPr>
                <w:p w14:paraId="5ABF6F5F">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待项目建成后，企业将在排污许可管理系统中全面、准确申报工业固体废物产生种类，以及贮存设施和利用处置等相关情况，并对其真实性负责。实际产生、转移、贮存和利用处置情况对照项目环评发生变动的，要根据变动情况及时采取重新报批环评、纳入环境保护竣工验收等手续，并及时变更排污许可。</w:t>
                  </w:r>
                </w:p>
              </w:tc>
              <w:tc>
                <w:tcPr>
                  <w:tcW w:w="628" w:type="pct"/>
                  <w:noWrap w:val="0"/>
                  <w:vAlign w:val="center"/>
                </w:tcPr>
                <w:p w14:paraId="0514EB0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相符</w:t>
                  </w:r>
                </w:p>
              </w:tc>
            </w:tr>
            <w:tr w14:paraId="513DEC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484F213A">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p>
              </w:tc>
              <w:tc>
                <w:tcPr>
                  <w:tcW w:w="2507" w:type="pct"/>
                  <w:noWrap w:val="0"/>
                  <w:vAlign w:val="center"/>
                </w:tcPr>
                <w:p w14:paraId="71918ABB">
                  <w:pPr>
                    <w:widowControl/>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危险废物贮存污染控制标准》（GB18597—2023），企业可根据实际情况选择采用危险废物贮存设施或贮存点两类方式进行贮存，符合相应的污染控制标准；不具备建设贮存设施条件、选用贮存点方式的，除符合国家关于贮存点控制要求外，还要执行《江苏省危险废物集中收集体系建设工作方案（试行）》（苏环办〔2021〕290号）中关于贮存周期和贮存量的要求，I级、II级、III级危险废物贮存时间分别不得超过30天、60天、90天，最大贮存量不得超过1 吨。</w:t>
                  </w:r>
                </w:p>
              </w:tc>
              <w:tc>
                <w:tcPr>
                  <w:tcW w:w="1487" w:type="pct"/>
                  <w:noWrap w:val="0"/>
                  <w:vAlign w:val="center"/>
                </w:tcPr>
                <w:p w14:paraId="0A880BCF">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待项目建成后，项目根据《危险废物贮存污染控制标准》（GB18597—2023）要求建设危废仓库，危废仓库采取防雨、防火、防雷、扬散、防渗漏等措施。危废贮存周期和最大贮存量满足《江苏省危险废物集中收集体系建设工作方案（试行）》（苏环办〔2021〕290号）要求。</w:t>
                  </w:r>
                </w:p>
              </w:tc>
              <w:tc>
                <w:tcPr>
                  <w:tcW w:w="628" w:type="pct"/>
                  <w:noWrap w:val="0"/>
                  <w:vAlign w:val="center"/>
                </w:tcPr>
                <w:p w14:paraId="6A53654F">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相符</w:t>
                  </w:r>
                </w:p>
              </w:tc>
            </w:tr>
            <w:tr w14:paraId="6870CE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63D45B8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p>
              </w:tc>
              <w:tc>
                <w:tcPr>
                  <w:tcW w:w="2507" w:type="pct"/>
                  <w:noWrap w:val="0"/>
                  <w:vAlign w:val="center"/>
                </w:tcPr>
                <w:p w14:paraId="49393C0F">
                  <w:pPr>
                    <w:widowControl/>
                    <w:jc w:val="left"/>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全面落实危险废物转移电子联单制度，实行省内全域扫描“二维码”转移。加强与危险货物道路运输电子运单数据共享，实现运输轨迹可溯可查。危险废物产生单位须依法核实经营单位主体资格和技术能力，直接签订委托合同，并向经营单位提供相关危险废物产生工艺、具体成分，以及是否易燃易爆等信息，违法委托的，应当与造成环境污染和生态破坏的受托方承担连带责任；经营单位须按合同及包装物扫码签收危险废物，签收人、车辆信息等须拍照上传至系统，严禁“空转”二维码。积极推行一般工业固体废物转移电子联单制度，优先选择环境风险较大的污泥、矿渣等固体废物试行。</w:t>
                  </w:r>
                </w:p>
              </w:tc>
              <w:tc>
                <w:tcPr>
                  <w:tcW w:w="1487" w:type="pct"/>
                  <w:noWrap w:val="0"/>
                  <w:vAlign w:val="center"/>
                </w:tcPr>
                <w:p w14:paraId="5C82AB3A">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待项目建成后</w:t>
                  </w:r>
                  <w:r>
                    <w:rPr>
                      <w:rFonts w:hint="default" w:ascii="Times New Roman" w:hAnsi="Times New Roman" w:cs="Times New Roman"/>
                      <w:color w:val="auto"/>
                      <w:kern w:val="0"/>
                      <w:sz w:val="21"/>
                      <w:szCs w:val="21"/>
                      <w:lang w:eastAsia="zh-CN" w:bidi="ar"/>
                    </w:rPr>
                    <w:t>，</w:t>
                  </w:r>
                  <w:r>
                    <w:rPr>
                      <w:rFonts w:hint="default" w:ascii="Times New Roman" w:hAnsi="Times New Roman" w:cs="Times New Roman"/>
                      <w:color w:val="auto"/>
                      <w:kern w:val="0"/>
                      <w:sz w:val="21"/>
                      <w:szCs w:val="21"/>
                      <w:lang w:bidi="ar"/>
                    </w:rPr>
                    <w:t>将严格落实危</w:t>
                  </w:r>
                  <w:r>
                    <w:rPr>
                      <w:rFonts w:hint="default" w:ascii="Times New Roman" w:hAnsi="Times New Roman" w:cs="Times New Roman"/>
                      <w:color w:val="auto"/>
                      <w:kern w:val="0"/>
                      <w:sz w:val="21"/>
                      <w:szCs w:val="21"/>
                      <w:lang w:eastAsia="zh-CN" w:bidi="ar"/>
                    </w:rPr>
                    <w:t>废</w:t>
                  </w:r>
                  <w:r>
                    <w:rPr>
                      <w:rFonts w:hint="default" w:ascii="Times New Roman" w:hAnsi="Times New Roman" w:cs="Times New Roman"/>
                      <w:color w:val="auto"/>
                      <w:kern w:val="0"/>
                      <w:sz w:val="21"/>
                      <w:szCs w:val="21"/>
                      <w:lang w:bidi="ar"/>
                    </w:rPr>
                    <w:t>物转移电子联单制度，实行省内全域扫描“二维码”转移。加强与危险货物道路运输电子运单数据共享，实现运输轨迹可溯可查。危险废物产生单位须依法核实经营单位主体资格和技术能力，直接签订委托合同，并向经营单位提供相关危险废物产生工艺、具体成分，以及是否易燃易爆等信息。</w:t>
                  </w:r>
                </w:p>
              </w:tc>
              <w:tc>
                <w:tcPr>
                  <w:tcW w:w="628" w:type="pct"/>
                  <w:noWrap w:val="0"/>
                  <w:vAlign w:val="center"/>
                </w:tcPr>
                <w:p w14:paraId="0A28F1DF">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相符</w:t>
                  </w:r>
                </w:p>
              </w:tc>
            </w:tr>
            <w:tr w14:paraId="54598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5E008125">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p>
              </w:tc>
              <w:tc>
                <w:tcPr>
                  <w:tcW w:w="2507" w:type="pct"/>
                  <w:noWrap w:val="0"/>
                  <w:vAlign w:val="center"/>
                </w:tcPr>
                <w:p w14:paraId="65B8CF30">
                  <w:pPr>
                    <w:widowControl/>
                    <w:jc w:val="left"/>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危险废物环境重点监管单位要在出入口、设施内部、危险废物运输车辆通道等关键位置设置视频监控并与中控室联网，通过设立公开栏、标志牌等方式，主动公开危险废物产生和利用处置等有关信息。集中焚烧处置单位及有自建危废焚烧处置设施的单位要依法及时公开二燃室温度等工况运行指标以及污染物排放指标、浓度等有关信息，并联网至属地生态环境部门。危险废物经营单位应同步公开许可证、许可条件等全文信息。</w:t>
                  </w:r>
                </w:p>
              </w:tc>
              <w:tc>
                <w:tcPr>
                  <w:tcW w:w="1487" w:type="pct"/>
                  <w:noWrap w:val="0"/>
                  <w:vAlign w:val="center"/>
                </w:tcPr>
                <w:p w14:paraId="68ED3E7D">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待项目建成后，</w:t>
                  </w:r>
                  <w:r>
                    <w:rPr>
                      <w:rFonts w:hint="default" w:ascii="Times New Roman" w:hAnsi="Times New Roman" w:cs="Times New Roman"/>
                      <w:color w:val="auto"/>
                      <w:kern w:val="0"/>
                      <w:sz w:val="21"/>
                      <w:szCs w:val="21"/>
                      <w:lang w:bidi="ar"/>
                    </w:rPr>
                    <w:t>危废仓库按照要求设置视频监控并与中控室联网。在危废贮存库外的显著位置设置平面</w:t>
                  </w:r>
                  <w:r>
                    <w:rPr>
                      <w:rFonts w:hint="default" w:ascii="Times New Roman" w:hAnsi="Times New Roman" w:cs="Times New Roman"/>
                      <w:color w:val="auto"/>
                      <w:kern w:val="0"/>
                      <w:sz w:val="21"/>
                      <w:szCs w:val="21"/>
                      <w:lang w:eastAsia="zh-CN" w:bidi="ar"/>
                    </w:rPr>
                    <w:t>固定式</w:t>
                  </w:r>
                  <w:r>
                    <w:rPr>
                      <w:rFonts w:hint="default" w:ascii="Times New Roman" w:hAnsi="Times New Roman" w:cs="Times New Roman"/>
                      <w:color w:val="auto"/>
                      <w:kern w:val="0"/>
                      <w:sz w:val="21"/>
                      <w:szCs w:val="21"/>
                      <w:lang w:bidi="ar"/>
                    </w:rPr>
                    <w:t>设施警示标识牌，公开危险废物产生和利用处置等有关信息。</w:t>
                  </w:r>
                </w:p>
              </w:tc>
              <w:tc>
                <w:tcPr>
                  <w:tcW w:w="628" w:type="pct"/>
                  <w:noWrap w:val="0"/>
                  <w:vAlign w:val="center"/>
                </w:tcPr>
                <w:p w14:paraId="40E26441">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相符</w:t>
                  </w:r>
                </w:p>
              </w:tc>
            </w:tr>
            <w:tr w14:paraId="613092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 w:type="pct"/>
                  <w:noWrap w:val="0"/>
                  <w:vAlign w:val="center"/>
                </w:tcPr>
                <w:p w14:paraId="6CAF3A9A">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w:t>
                  </w:r>
                </w:p>
              </w:tc>
              <w:tc>
                <w:tcPr>
                  <w:tcW w:w="2507" w:type="pct"/>
                  <w:noWrap w:val="0"/>
                  <w:vAlign w:val="center"/>
                </w:tcPr>
                <w:p w14:paraId="7C30A4EB">
                  <w:pPr>
                    <w:widowControl/>
                    <w:jc w:val="left"/>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企业需按照《一般工业固体废物管理台账制定指南（试行）》（生态环境部2021年第82号公告）要求，建立一般工业固废台账，污泥、矿渣等同时还需在固废管理信息系统申报，电子台账已有内容，不再另外制作纸质台账。</w:t>
                  </w:r>
                </w:p>
              </w:tc>
              <w:tc>
                <w:tcPr>
                  <w:tcW w:w="1487" w:type="pct"/>
                  <w:noWrap w:val="0"/>
                  <w:vAlign w:val="center"/>
                </w:tcPr>
                <w:p w14:paraId="15A4A368">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待项目建成后</w:t>
                  </w:r>
                  <w:r>
                    <w:rPr>
                      <w:rFonts w:hint="default" w:ascii="Times New Roman" w:hAnsi="Times New Roman" w:cs="Times New Roman"/>
                      <w:color w:val="auto"/>
                      <w:kern w:val="0"/>
                      <w:sz w:val="21"/>
                      <w:szCs w:val="21"/>
                      <w:lang w:eastAsia="zh-CN" w:bidi="ar"/>
                    </w:rPr>
                    <w:t>，</w:t>
                  </w:r>
                  <w:r>
                    <w:rPr>
                      <w:rFonts w:hint="default" w:ascii="Times New Roman" w:hAnsi="Times New Roman" w:cs="Times New Roman"/>
                      <w:color w:val="auto"/>
                      <w:kern w:val="0"/>
                      <w:sz w:val="21"/>
                      <w:szCs w:val="21"/>
                      <w:lang w:bidi="ar"/>
                    </w:rPr>
                    <w:t>将严格按照《一般工业固体废物管理台账制定指南（试行）》（生态环境部2021年第82号公告）要求，建立一般工业固废等台账。</w:t>
                  </w:r>
                </w:p>
              </w:tc>
              <w:tc>
                <w:tcPr>
                  <w:tcW w:w="628" w:type="pct"/>
                  <w:noWrap w:val="0"/>
                  <w:vAlign w:val="center"/>
                </w:tcPr>
                <w:p w14:paraId="061BD50E">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相符</w:t>
                  </w:r>
                </w:p>
              </w:tc>
            </w:tr>
          </w:tbl>
          <w:p w14:paraId="30BB3BA1">
            <w:pPr>
              <w:autoSpaceDE w:val="0"/>
              <w:autoSpaceDN w:val="0"/>
              <w:adjustRightInd w:val="0"/>
              <w:spacing w:line="360" w:lineRule="auto"/>
              <w:ind w:firstLine="420" w:firstLineChars="200"/>
              <w:jc w:val="left"/>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综上所述，本项目所产生的固体废物通过以上方法处理处置后，将不会对周围的环境产生影响，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低程度。</w:t>
            </w:r>
          </w:p>
          <w:p w14:paraId="20F4EA4B">
            <w:pPr>
              <w:autoSpaceDE w:val="0"/>
              <w:autoSpaceDN w:val="0"/>
              <w:adjustRightInd w:val="0"/>
              <w:spacing w:line="360" w:lineRule="auto"/>
              <w:ind w:firstLine="422" w:firstLineChars="200"/>
              <w:jc w:val="left"/>
              <w:rPr>
                <w:rFonts w:ascii="Times New Roman" w:hAnsi="Times New Roman" w:cs="Times New Roman"/>
                <w:b/>
                <w:bCs/>
                <w:color w:val="auto"/>
                <w:kern w:val="0"/>
              </w:rPr>
            </w:pPr>
            <w:r>
              <w:rPr>
                <w:rFonts w:ascii="Times New Roman" w:hAnsi="Times New Roman" w:cs="Times New Roman"/>
                <w:b/>
                <w:bCs/>
                <w:color w:val="auto"/>
                <w:kern w:val="0"/>
              </w:rPr>
              <w:t>③运输过程的环境影响分析</w:t>
            </w:r>
          </w:p>
          <w:p w14:paraId="243F6E6B">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全厂危险废物产生后放入专门盛装危险废物的容器中，转运至危废堆场内，转运过程中由于人为操作失误造成的容器倒翻等情况时，因此，企业应加强培训和管理。此外本项目危险废物产生地点距离危废堆场距离较近，因此，企业在加强管理的情况下，转运过程中出现散落、泄漏概率较小，对周围环境影响较小。 </w:t>
            </w:r>
          </w:p>
          <w:p w14:paraId="6E49A786">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全厂产生的危险废物按照相应的包装要求进行包装，企业危险废物外运委托有资质的单位进行运输，严格执行《危险废物收集、贮存、运输技术规范》（</w:t>
            </w:r>
            <w:r>
              <w:rPr>
                <w:rFonts w:hint="default" w:ascii="Times New Roman" w:hAnsi="Times New Roman" w:eastAsia="宋体" w:cs="Times New Roman"/>
                <w:color w:val="auto"/>
                <w:szCs w:val="21"/>
                <w:lang w:val="en-US" w:eastAsia="zh-CN"/>
              </w:rPr>
              <w:t>HJ2025-2012</w:t>
            </w:r>
            <w:r>
              <w:rPr>
                <w:rFonts w:hint="eastAsia" w:ascii="Times New Roman" w:hAnsi="Times New Roman" w:eastAsia="宋体" w:cs="Times New Roman"/>
                <w:color w:val="auto"/>
                <w:szCs w:val="21"/>
                <w:lang w:val="en-US" w:eastAsia="zh-CN"/>
              </w:rPr>
              <w:t>），并制定好危险废物转移运输途中的污染防范及事故应急措施，严格按照要求办理有关手续。运输单位在运输本项目危险废物过程中应严格做好相应的防范措施，防止危险废物的</w:t>
            </w:r>
            <w:r>
              <w:rPr>
                <w:rFonts w:hint="eastAsia" w:cs="Times New Roman"/>
                <w:color w:val="auto"/>
                <w:szCs w:val="21"/>
                <w:lang w:val="en-US" w:eastAsia="zh-CN"/>
              </w:rPr>
              <w:t>泄漏</w:t>
            </w:r>
            <w:r>
              <w:rPr>
                <w:rFonts w:hint="eastAsia" w:ascii="Times New Roman" w:hAnsi="Times New Roman" w:eastAsia="宋体" w:cs="Times New Roman"/>
                <w:color w:val="auto"/>
                <w:szCs w:val="21"/>
                <w:lang w:val="en-US" w:eastAsia="zh-CN"/>
              </w:rPr>
              <w:t xml:space="preserve">，或发生重大交通事故，具体措施如下： </w:t>
            </w:r>
          </w:p>
          <w:p w14:paraId="16A88A91">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A</w:t>
            </w:r>
            <w:r>
              <w:rPr>
                <w:rFonts w:hint="eastAsia" w:ascii="Times New Roman" w:hAnsi="Times New Roman" w:eastAsia="宋体" w:cs="Times New Roman"/>
                <w:color w:val="auto"/>
                <w:szCs w:val="21"/>
                <w:lang w:val="en-US" w:eastAsia="zh-CN"/>
              </w:rPr>
              <w:t>.采用专用车辆直接从企业将危险废物运送至处理处置单位厂内，运输过程严格遵守《中华人民共和国固体废物污染环境防治法》、《危险废物收集、贮存、运输技术规范》（</w:t>
            </w:r>
            <w:r>
              <w:rPr>
                <w:rFonts w:hint="default" w:ascii="Times New Roman" w:hAnsi="Times New Roman" w:eastAsia="宋体" w:cs="Times New Roman"/>
                <w:color w:val="auto"/>
                <w:szCs w:val="21"/>
                <w:lang w:val="en-US" w:eastAsia="zh-CN"/>
              </w:rPr>
              <w:t>HJ2025-2012</w:t>
            </w:r>
            <w:r>
              <w:rPr>
                <w:rFonts w:hint="eastAsia" w:ascii="Times New Roman" w:hAnsi="Times New Roman" w:eastAsia="宋体" w:cs="Times New Roman"/>
                <w:color w:val="auto"/>
                <w:szCs w:val="21"/>
                <w:lang w:val="en-US" w:eastAsia="zh-CN"/>
              </w:rPr>
              <w:t xml:space="preserve">）等相关规定。 </w:t>
            </w:r>
          </w:p>
          <w:p w14:paraId="50EFF3F4">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B</w:t>
            </w:r>
            <w:r>
              <w:rPr>
                <w:rFonts w:hint="eastAsia" w:ascii="Times New Roman" w:hAnsi="Times New Roman" w:eastAsia="宋体" w:cs="Times New Roman"/>
                <w:color w:val="auto"/>
                <w:szCs w:val="21"/>
                <w:lang w:val="en-US" w:eastAsia="zh-CN"/>
              </w:rPr>
              <w:t xml:space="preserve">.运输途中不设中转站临时贮存，避免危险废物在中转站卸载和装载时发生二次污染的风险，及时由危险废物的产生地直接运送到处理处置单位厂内。 </w:t>
            </w:r>
          </w:p>
          <w:p w14:paraId="4487E5BE">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C</w:t>
            </w:r>
            <w:r>
              <w:rPr>
                <w:rFonts w:hint="eastAsia" w:ascii="Times New Roman" w:hAnsi="Times New Roman" w:eastAsia="宋体" w:cs="Times New Roman"/>
                <w:color w:val="auto"/>
                <w:szCs w:val="21"/>
                <w:lang w:val="en-US" w:eastAsia="zh-CN"/>
              </w:rPr>
              <w:t xml:space="preserve">.在运输前应事先作出周密的运输计划，安排好运输车辆经过各路段的时间，尽量避免运输车辆在交通高峰期间通过市区。 </w:t>
            </w:r>
          </w:p>
          <w:p w14:paraId="1B56AC46">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D</w:t>
            </w:r>
            <w:r>
              <w:rPr>
                <w:rFonts w:hint="eastAsia" w:ascii="Times New Roman" w:hAnsi="Times New Roman" w:eastAsia="宋体" w:cs="Times New Roman"/>
                <w:color w:val="auto"/>
                <w:szCs w:val="21"/>
                <w:lang w:val="en-US" w:eastAsia="zh-CN"/>
              </w:rPr>
              <w:t xml:space="preserve">.危险废物运输者应制定事故应急和防止运输过程中发生泄漏、丢失、扬散的保障措施和配备必要的设备，在危险废物发生泄漏时可以及时将危险废物收集，减少散失。 </w:t>
            </w:r>
          </w:p>
          <w:p w14:paraId="29BCC98F">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E</w:t>
            </w:r>
            <w:r>
              <w:rPr>
                <w:rFonts w:hint="eastAsia" w:ascii="Times New Roman" w:hAnsi="Times New Roman" w:eastAsia="宋体" w:cs="Times New Roman"/>
                <w:color w:val="auto"/>
                <w:szCs w:val="21"/>
                <w:lang w:val="en-US" w:eastAsia="zh-CN"/>
              </w:rPr>
              <w:t>.运输途中经过敏感点时应减速慢行，若危险废物发生泄漏时</w:t>
            </w:r>
            <w:r>
              <w:rPr>
                <w:rFonts w:hint="eastAsia" w:cs="Times New Roman"/>
                <w:color w:val="auto"/>
                <w:szCs w:val="21"/>
                <w:lang w:val="en-US" w:eastAsia="zh-CN"/>
              </w:rPr>
              <w:t>应立即</w:t>
            </w:r>
            <w:r>
              <w:rPr>
                <w:rFonts w:hint="eastAsia" w:ascii="Times New Roman" w:hAnsi="Times New Roman" w:eastAsia="宋体" w:cs="Times New Roman"/>
                <w:color w:val="auto"/>
                <w:szCs w:val="21"/>
                <w:lang w:val="en-US" w:eastAsia="zh-CN"/>
              </w:rPr>
              <w:t xml:space="preserve">采取措施，将危险废物收集，减少危险废物的散失，避免对敏感点造成较大影响。 </w:t>
            </w:r>
          </w:p>
          <w:p w14:paraId="3E775A29">
            <w:pPr>
              <w:adjustRightInd w:val="0"/>
              <w:snapToGrid w:val="0"/>
              <w:spacing w:line="360" w:lineRule="auto"/>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通过上述分析可知，项目危险废物运输过程中在严格做好相应的防范措施后，对运输路线周围的环境及敏感点影响较小。 </w:t>
            </w:r>
          </w:p>
          <w:p w14:paraId="03D78441">
            <w:pPr>
              <w:autoSpaceDE w:val="0"/>
              <w:autoSpaceDN w:val="0"/>
              <w:adjustRightInd w:val="0"/>
              <w:spacing w:line="360" w:lineRule="auto"/>
              <w:ind w:firstLine="422" w:firstLineChars="200"/>
              <w:jc w:val="left"/>
              <w:rPr>
                <w:rFonts w:ascii="Times New Roman" w:hAnsi="Times New Roman" w:cs="Times New Roman"/>
                <w:b/>
                <w:bCs/>
                <w:color w:val="auto"/>
                <w:kern w:val="0"/>
              </w:rPr>
            </w:pPr>
            <w:r>
              <w:rPr>
                <w:rFonts w:ascii="Times New Roman" w:hAnsi="Times New Roman" w:cs="Times New Roman"/>
                <w:b/>
                <w:bCs/>
                <w:color w:val="auto"/>
                <w:kern w:val="0"/>
              </w:rPr>
              <w:t xml:space="preserve">④危险废物去向分析 </w:t>
            </w:r>
          </w:p>
          <w:p w14:paraId="16A25D41">
            <w:pPr>
              <w:adjustRightInd w:val="0"/>
              <w:snapToGrid w:val="0"/>
              <w:spacing w:line="360" w:lineRule="auto"/>
              <w:ind w:firstLine="420" w:firstLineChars="200"/>
              <w:rPr>
                <w:rFonts w:hint="eastAsia"/>
                <w:color w:val="auto"/>
                <w:kern w:val="0"/>
                <w:szCs w:val="21"/>
              </w:rPr>
            </w:pPr>
            <w:r>
              <w:rPr>
                <w:rFonts w:hint="eastAsia" w:ascii="Times New Roman" w:hAnsi="Times New Roman"/>
                <w:color w:val="auto"/>
                <w:lang w:val="en-US" w:eastAsia="zh-CN"/>
              </w:rPr>
              <w:t>全厂</w:t>
            </w:r>
            <w:r>
              <w:rPr>
                <w:rFonts w:hint="eastAsia" w:ascii="Times New Roman" w:hAnsi="Times New Roman"/>
                <w:color w:val="auto"/>
              </w:rPr>
              <w:t>产生的危废</w:t>
            </w:r>
            <w:r>
              <w:rPr>
                <w:rFonts w:ascii="Times New Roman" w:hAnsi="Times New Roman"/>
                <w:color w:val="auto"/>
              </w:rPr>
              <w:t>应分类收集于危废暂存点内，</w:t>
            </w:r>
            <w:r>
              <w:rPr>
                <w:rFonts w:hint="eastAsia" w:ascii="Times New Roman" w:hAnsi="Times New Roman"/>
                <w:color w:val="auto"/>
              </w:rPr>
              <w:t>定期</w:t>
            </w:r>
            <w:r>
              <w:rPr>
                <w:rFonts w:ascii="Times New Roman" w:hAnsi="Times New Roman"/>
                <w:color w:val="auto"/>
              </w:rPr>
              <w:t>委托有资质的危废处置单位外运处理</w:t>
            </w:r>
            <w:r>
              <w:rPr>
                <w:rFonts w:hint="eastAsia" w:ascii="Times New Roman" w:hAnsi="Times New Roman"/>
                <w:color w:val="auto"/>
              </w:rPr>
              <w:t>，</w:t>
            </w:r>
            <w:r>
              <w:rPr>
                <w:rFonts w:ascii="Times New Roman" w:hAnsi="Times New Roman"/>
                <w:color w:val="auto"/>
              </w:rPr>
              <w:t>以下危险废物处置单位可供建设单位参考，处置单位基本信息详见下表：</w:t>
            </w:r>
          </w:p>
          <w:p w14:paraId="1FA26785">
            <w:pPr>
              <w:adjustRightInd w:val="0"/>
              <w:snapToGrid w:val="0"/>
              <w:spacing w:line="360" w:lineRule="auto"/>
              <w:ind w:firstLine="420" w:firstLineChars="200"/>
              <w:rPr>
                <w:rFonts w:hint="eastAsia"/>
                <w:color w:val="auto"/>
                <w:szCs w:val="21"/>
              </w:rPr>
            </w:pPr>
            <w:r>
              <w:rPr>
                <w:rFonts w:hint="eastAsia"/>
                <w:color w:val="auto"/>
                <w:kern w:val="0"/>
                <w:szCs w:val="21"/>
              </w:rPr>
              <w:t>本项目产生的危废</w:t>
            </w:r>
            <w:r>
              <w:rPr>
                <w:color w:val="auto"/>
                <w:szCs w:val="21"/>
              </w:rPr>
              <w:t>委托具有相应的危险废物经营许可证类别和足够的利用处置能力的处置单位处理。企业需尽快签订危废协议，以下危险废物处置单位可供建设单位参考，处置单位基本信息详见下表：</w:t>
            </w:r>
          </w:p>
          <w:p w14:paraId="748B2447">
            <w:pPr>
              <w:pStyle w:val="78"/>
              <w:adjustRightInd w:val="0"/>
              <w:snapToGrid w:val="0"/>
              <w:ind w:firstLine="0"/>
              <w:jc w:val="center"/>
              <w:rPr>
                <w:rFonts w:cs="Times New Roman"/>
                <w:b/>
                <w:color w:val="auto"/>
                <w:sz w:val="21"/>
                <w:szCs w:val="21"/>
              </w:rPr>
            </w:pPr>
            <w:r>
              <w:rPr>
                <w:rFonts w:cs="Times New Roman"/>
                <w:b/>
                <w:color w:val="auto"/>
                <w:sz w:val="21"/>
                <w:szCs w:val="21"/>
              </w:rPr>
              <w:t>表4-</w:t>
            </w:r>
            <w:r>
              <w:rPr>
                <w:rFonts w:hint="eastAsia" w:cs="Times New Roman"/>
                <w:b/>
                <w:color w:val="auto"/>
                <w:sz w:val="21"/>
                <w:szCs w:val="21"/>
                <w:lang w:val="en-US" w:eastAsia="zh-CN"/>
              </w:rPr>
              <w:t>24</w:t>
            </w:r>
            <w:r>
              <w:rPr>
                <w:rFonts w:cs="Times New Roman"/>
                <w:b/>
                <w:color w:val="auto"/>
                <w:sz w:val="21"/>
                <w:szCs w:val="21"/>
              </w:rPr>
              <w:t xml:space="preserve"> 项目周边危废处置单位情况一览表</w:t>
            </w:r>
          </w:p>
          <w:tbl>
            <w:tblPr>
              <w:tblStyle w:val="4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975"/>
              <w:gridCol w:w="5693"/>
              <w:gridCol w:w="951"/>
            </w:tblGrid>
            <w:tr w14:paraId="3CC4CE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4" w:type="dxa"/>
                  <w:vAlign w:val="center"/>
                </w:tcPr>
                <w:p w14:paraId="3EC046D5">
                  <w:pPr>
                    <w:keepLines/>
                    <w:widowControl/>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名称</w:t>
                  </w:r>
                </w:p>
              </w:tc>
              <w:tc>
                <w:tcPr>
                  <w:tcW w:w="975" w:type="dxa"/>
                  <w:vAlign w:val="center"/>
                </w:tcPr>
                <w:p w14:paraId="024FE236">
                  <w:pPr>
                    <w:keepLines/>
                    <w:widowControl/>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地址</w:t>
                  </w:r>
                </w:p>
              </w:tc>
              <w:tc>
                <w:tcPr>
                  <w:tcW w:w="5693" w:type="dxa"/>
                  <w:vAlign w:val="center"/>
                </w:tcPr>
                <w:p w14:paraId="6DAEF6EF">
                  <w:pPr>
                    <w:keepLines/>
                    <w:widowControl/>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经营范围</w:t>
                  </w:r>
                </w:p>
              </w:tc>
              <w:tc>
                <w:tcPr>
                  <w:tcW w:w="951" w:type="dxa"/>
                  <w:vAlign w:val="center"/>
                </w:tcPr>
                <w:p w14:paraId="14095BF6">
                  <w:pPr>
                    <w:keepLines/>
                    <w:widowControl/>
                    <w:jc w:val="center"/>
                    <w:rPr>
                      <w:rFonts w:ascii="Times New Roman" w:hAnsi="Times New Roman" w:eastAsia="Times New Roman" w:cs="Times New Roman"/>
                      <w:b/>
                      <w:bCs/>
                      <w:color w:val="auto"/>
                    </w:rPr>
                  </w:pPr>
                  <w:r>
                    <w:rPr>
                      <w:rFonts w:ascii="Times New Roman" w:hAnsi="Times New Roman" w:eastAsia="Times New Roman" w:cs="Times New Roman"/>
                      <w:b/>
                      <w:bCs/>
                      <w:color w:val="auto"/>
                    </w:rPr>
                    <w:t>处置能力t/a</w:t>
                  </w:r>
                </w:p>
              </w:tc>
            </w:tr>
            <w:tr w14:paraId="57CAC2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94" w:type="dxa"/>
                  <w:vAlign w:val="center"/>
                </w:tcPr>
                <w:p w14:paraId="4C5B5E34">
                  <w:pPr>
                    <w:keepLines/>
                    <w:widowControl/>
                    <w:jc w:val="center"/>
                    <w:rPr>
                      <w:rFonts w:ascii="Times New Roman" w:hAnsi="Times New Roman" w:cs="Times New Roman"/>
                      <w:color w:val="auto"/>
                    </w:rPr>
                  </w:pPr>
                  <w:r>
                    <w:rPr>
                      <w:rFonts w:ascii="Times New Roman" w:hAnsi="Times New Roman" w:cs="Times New Roman"/>
                      <w:color w:val="auto"/>
                    </w:rPr>
                    <w:t>上海电气南通国海环保科技有限公司</w:t>
                  </w:r>
                </w:p>
              </w:tc>
              <w:tc>
                <w:tcPr>
                  <w:tcW w:w="975" w:type="dxa"/>
                  <w:vAlign w:val="center"/>
                </w:tcPr>
                <w:p w14:paraId="15472419">
                  <w:pPr>
                    <w:keepLines/>
                    <w:widowControl/>
                    <w:jc w:val="center"/>
                    <w:rPr>
                      <w:rFonts w:ascii="Times New Roman" w:hAnsi="Times New Roman" w:cs="Times New Roman"/>
                      <w:color w:val="auto"/>
                    </w:rPr>
                  </w:pPr>
                  <w:r>
                    <w:rPr>
                      <w:rFonts w:ascii="Times New Roman" w:hAnsi="Times New Roman" w:cs="Times New Roman"/>
                      <w:color w:val="auto"/>
                    </w:rPr>
                    <w:t>老坝港滨海区滨海东路6号</w:t>
                  </w:r>
                </w:p>
              </w:tc>
              <w:tc>
                <w:tcPr>
                  <w:tcW w:w="5693" w:type="dxa"/>
                  <w:vAlign w:val="center"/>
                </w:tcPr>
                <w:p w14:paraId="47033BEE">
                  <w:pPr>
                    <w:keepLines/>
                    <w:widowControl/>
                    <w:jc w:val="center"/>
                    <w:rPr>
                      <w:rFonts w:ascii="Times New Roman" w:hAnsi="Times New Roman" w:cs="Times New Roman"/>
                      <w:color w:val="auto"/>
                    </w:rPr>
                  </w:pPr>
                  <w:r>
                    <w:rPr>
                      <w:rFonts w:ascii="Times New Roman" w:hAnsi="Times New Roman" w:cs="Times New Roman"/>
                      <w:color w:val="auto"/>
                    </w:rPr>
                    <w:t xml:space="preserve">焚烧处置 HW02 医药废物，HW03 废药物、药品，HW04 农药废物，HW06 废有机溶剂与含有机溶剂废物，HW08 废矿物油与含矿物油废物，HW09 油/水、烃/水混合物或乳化液，HW11 精（蒸）馏残渣，HW12染料、涂料废物，HW49 等 </w:t>
                  </w:r>
                </w:p>
              </w:tc>
              <w:tc>
                <w:tcPr>
                  <w:tcW w:w="951" w:type="dxa"/>
                  <w:vAlign w:val="center"/>
                </w:tcPr>
                <w:p w14:paraId="08CEA88B">
                  <w:pPr>
                    <w:keepLines/>
                    <w:widowControl/>
                    <w:jc w:val="center"/>
                    <w:rPr>
                      <w:rFonts w:ascii="Times New Roman" w:hAnsi="Times New Roman" w:cs="Times New Roman"/>
                      <w:color w:val="auto"/>
                    </w:rPr>
                  </w:pPr>
                  <w:r>
                    <w:rPr>
                      <w:rFonts w:ascii="Times New Roman" w:hAnsi="Times New Roman" w:cs="Times New Roman"/>
                      <w:color w:val="auto"/>
                    </w:rPr>
                    <w:t>10000</w:t>
                  </w:r>
                </w:p>
              </w:tc>
            </w:tr>
            <w:tr w14:paraId="61BE88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94" w:type="dxa"/>
                  <w:vAlign w:val="center"/>
                </w:tcPr>
                <w:p w14:paraId="43214758">
                  <w:pPr>
                    <w:keepLines/>
                    <w:widowControl/>
                    <w:jc w:val="center"/>
                    <w:rPr>
                      <w:rFonts w:ascii="Times New Roman" w:hAnsi="Times New Roman" w:cs="Times New Roman"/>
                      <w:color w:val="auto"/>
                    </w:rPr>
                  </w:pPr>
                  <w:r>
                    <w:rPr>
                      <w:rFonts w:ascii="Times New Roman" w:hAnsi="Times New Roman" w:cs="Times New Roman"/>
                      <w:color w:val="auto"/>
                    </w:rPr>
                    <w:t>南通九洲环保科技有限公司</w:t>
                  </w:r>
                </w:p>
              </w:tc>
              <w:tc>
                <w:tcPr>
                  <w:tcW w:w="975" w:type="dxa"/>
                  <w:vAlign w:val="center"/>
                </w:tcPr>
                <w:p w14:paraId="453CD884">
                  <w:pPr>
                    <w:keepLines/>
                    <w:widowControl/>
                    <w:jc w:val="center"/>
                    <w:rPr>
                      <w:rFonts w:ascii="Times New Roman" w:hAnsi="Times New Roman" w:cs="Times New Roman"/>
                      <w:color w:val="auto"/>
                    </w:rPr>
                  </w:pPr>
                  <w:r>
                    <w:rPr>
                      <w:rFonts w:ascii="Times New Roman" w:hAnsi="Times New Roman" w:cs="Times New Roman"/>
                      <w:color w:val="auto"/>
                    </w:rPr>
                    <w:t>南通市如皋市长江镇规划路1号</w:t>
                  </w:r>
                </w:p>
              </w:tc>
              <w:tc>
                <w:tcPr>
                  <w:tcW w:w="5693" w:type="dxa"/>
                  <w:vAlign w:val="center"/>
                </w:tcPr>
                <w:p w14:paraId="03479C6D">
                  <w:pPr>
                    <w:keepLines/>
                    <w:widowControl/>
                    <w:jc w:val="center"/>
                    <w:rPr>
                      <w:rFonts w:ascii="Times New Roman" w:hAnsi="Times New Roman" w:cs="Times New Roman"/>
                      <w:color w:val="auto"/>
                    </w:rPr>
                  </w:pPr>
                  <w:r>
                    <w:rPr>
                      <w:rFonts w:ascii="Times New Roman" w:hAnsi="Times New Roman" w:cs="Times New Roman"/>
                      <w:color w:val="auto"/>
                    </w:rPr>
                    <w:t xml:space="preserve">焚烧处置医药废物（HW02），废有机溶剂与含有机溶剂废物（HW06），废矿物油与含矿物油废物（HW08），油/水、烃/水混合物或乳化液（HW09），精（蒸）馏残渣（HW11），染料、涂料废物（HW12），其他废物（HW49）（不含 309-001-49、900-042-49、900-044-49、900-045-49、900-999-49） </w:t>
                  </w:r>
                </w:p>
              </w:tc>
              <w:tc>
                <w:tcPr>
                  <w:tcW w:w="951" w:type="dxa"/>
                  <w:vAlign w:val="center"/>
                </w:tcPr>
                <w:p w14:paraId="3AEA0E33">
                  <w:pPr>
                    <w:keepLines/>
                    <w:widowControl/>
                    <w:jc w:val="center"/>
                    <w:rPr>
                      <w:rFonts w:ascii="Times New Roman" w:hAnsi="Times New Roman" w:cs="Times New Roman"/>
                      <w:color w:val="auto"/>
                    </w:rPr>
                  </w:pPr>
                  <w:r>
                    <w:rPr>
                      <w:rFonts w:ascii="Times New Roman" w:hAnsi="Times New Roman" w:cs="Times New Roman"/>
                      <w:color w:val="auto"/>
                    </w:rPr>
                    <w:t>20000</w:t>
                  </w:r>
                </w:p>
              </w:tc>
            </w:tr>
            <w:tr w14:paraId="4C10C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94" w:type="dxa"/>
                  <w:vAlign w:val="center"/>
                </w:tcPr>
                <w:p w14:paraId="30703487">
                  <w:pPr>
                    <w:keepLines/>
                    <w:widowControl/>
                    <w:jc w:val="center"/>
                    <w:rPr>
                      <w:rFonts w:ascii="Times New Roman" w:hAnsi="Times New Roman" w:cs="Times New Roman"/>
                      <w:color w:val="auto"/>
                    </w:rPr>
                  </w:pPr>
                  <w:r>
                    <w:rPr>
                      <w:rFonts w:ascii="Times New Roman" w:hAnsi="Times New Roman" w:cs="Times New Roman"/>
                      <w:color w:val="auto"/>
                    </w:rPr>
                    <w:t>江苏东江环境服务有限公司</w:t>
                  </w:r>
                </w:p>
              </w:tc>
              <w:tc>
                <w:tcPr>
                  <w:tcW w:w="975" w:type="dxa"/>
                  <w:vAlign w:val="center"/>
                </w:tcPr>
                <w:p w14:paraId="2DEF3F74">
                  <w:pPr>
                    <w:keepLines/>
                    <w:widowControl/>
                    <w:jc w:val="center"/>
                    <w:rPr>
                      <w:rFonts w:ascii="Times New Roman" w:hAnsi="Times New Roman" w:cs="Times New Roman"/>
                      <w:color w:val="auto"/>
                    </w:rPr>
                  </w:pPr>
                  <w:r>
                    <w:rPr>
                      <w:rFonts w:ascii="Times New Roman" w:hAnsi="Times New Roman" w:cs="Times New Roman"/>
                      <w:color w:val="auto"/>
                    </w:rPr>
                    <w:t>南通市如东沿海经济开发区洋口化学工业园区海滨四路</w:t>
                  </w:r>
                </w:p>
              </w:tc>
              <w:tc>
                <w:tcPr>
                  <w:tcW w:w="5693" w:type="dxa"/>
                  <w:vAlign w:val="center"/>
                </w:tcPr>
                <w:p w14:paraId="3099A83C">
                  <w:pPr>
                    <w:keepLines/>
                    <w:widowControl/>
                    <w:jc w:val="center"/>
                    <w:rPr>
                      <w:rFonts w:ascii="Times New Roman" w:hAnsi="Times New Roman" w:cs="Times New Roman"/>
                      <w:color w:val="auto"/>
                    </w:rPr>
                  </w:pPr>
                  <w:r>
                    <w:rPr>
                      <w:rFonts w:ascii="Times New Roman" w:hAnsi="Times New Roman" w:cs="Times New Roman"/>
                      <w:color w:val="auto"/>
                    </w:rPr>
                    <w:t xml:space="preserve">焚烧处置医药废物（HW02），废药物、药品（HW03），农药废物（HW04），木材防腐剂废物（HW05），废有机溶剂与含有机溶剂废物（HW06），废矿物油与含矿物油废物（HW08），油/水、烃/水混合物或乳化液（HW09），精（蒸）馏残渣（HW11），染料、涂料废物（HW12），有机树脂类废物（HW13），感光材料废物（HW16）、表面处理废物（HW17，仅限 336-050-17、336-051-17、336-052-17、336-053-17、336-054-17、336-055-17、336-056-17、336-057-17、336-058-17、336-059-17、336-060-17、336-061-17、336-062-17、336-063-17、336-064-17、336-066-17），废碱（HW35），含酚废物（HW39），含醚废物（HW40），含有机卤化物废物（HW45），其他废物（HW49,900-039-49、900-041-49、900-042-49、900-044-49、900-047-49、900-999-49），废催化剂（HW50,263-013-50、275-009-50、276-006-50、261-151-50） </w:t>
                  </w:r>
                </w:p>
              </w:tc>
              <w:tc>
                <w:tcPr>
                  <w:tcW w:w="951" w:type="dxa"/>
                  <w:vAlign w:val="center"/>
                </w:tcPr>
                <w:p w14:paraId="438999F8">
                  <w:pPr>
                    <w:keepLines/>
                    <w:widowControl/>
                    <w:jc w:val="center"/>
                    <w:rPr>
                      <w:rFonts w:ascii="Times New Roman" w:hAnsi="Times New Roman" w:cs="Times New Roman"/>
                      <w:color w:val="auto"/>
                    </w:rPr>
                  </w:pPr>
                  <w:r>
                    <w:rPr>
                      <w:rFonts w:ascii="Times New Roman" w:hAnsi="Times New Roman" w:cs="Times New Roman"/>
                      <w:color w:val="auto"/>
                    </w:rPr>
                    <w:t>13000</w:t>
                  </w:r>
                </w:p>
              </w:tc>
            </w:tr>
          </w:tbl>
          <w:p w14:paraId="1FD18C84">
            <w:pPr>
              <w:adjustRightInd w:val="0"/>
              <w:snapToGrid w:val="0"/>
              <w:spacing w:line="360" w:lineRule="auto"/>
              <w:ind w:firstLine="420" w:firstLineChars="200"/>
              <w:rPr>
                <w:rFonts w:ascii="Times New Roman" w:hAnsi="Times New Roman" w:cs="Times New Roman"/>
                <w:color w:val="auto"/>
                <w:kern w:val="0"/>
              </w:rPr>
            </w:pPr>
            <w:r>
              <w:rPr>
                <w:rFonts w:ascii="Times New Roman" w:hAnsi="Times New Roman" w:cs="Times New Roman"/>
                <w:color w:val="auto"/>
                <w:kern w:val="0"/>
              </w:rPr>
              <w:t>由上述分析可得，项目产生的危废可根据实际情况委托上表中的企业处置。</w:t>
            </w:r>
          </w:p>
          <w:p w14:paraId="7145B013">
            <w:pPr>
              <w:adjustRightInd w:val="0"/>
              <w:snapToGrid w:val="0"/>
              <w:spacing w:line="360" w:lineRule="auto"/>
              <w:ind w:firstLine="420" w:firstLineChars="200"/>
              <w:rPr>
                <w:rFonts w:ascii="Times New Roman" w:hAnsi="Times New Roman" w:cs="Times New Roman"/>
                <w:color w:val="auto"/>
                <w:kern w:val="0"/>
              </w:rPr>
            </w:pPr>
            <w:r>
              <w:rPr>
                <w:rFonts w:ascii="Times New Roman" w:hAnsi="Times New Roman" w:cs="Times New Roman"/>
                <w:color w:val="auto"/>
                <w:kern w:val="0"/>
              </w:rPr>
              <w:t>（3）固体废物污染防治措施技术经济论证</w:t>
            </w:r>
          </w:p>
          <w:p w14:paraId="7A45A515">
            <w:pPr>
              <w:adjustRightInd w:val="0"/>
              <w:snapToGrid w:val="0"/>
              <w:spacing w:line="360" w:lineRule="auto"/>
              <w:ind w:firstLine="422" w:firstLineChars="200"/>
              <w:rPr>
                <w:rFonts w:ascii="Times New Roman" w:hAnsi="Times New Roman" w:cs="Times New Roman"/>
                <w:b/>
                <w:bCs/>
                <w:color w:val="auto"/>
                <w:kern w:val="0"/>
              </w:rPr>
            </w:pPr>
            <w:r>
              <w:rPr>
                <w:rFonts w:ascii="Times New Roman" w:hAnsi="Times New Roman" w:cs="Times New Roman"/>
                <w:b/>
                <w:bCs/>
                <w:color w:val="auto"/>
                <w:kern w:val="0"/>
              </w:rPr>
              <w:t>①贮存场所（设施）污染防治措施及危废暂存区事故风险应急防范措施</w:t>
            </w:r>
          </w:p>
          <w:p w14:paraId="7BB1AC4D">
            <w:pPr>
              <w:adjustRightInd w:val="0"/>
              <w:snapToGrid w:val="0"/>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固体废弃物在外运处置之前，针对固体废物不同性质，采取在厂区内设置专门的固废仓库分类存放。固体废物贮存场所的面积满足贮存需求，做到贮存时间不超过一年。 </w:t>
            </w:r>
          </w:p>
          <w:p w14:paraId="5096A153">
            <w:pPr>
              <w:adjustRightInd w:val="0"/>
              <w:snapToGrid w:val="0"/>
              <w:spacing w:line="360" w:lineRule="auto"/>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项目危险废物的暂存场所应按《危险废物贮存污染控制标准》（</w:t>
            </w:r>
            <w:r>
              <w:rPr>
                <w:rFonts w:hint="default" w:ascii="Times New Roman" w:hAnsi="Times New Roman" w:eastAsia="宋体" w:cs="Times New Roman"/>
                <w:color w:val="auto"/>
                <w:lang w:val="en-US" w:eastAsia="zh-CN"/>
              </w:rPr>
              <w:t>GB18597-2023</w:t>
            </w:r>
            <w:r>
              <w:rPr>
                <w:rFonts w:hint="eastAsia" w:ascii="Times New Roman" w:hAnsi="Times New Roman" w:eastAsia="宋体" w:cs="Times New Roman"/>
                <w:color w:val="auto"/>
                <w:lang w:val="en-US" w:eastAsia="zh-CN"/>
              </w:rPr>
              <w:t xml:space="preserve">）要求设置，具体要求如下： </w:t>
            </w:r>
          </w:p>
          <w:p w14:paraId="4A30DD5D">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A</w:t>
            </w:r>
            <w:r>
              <w:rPr>
                <w:rFonts w:hint="eastAsia" w:ascii="Times New Roman" w:hAnsi="Times New Roman" w:eastAsia="宋体" w:cs="Times New Roman"/>
                <w:color w:val="auto"/>
                <w:lang w:val="en-US" w:eastAsia="zh-CN"/>
              </w:rPr>
              <w:t xml:space="preserve">.地面与裙脚要用坚固、防渗的材料建造，建筑材料必须与危险废物兼容。 </w:t>
            </w:r>
          </w:p>
          <w:p w14:paraId="6F9AC790">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B</w:t>
            </w:r>
            <w:r>
              <w:rPr>
                <w:rFonts w:hint="eastAsia" w:ascii="Times New Roman" w:hAnsi="Times New Roman" w:eastAsia="宋体" w:cs="Times New Roman"/>
                <w:color w:val="auto"/>
                <w:lang w:val="en-US" w:eastAsia="zh-CN"/>
              </w:rPr>
              <w:t xml:space="preserve">.设施内要有安全照明设施和观察窗口。 </w:t>
            </w:r>
          </w:p>
          <w:p w14:paraId="571BAA27">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C</w:t>
            </w:r>
            <w:r>
              <w:rPr>
                <w:rFonts w:hint="eastAsia" w:ascii="Times New Roman" w:hAnsi="Times New Roman" w:eastAsia="宋体" w:cs="Times New Roman"/>
                <w:color w:val="auto"/>
                <w:lang w:val="en-US" w:eastAsia="zh-CN"/>
              </w:rPr>
              <w:t xml:space="preserve">.用以存放装载液体、半固体危险废物容器的地方，必须有耐腐蚀的硬化地面，且表面无裂隙。 </w:t>
            </w:r>
          </w:p>
          <w:p w14:paraId="4EA3377A">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D</w:t>
            </w:r>
            <w:r>
              <w:rPr>
                <w:rFonts w:hint="eastAsia" w:ascii="Times New Roman" w:hAnsi="Times New Roman" w:eastAsia="宋体" w:cs="Times New Roman"/>
                <w:color w:val="auto"/>
                <w:lang w:val="en-US" w:eastAsia="zh-CN"/>
              </w:rPr>
              <w:t xml:space="preserve">.应设计堵截泄漏的裙脚，地面与裙脚所围建的容积不低于堵截最大容器的最大储量或总储量的五分之一。 </w:t>
            </w:r>
          </w:p>
          <w:p w14:paraId="286C6E9D">
            <w:pPr>
              <w:adjustRightInd w:val="0"/>
              <w:snapToGrid w:val="0"/>
              <w:spacing w:line="360" w:lineRule="auto"/>
              <w:ind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E</w:t>
            </w:r>
            <w:r>
              <w:rPr>
                <w:rFonts w:hint="eastAsia" w:ascii="Times New Roman" w:hAnsi="Times New Roman" w:eastAsia="宋体" w:cs="Times New Roman"/>
                <w:color w:val="auto"/>
                <w:lang w:val="en-US" w:eastAsia="zh-CN"/>
              </w:rPr>
              <w:t>.不兼容的危险废物必须分开存放，并设有隔离间隔断。</w:t>
            </w:r>
          </w:p>
          <w:p w14:paraId="5B25B935">
            <w:pPr>
              <w:adjustRightInd w:val="0"/>
              <w:snapToGrid w:val="0"/>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同时应对危险废物存放设施实施严格的管理： </w:t>
            </w:r>
          </w:p>
          <w:p w14:paraId="76B9984C">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A</w:t>
            </w:r>
            <w:r>
              <w:rPr>
                <w:rFonts w:hint="eastAsia" w:ascii="Times New Roman" w:hAnsi="Times New Roman" w:eastAsia="宋体" w:cs="Times New Roman"/>
                <w:color w:val="auto"/>
                <w:lang w:val="en-US" w:eastAsia="zh-CN"/>
              </w:rPr>
              <w:t>.危险废物贮存设施都必须按</w:t>
            </w:r>
            <w:r>
              <w:rPr>
                <w:rFonts w:hint="default" w:ascii="Times New Roman" w:hAnsi="Times New Roman" w:eastAsia="宋体" w:cs="Times New Roman"/>
                <w:color w:val="auto"/>
                <w:lang w:val="en-US" w:eastAsia="zh-CN"/>
              </w:rPr>
              <w:t>GB15562.2</w:t>
            </w:r>
            <w:r>
              <w:rPr>
                <w:rFonts w:hint="eastAsia" w:ascii="Times New Roman" w:hAnsi="Times New Roman" w:eastAsia="宋体" w:cs="Times New Roman"/>
                <w:color w:val="auto"/>
                <w:lang w:val="en-US" w:eastAsia="zh-CN"/>
              </w:rPr>
              <w:t xml:space="preserve">的规定设置警示标志。 </w:t>
            </w:r>
          </w:p>
          <w:p w14:paraId="12332217">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B</w:t>
            </w:r>
            <w:r>
              <w:rPr>
                <w:rFonts w:hint="eastAsia" w:ascii="Times New Roman" w:hAnsi="Times New Roman" w:eastAsia="宋体" w:cs="Times New Roman"/>
                <w:color w:val="auto"/>
                <w:lang w:val="en-US" w:eastAsia="zh-CN"/>
              </w:rPr>
              <w:t>.危险废物贮存设施周围应设置围墙</w:t>
            </w:r>
            <w:r>
              <w:rPr>
                <w:rFonts w:hint="eastAsia" w:cs="Times New Roman"/>
                <w:color w:val="auto"/>
                <w:lang w:val="en-US" w:eastAsia="zh-CN"/>
              </w:rPr>
              <w:t>或其他</w:t>
            </w:r>
            <w:r>
              <w:rPr>
                <w:rFonts w:hint="eastAsia" w:ascii="Times New Roman" w:hAnsi="Times New Roman" w:eastAsia="宋体" w:cs="Times New Roman"/>
                <w:color w:val="auto"/>
                <w:lang w:val="en-US" w:eastAsia="zh-CN"/>
              </w:rPr>
              <w:t xml:space="preserve">防护栅栏。 </w:t>
            </w:r>
          </w:p>
          <w:p w14:paraId="306D1C3D">
            <w:pPr>
              <w:adjustRightInd w:val="0"/>
              <w:snapToGrid w:val="0"/>
              <w:spacing w:line="360" w:lineRule="auto"/>
              <w:ind w:firstLine="420" w:firstLineChars="200"/>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C</w:t>
            </w:r>
            <w:r>
              <w:rPr>
                <w:rFonts w:hint="eastAsia" w:ascii="Times New Roman" w:hAnsi="Times New Roman" w:eastAsia="宋体" w:cs="Times New Roman"/>
                <w:color w:val="auto"/>
                <w:lang w:val="en-US" w:eastAsia="zh-CN"/>
              </w:rPr>
              <w:t xml:space="preserve">.危险废物贮存设施应配备通讯设备、照明设施、安全防护服装及工具，并设有应急防护设施。 </w:t>
            </w:r>
          </w:p>
          <w:p w14:paraId="48037E0C">
            <w:pPr>
              <w:adjustRightInd w:val="0"/>
              <w:snapToGrid w:val="0"/>
              <w:spacing w:line="360" w:lineRule="auto"/>
              <w:ind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w:t>
            </w:r>
            <w:r>
              <w:rPr>
                <w:rFonts w:hint="eastAsia" w:ascii="Times New Roman" w:hAnsi="Times New Roman" w:eastAsia="宋体" w:cs="Times New Roman"/>
                <w:color w:val="auto"/>
                <w:lang w:val="en-US" w:eastAsia="zh-CN"/>
              </w:rPr>
              <w:t>.危险废物贮存设施内清理出来的泄漏物，一律按危险废物处理。</w:t>
            </w:r>
          </w:p>
          <w:p w14:paraId="57DD5789">
            <w:pPr>
              <w:adjustRightInd w:val="0"/>
              <w:snapToGrid w:val="0"/>
              <w:spacing w:line="360" w:lineRule="auto"/>
              <w:ind w:firstLine="422" w:firstLineChars="200"/>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val="en-US" w:eastAsia="zh-CN" w:bidi="ar"/>
              </w:rPr>
              <w:t xml:space="preserve">②运输过程的污染防治措施 </w:t>
            </w:r>
          </w:p>
          <w:p w14:paraId="3726662E">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项目所处理的危险废物采用专门的车辆，密闭运输，严格禁止抛洒滴漏，杜绝在运输过程中造成环境的二次污染。在危险废物的运输中执行《危险废物收集贮存运输技术规范》（</w:t>
            </w:r>
            <w:r>
              <w:rPr>
                <w:rFonts w:hint="default" w:ascii="Times New Roman" w:hAnsi="Times New Roman" w:eastAsia="宋体" w:cs="Times New Roman"/>
                <w:color w:val="auto"/>
                <w:kern w:val="0"/>
                <w:sz w:val="21"/>
                <w:szCs w:val="21"/>
                <w:lang w:val="en-US" w:eastAsia="zh-CN" w:bidi="ar"/>
              </w:rPr>
              <w:t>HJ2025-2012</w:t>
            </w:r>
            <w:r>
              <w:rPr>
                <w:rFonts w:hint="eastAsia" w:ascii="Times New Roman" w:hAnsi="Times New Roman" w:eastAsia="宋体" w:cs="Times New Roman"/>
                <w:color w:val="auto"/>
                <w:kern w:val="0"/>
                <w:sz w:val="21"/>
                <w:szCs w:val="21"/>
                <w:lang w:val="en-US" w:eastAsia="zh-CN" w:bidi="ar"/>
              </w:rPr>
              <w:t xml:space="preserve">）中有关的规定和要求。具体如下： </w:t>
            </w:r>
          </w:p>
          <w:p w14:paraId="14E040AF">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color w:val="auto"/>
                <w:kern w:val="0"/>
                <w:sz w:val="21"/>
                <w:szCs w:val="21"/>
                <w:lang w:val="en-US" w:eastAsia="zh-CN" w:bidi="ar"/>
              </w:rPr>
              <w:t xml:space="preserve">.危险废物运输应由持有危险废物经营许可证的单位按照其许可证的经营范围组织实施，承担危险废物运输的单位应获得交通运输部门颁发的危险货物运输资质。 </w:t>
            </w:r>
          </w:p>
          <w:p w14:paraId="19A89B88">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B</w:t>
            </w:r>
            <w:r>
              <w:rPr>
                <w:rFonts w:hint="eastAsia" w:ascii="Times New Roman" w:hAnsi="Times New Roman" w:eastAsia="宋体" w:cs="Times New Roman"/>
                <w:color w:val="auto"/>
                <w:kern w:val="0"/>
                <w:sz w:val="21"/>
                <w:szCs w:val="21"/>
                <w:lang w:val="en-US" w:eastAsia="zh-CN" w:bidi="ar"/>
              </w:rPr>
              <w:t>.危险废物公路运输应按照《道路危险货物运输管理规定》（交通运输部令</w:t>
            </w:r>
            <w:r>
              <w:rPr>
                <w:rFonts w:hint="default" w:ascii="Times New Roman" w:hAnsi="Times New Roman" w:eastAsia="宋体" w:cs="Times New Roman"/>
                <w:color w:val="auto"/>
                <w:kern w:val="0"/>
                <w:sz w:val="21"/>
                <w:szCs w:val="21"/>
                <w:lang w:val="en-US" w:eastAsia="zh-CN" w:bidi="ar"/>
              </w:rPr>
              <w:t>2013</w:t>
            </w:r>
            <w:r>
              <w:rPr>
                <w:rFonts w:hint="eastAsia" w:ascii="Times New Roman" w:hAnsi="Times New Roman" w:eastAsia="宋体" w:cs="Times New Roman"/>
                <w:color w:val="auto"/>
                <w:kern w:val="0"/>
                <w:sz w:val="21"/>
                <w:szCs w:val="21"/>
                <w:lang w:val="en-US" w:eastAsia="zh-CN" w:bidi="ar"/>
              </w:rPr>
              <w:t>年第</w:t>
            </w:r>
            <w:r>
              <w:rPr>
                <w:rFonts w:hint="default" w:ascii="Times New Roman" w:hAnsi="Times New Roman" w:eastAsia="宋体"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号）、</w:t>
            </w:r>
            <w:r>
              <w:rPr>
                <w:rFonts w:hint="default" w:ascii="Times New Roman" w:hAnsi="Times New Roman" w:eastAsia="宋体" w:cs="Times New Roman"/>
                <w:color w:val="auto"/>
                <w:kern w:val="0"/>
                <w:sz w:val="21"/>
                <w:szCs w:val="21"/>
                <w:lang w:val="en-US" w:eastAsia="zh-CN" w:bidi="ar"/>
              </w:rPr>
              <w:t>JT617</w:t>
            </w:r>
            <w:r>
              <w:rPr>
                <w:rFonts w:hint="eastAsia" w:ascii="Times New Roman" w:hAnsi="Times New Roman" w:eastAsia="宋体" w:cs="Times New Roman"/>
                <w:color w:val="auto"/>
                <w:kern w:val="0"/>
                <w:sz w:val="21"/>
                <w:szCs w:val="21"/>
                <w:lang w:val="en-US" w:eastAsia="zh-CN" w:bidi="ar"/>
              </w:rPr>
              <w:t>以及</w:t>
            </w:r>
            <w:r>
              <w:rPr>
                <w:rFonts w:hint="default" w:ascii="Times New Roman" w:hAnsi="Times New Roman" w:eastAsia="宋体" w:cs="Times New Roman"/>
                <w:color w:val="auto"/>
                <w:kern w:val="0"/>
                <w:sz w:val="21"/>
                <w:szCs w:val="21"/>
                <w:lang w:val="en-US" w:eastAsia="zh-CN" w:bidi="ar"/>
              </w:rPr>
              <w:t>JT618</w:t>
            </w:r>
            <w:r>
              <w:rPr>
                <w:rFonts w:hint="eastAsia" w:ascii="Times New Roman" w:hAnsi="Times New Roman" w:eastAsia="宋体" w:cs="Times New Roman"/>
                <w:color w:val="auto"/>
                <w:kern w:val="0"/>
                <w:sz w:val="21"/>
                <w:szCs w:val="21"/>
                <w:lang w:val="en-US" w:eastAsia="zh-CN" w:bidi="ar"/>
              </w:rPr>
              <w:t xml:space="preserve">执行。 </w:t>
            </w:r>
          </w:p>
          <w:p w14:paraId="4FE44A0B">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eastAsia" w:ascii="Times New Roman" w:hAnsi="Times New Roman" w:eastAsia="宋体" w:cs="Times New Roman"/>
                <w:color w:val="auto"/>
                <w:kern w:val="0"/>
                <w:sz w:val="21"/>
                <w:szCs w:val="21"/>
                <w:lang w:val="en-US" w:eastAsia="zh-CN" w:bidi="ar"/>
              </w:rPr>
              <w:t>.运输单位承运危险废物时，应在危险废物包装上按照</w:t>
            </w:r>
            <w:r>
              <w:rPr>
                <w:rFonts w:hint="default" w:ascii="Times New Roman" w:hAnsi="Times New Roman" w:eastAsia="宋体" w:cs="Times New Roman"/>
                <w:color w:val="auto"/>
                <w:kern w:val="0"/>
                <w:sz w:val="21"/>
                <w:szCs w:val="21"/>
                <w:lang w:val="en-US" w:eastAsia="zh-CN" w:bidi="ar"/>
              </w:rPr>
              <w:t>GB18597</w:t>
            </w:r>
            <w:r>
              <w:rPr>
                <w:rFonts w:hint="eastAsia" w:ascii="Times New Roman" w:hAnsi="Times New Roman" w:eastAsia="宋体" w:cs="Times New Roman"/>
                <w:color w:val="auto"/>
                <w:kern w:val="0"/>
                <w:sz w:val="21"/>
                <w:szCs w:val="21"/>
                <w:lang w:val="en-US" w:eastAsia="zh-CN" w:bidi="ar"/>
              </w:rPr>
              <w:t>附录</w:t>
            </w:r>
            <w:r>
              <w:rPr>
                <w:rFonts w:hint="default"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color w:val="auto"/>
                <w:kern w:val="0"/>
                <w:sz w:val="21"/>
                <w:szCs w:val="21"/>
                <w:lang w:val="en-US" w:eastAsia="zh-CN" w:bidi="ar"/>
              </w:rPr>
              <w:t xml:space="preserve">设置标志。 </w:t>
            </w:r>
          </w:p>
          <w:p w14:paraId="6459C33D">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D</w:t>
            </w:r>
            <w:r>
              <w:rPr>
                <w:rFonts w:hint="eastAsia" w:ascii="Times New Roman" w:hAnsi="Times New Roman" w:eastAsia="宋体" w:cs="Times New Roman"/>
                <w:color w:val="auto"/>
                <w:kern w:val="0"/>
                <w:sz w:val="21"/>
                <w:szCs w:val="21"/>
                <w:lang w:val="en-US" w:eastAsia="zh-CN" w:bidi="ar"/>
              </w:rPr>
              <w:t>.危险废物公路运输时，运输车辆应按</w:t>
            </w:r>
            <w:r>
              <w:rPr>
                <w:rFonts w:hint="default" w:ascii="Times New Roman" w:hAnsi="Times New Roman" w:eastAsia="宋体" w:cs="Times New Roman"/>
                <w:color w:val="auto"/>
                <w:kern w:val="0"/>
                <w:sz w:val="21"/>
                <w:szCs w:val="21"/>
                <w:lang w:val="en-US" w:eastAsia="zh-CN" w:bidi="ar"/>
              </w:rPr>
              <w:t>GB13392</w:t>
            </w:r>
            <w:r>
              <w:rPr>
                <w:rFonts w:hint="eastAsia" w:ascii="Times New Roman" w:hAnsi="Times New Roman" w:eastAsia="宋体" w:cs="Times New Roman"/>
                <w:color w:val="auto"/>
                <w:kern w:val="0"/>
                <w:sz w:val="21"/>
                <w:szCs w:val="21"/>
                <w:lang w:val="en-US" w:eastAsia="zh-CN" w:bidi="ar"/>
              </w:rPr>
              <w:t xml:space="preserve">设置车辆标志。 </w:t>
            </w:r>
          </w:p>
          <w:p w14:paraId="1EE6D611">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E</w:t>
            </w:r>
            <w:r>
              <w:rPr>
                <w:rFonts w:hint="eastAsia" w:ascii="Times New Roman" w:hAnsi="Times New Roman" w:eastAsia="宋体" w:cs="Times New Roman"/>
                <w:color w:val="auto"/>
                <w:kern w:val="0"/>
                <w:sz w:val="21"/>
                <w:szCs w:val="21"/>
                <w:lang w:val="en-US" w:eastAsia="zh-CN" w:bidi="ar"/>
              </w:rPr>
              <w:t xml:space="preserve">.危险废物运输时的中转、装卸过程应遵守如下技术要求：卸载区的工作人员应熟悉废物的危险特性，并配备适当的个人防护装备；卸载区应配备必要的消防设备和设施，并设置明显的指示标志；危险废物装卸区应设置隔离设施。 </w:t>
            </w:r>
          </w:p>
          <w:p w14:paraId="62535CEF">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综上所述，项目危险废物由危险废物处置单位或专业危险废物运输公司负责，按相关规范进行，不</w:t>
            </w:r>
            <w:r>
              <w:rPr>
                <w:rFonts w:hint="eastAsia" w:cs="Times New Roman"/>
                <w:color w:val="auto"/>
                <w:kern w:val="0"/>
                <w:sz w:val="21"/>
                <w:szCs w:val="21"/>
                <w:lang w:val="en-US" w:eastAsia="zh-CN" w:bidi="ar"/>
              </w:rPr>
              <w:t>会对</w:t>
            </w:r>
            <w:r>
              <w:rPr>
                <w:rFonts w:hint="eastAsia" w:ascii="Times New Roman" w:hAnsi="Times New Roman" w:eastAsia="宋体" w:cs="Times New Roman"/>
                <w:color w:val="auto"/>
                <w:kern w:val="0"/>
                <w:sz w:val="21"/>
                <w:szCs w:val="21"/>
                <w:lang w:val="en-US" w:eastAsia="zh-CN" w:bidi="ar"/>
              </w:rPr>
              <w:t>周围居民</w:t>
            </w:r>
            <w:r>
              <w:rPr>
                <w:rFonts w:hint="eastAsia" w:cs="Times New Roman"/>
                <w:color w:val="auto"/>
                <w:kern w:val="0"/>
                <w:sz w:val="21"/>
                <w:szCs w:val="21"/>
                <w:lang w:val="en-US" w:eastAsia="zh-CN" w:bidi="ar"/>
              </w:rPr>
              <w:t>及其他</w:t>
            </w:r>
            <w:r>
              <w:rPr>
                <w:rFonts w:hint="eastAsia" w:ascii="Times New Roman" w:hAnsi="Times New Roman" w:eastAsia="宋体" w:cs="Times New Roman"/>
                <w:color w:val="auto"/>
                <w:kern w:val="0"/>
                <w:sz w:val="21"/>
                <w:szCs w:val="21"/>
                <w:lang w:val="en-US" w:eastAsia="zh-CN" w:bidi="ar"/>
              </w:rPr>
              <w:t xml:space="preserve">敏感点造成不利影响。 </w:t>
            </w:r>
          </w:p>
          <w:p w14:paraId="6109552D">
            <w:pPr>
              <w:adjustRightInd w:val="0"/>
              <w:snapToGrid w:val="0"/>
              <w:spacing w:line="360" w:lineRule="auto"/>
              <w:ind w:firstLine="422" w:firstLineChars="200"/>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val="en-US" w:eastAsia="zh-CN" w:bidi="ar"/>
              </w:rPr>
              <w:t xml:space="preserve">③危险废物处置管理要求 </w:t>
            </w:r>
          </w:p>
          <w:p w14:paraId="479883FC">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 xml:space="preserve">全厂危险废物均委托给有相应处理资质的单位处理。建设方按照国家有关危险废物的处置规定对危险废物进行处置。主要做好以下几点要求： </w:t>
            </w:r>
          </w:p>
          <w:p w14:paraId="5B041196">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color w:val="auto"/>
                <w:kern w:val="0"/>
                <w:sz w:val="21"/>
                <w:szCs w:val="21"/>
                <w:lang w:val="en-US" w:eastAsia="zh-CN" w:bidi="ar"/>
              </w:rPr>
              <w:t xml:space="preserve">.按国家有关规定申报登记产生危险废物的种类、数量、处置方法。 </w:t>
            </w:r>
          </w:p>
          <w:p w14:paraId="11637E1F">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B</w:t>
            </w:r>
            <w:r>
              <w:rPr>
                <w:rFonts w:hint="eastAsia" w:ascii="Times New Roman" w:hAnsi="Times New Roman" w:eastAsia="宋体" w:cs="Times New Roman"/>
                <w:color w:val="auto"/>
                <w:kern w:val="0"/>
                <w:sz w:val="21"/>
                <w:szCs w:val="21"/>
                <w:lang w:val="en-US" w:eastAsia="zh-CN" w:bidi="ar"/>
              </w:rPr>
              <w:t>.在危险废物的收集和转运过程中采取相应的防火、防爆、防中毒、防扬散、防流失、防渗漏或者其他防止污染环境的措施。贮存的地方有水泥基底，以免污染土壤和地下水，同时具有</w:t>
            </w:r>
            <w:r>
              <w:rPr>
                <w:rFonts w:hint="eastAsia" w:cs="Times New Roman"/>
                <w:color w:val="auto"/>
                <w:kern w:val="0"/>
                <w:sz w:val="21"/>
                <w:szCs w:val="21"/>
                <w:lang w:val="en-US" w:eastAsia="zh-CN" w:bidi="ar"/>
              </w:rPr>
              <w:t>遮蔽风雨</w:t>
            </w:r>
            <w:r>
              <w:rPr>
                <w:rFonts w:hint="eastAsia" w:ascii="Times New Roman" w:hAnsi="Times New Roman" w:eastAsia="宋体" w:cs="Times New Roman"/>
                <w:color w:val="auto"/>
                <w:kern w:val="0"/>
                <w:sz w:val="21"/>
                <w:szCs w:val="21"/>
                <w:lang w:val="en-US" w:eastAsia="zh-CN" w:bidi="ar"/>
              </w:rPr>
              <w:t xml:space="preserve">的顶棚及特殊排水设施。所有贮存危险废物的容器定期检查。 </w:t>
            </w:r>
          </w:p>
          <w:p w14:paraId="48679C33">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eastAsia" w:ascii="Times New Roman" w:hAnsi="Times New Roman" w:eastAsia="宋体" w:cs="Times New Roman"/>
                <w:color w:val="auto"/>
                <w:kern w:val="0"/>
                <w:sz w:val="21"/>
                <w:szCs w:val="21"/>
                <w:lang w:val="en-US" w:eastAsia="zh-CN" w:bidi="ar"/>
              </w:rPr>
              <w:t xml:space="preserve">.在危险废物的容器和包装物以及收集、贮存、运输、处置危险废物的设施、场所设置危险废物识别标志。对危险废物进行安全包装，并在包装的明显位置附上危险废物标签。 </w:t>
            </w:r>
          </w:p>
          <w:p w14:paraId="491AF603">
            <w:pPr>
              <w:adjustRightInd w:val="0"/>
              <w:snapToGrid w:val="0"/>
              <w:spacing w:line="360" w:lineRule="auto"/>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D</w:t>
            </w:r>
            <w:r>
              <w:rPr>
                <w:rFonts w:hint="eastAsia" w:ascii="Times New Roman" w:hAnsi="Times New Roman" w:eastAsia="宋体" w:cs="Times New Roman"/>
                <w:color w:val="auto"/>
                <w:kern w:val="0"/>
                <w:sz w:val="21"/>
                <w:szCs w:val="21"/>
                <w:lang w:val="en-US" w:eastAsia="zh-CN" w:bidi="ar"/>
              </w:rPr>
              <w:t>.转移危险废物，必须按照国家有关规定填写危险废物转移联单，并向危险废物移出地环境保护局报告。</w:t>
            </w:r>
          </w:p>
          <w:p w14:paraId="282C0678">
            <w:pPr>
              <w:adjustRightInd w:val="0"/>
              <w:snapToGrid w:val="0"/>
              <w:spacing w:line="360" w:lineRule="auto"/>
              <w:ind w:firstLine="420" w:firstLineChars="200"/>
              <w:rPr>
                <w:rFonts w:hint="eastAsia"/>
                <w:bCs/>
                <w:color w:val="auto"/>
                <w:szCs w:val="21"/>
              </w:rPr>
            </w:pPr>
            <w:r>
              <w:rPr>
                <w:rFonts w:hint="eastAsia" w:ascii="宋体" w:hAnsi="宋体" w:eastAsia="宋体" w:cs="宋体"/>
                <w:bCs/>
                <w:color w:val="auto"/>
                <w:szCs w:val="21"/>
              </w:rPr>
              <w:t>④</w:t>
            </w:r>
            <w:r>
              <w:rPr>
                <w:rFonts w:hint="eastAsia"/>
                <w:bCs/>
                <w:color w:val="auto"/>
                <w:szCs w:val="21"/>
              </w:rPr>
              <w:t>固体废物排污许可管理</w:t>
            </w:r>
          </w:p>
          <w:p w14:paraId="66528677">
            <w:pPr>
              <w:adjustRightInd w:val="0"/>
              <w:snapToGrid w:val="0"/>
              <w:spacing w:line="360" w:lineRule="auto"/>
              <w:ind w:firstLine="420" w:firstLineChars="200"/>
              <w:rPr>
                <w:rFonts w:hint="eastAsia"/>
                <w:bCs/>
                <w:color w:val="auto"/>
                <w:szCs w:val="21"/>
              </w:rPr>
            </w:pPr>
            <w:r>
              <w:rPr>
                <w:rFonts w:hint="eastAsia"/>
                <w:bCs/>
                <w:color w:val="auto"/>
                <w:szCs w:val="21"/>
              </w:rPr>
              <w:t xml:space="preserve">对照《关于开展工业固体废物排污许可管理工作的通知》（环办环评〔2021〕26号）相关要求： </w:t>
            </w:r>
          </w:p>
          <w:p w14:paraId="47667645">
            <w:pPr>
              <w:adjustRightInd w:val="0"/>
              <w:snapToGrid w:val="0"/>
              <w:spacing w:line="360" w:lineRule="auto"/>
              <w:ind w:firstLine="420" w:firstLineChars="200"/>
              <w:rPr>
                <w:rFonts w:hint="eastAsia"/>
                <w:bCs/>
                <w:color w:val="auto"/>
                <w:szCs w:val="21"/>
              </w:rPr>
            </w:pPr>
            <w:r>
              <w:rPr>
                <w:rFonts w:hint="eastAsia"/>
                <w:bCs/>
                <w:color w:val="auto"/>
                <w:szCs w:val="21"/>
              </w:rPr>
              <w:t xml:space="preserve">根据《关于开展工业固体废物排污许可管理工作的通知》（环办环评〔2021〕26号），对于固废技术规范实施后首次申请排污许可证的产废单位，应按照相关行业排污许可证申请与核发技术规范和固废技术规范申领排污许可证，核发的排污许可证中一并载明工业固废环境管理要求。因此项目通过审批申领排污许可证时应明确工业固废环境管理的相关要求。 </w:t>
            </w:r>
          </w:p>
          <w:p w14:paraId="2B506DA8">
            <w:pPr>
              <w:adjustRightInd w:val="0"/>
              <w:snapToGrid w:val="0"/>
              <w:spacing w:line="360" w:lineRule="auto"/>
              <w:ind w:firstLine="422" w:firstLineChars="200"/>
              <w:rPr>
                <w:b/>
                <w:color w:val="auto"/>
                <w:szCs w:val="21"/>
              </w:rPr>
            </w:pPr>
            <w:r>
              <w:rPr>
                <w:rFonts w:hint="eastAsia"/>
                <w:b/>
                <w:color w:val="auto"/>
                <w:szCs w:val="21"/>
              </w:rPr>
              <w:t>6</w:t>
            </w:r>
            <w:r>
              <w:rPr>
                <w:b/>
                <w:color w:val="auto"/>
                <w:szCs w:val="21"/>
              </w:rPr>
              <w:t>、地下水</w:t>
            </w:r>
            <w:r>
              <w:rPr>
                <w:rFonts w:hint="eastAsia"/>
                <w:b/>
                <w:color w:val="auto"/>
                <w:szCs w:val="21"/>
              </w:rPr>
              <w:t>、土壤</w:t>
            </w:r>
          </w:p>
          <w:p w14:paraId="5228E902">
            <w:pPr>
              <w:numPr>
                <w:ilvl w:val="0"/>
                <w:numId w:val="0"/>
              </w:numPr>
              <w:spacing w:line="360" w:lineRule="auto"/>
              <w:ind w:leftChars="200" w:right="0" w:rightChars="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（1）地下水、土壤污染来源与污染途径</w:t>
            </w:r>
          </w:p>
          <w:p w14:paraId="4DFA75EB">
            <w:pPr>
              <w:numPr>
                <w:ilvl w:val="0"/>
                <w:numId w:val="0"/>
              </w:numPr>
              <w:spacing w:line="360" w:lineRule="auto"/>
              <w:ind w:right="0" w:rightChars="0"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运营期生产过程中不抽取地下水。由于项目生产涉及有毒有害物质及危废物质，如果任意堆放在项目场地范围内，如发生泄漏、会对土壤孔隙度等理化性质产生一定的影响，有毒有害元素将可能进入土壤，对土壤造成污染，并有可能污染地下水。</w:t>
            </w:r>
          </w:p>
          <w:p w14:paraId="02718748">
            <w:pPr>
              <w:numPr>
                <w:ilvl w:val="0"/>
                <w:numId w:val="0"/>
              </w:numPr>
              <w:spacing w:line="360" w:lineRule="auto"/>
              <w:ind w:right="0" w:rightChars="0"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项目污染地下水、土壤的途径主要为固废临时存放点地面防渗层破裂，有害物泄漏并渗入地下导致地下水、土壤污染。各类固体废物处理不当，其中有害物质经雨水淋溶、流失，渗入地下导致地下水、土壤污染。</w:t>
            </w:r>
          </w:p>
          <w:p w14:paraId="73483F94">
            <w:pPr>
              <w:numPr>
                <w:ilvl w:val="0"/>
                <w:numId w:val="0"/>
              </w:numPr>
              <w:spacing w:line="360" w:lineRule="auto"/>
              <w:ind w:right="0" w:rightChars="0"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（2）地下水、土壤环境影响分析</w:t>
            </w:r>
          </w:p>
          <w:p w14:paraId="43BE60D8">
            <w:pPr>
              <w:numPr>
                <w:ilvl w:val="0"/>
                <w:numId w:val="0"/>
              </w:numPr>
              <w:spacing w:line="360" w:lineRule="auto"/>
              <w:ind w:right="0" w:rightChars="0"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本项目不自建地下水井，项目无生产废水，现有生活污水经预处理后由市政污水管网排入污水处理厂处理，污水管渗漏率极低，因此，生活污水的排放对地下水、土壤的影响有限。</w:t>
            </w:r>
          </w:p>
          <w:p w14:paraId="7F70A19B">
            <w:pPr>
              <w:numPr>
                <w:ilvl w:val="0"/>
                <w:numId w:val="0"/>
              </w:numPr>
              <w:spacing w:line="360" w:lineRule="auto"/>
              <w:ind w:right="0" w:rightChars="0"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项目所在地不属于生活供水水源地准保护区，不属于国家或地方设立的热水、矿泉水、温泉等特殊地下水资源保护区，因此项目生活污水不会对地下水、土壤产生明显影响。</w:t>
            </w:r>
          </w:p>
          <w:p w14:paraId="1FBF8828">
            <w:pPr>
              <w:numPr>
                <w:ilvl w:val="0"/>
                <w:numId w:val="0"/>
              </w:numPr>
              <w:spacing w:line="360" w:lineRule="auto"/>
              <w:ind w:right="0" w:rightChars="0" w:firstLine="420"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（3）防治措施</w:t>
            </w:r>
          </w:p>
          <w:p w14:paraId="1F85E5D6">
            <w:pPr>
              <w:spacing w:line="360" w:lineRule="auto"/>
              <w:ind w:firstLine="420" w:firstLineChars="20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次评价主要考虑各类污染防治措施运行过程中发生的跑冒滴漏等。当发生上述泄露情况下，污染物可能渗透到含水层对地下水水质造成影响，并通过扩散和渗透作用对周边区域的地下水、土壤环境造成影响。根据项目的地下水、土壤污染影响来源，本报告提出如下污染防治措施：</w:t>
            </w:r>
          </w:p>
          <w:p w14:paraId="34076A7A">
            <w:pPr>
              <w:spacing w:line="360" w:lineRule="auto"/>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1）分区防渗措施防止地下水、土壤污染，项目保护地下水、土壤分区防护措施详见表4-2</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w:t>
            </w:r>
          </w:p>
          <w:p w14:paraId="1FD303E3">
            <w:pPr>
              <w:jc w:val="center"/>
              <w:rPr>
                <w:rFonts w:hint="eastAsia" w:eastAsia="宋体"/>
                <w:b/>
                <w:bCs/>
                <w:color w:val="auto"/>
                <w:lang w:val="en-US" w:eastAsia="zh-CN"/>
              </w:rPr>
            </w:pPr>
            <w:r>
              <w:rPr>
                <w:b/>
                <w:bCs/>
                <w:color w:val="auto"/>
              </w:rPr>
              <w:t>表</w:t>
            </w:r>
            <w:r>
              <w:rPr>
                <w:rFonts w:hint="eastAsia"/>
                <w:b/>
                <w:bCs/>
                <w:color w:val="auto"/>
              </w:rPr>
              <w:t>4-</w:t>
            </w:r>
            <w:r>
              <w:rPr>
                <w:rFonts w:hint="eastAsia"/>
                <w:b/>
                <w:bCs/>
                <w:color w:val="auto"/>
                <w:lang w:val="en-US" w:eastAsia="zh-CN"/>
              </w:rPr>
              <w:t>25</w:t>
            </w:r>
            <w:r>
              <w:rPr>
                <w:b/>
                <w:bCs/>
                <w:color w:val="auto"/>
              </w:rPr>
              <w:t xml:space="preserve"> </w:t>
            </w:r>
            <w:r>
              <w:rPr>
                <w:rFonts w:hint="eastAsia"/>
                <w:b/>
                <w:bCs/>
                <w:color w:val="auto"/>
              </w:rPr>
              <w:t>分区防渗方案及</w:t>
            </w:r>
            <w:r>
              <w:rPr>
                <w:rFonts w:hint="eastAsia"/>
                <w:b/>
                <w:bCs/>
                <w:color w:val="auto"/>
                <w:lang w:val="en-US" w:eastAsia="zh-CN"/>
              </w:rPr>
              <w:t>防渗措施</w:t>
            </w:r>
          </w:p>
          <w:tbl>
            <w:tblPr>
              <w:tblStyle w:val="4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380"/>
              <w:gridCol w:w="1589"/>
              <w:gridCol w:w="4643"/>
            </w:tblGrid>
            <w:tr w14:paraId="1946BC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vAlign w:val="center"/>
                </w:tcPr>
                <w:p w14:paraId="0B4783D9">
                  <w:pPr>
                    <w:jc w:val="center"/>
                    <w:rPr>
                      <w:bCs/>
                      <w:color w:val="auto"/>
                      <w:szCs w:val="21"/>
                    </w:rPr>
                  </w:pPr>
                  <w:r>
                    <w:rPr>
                      <w:bCs/>
                      <w:color w:val="auto"/>
                      <w:szCs w:val="21"/>
                    </w:rPr>
                    <w:t>序号</w:t>
                  </w:r>
                </w:p>
              </w:tc>
              <w:tc>
                <w:tcPr>
                  <w:tcW w:w="834" w:type="pct"/>
                  <w:vAlign w:val="center"/>
                </w:tcPr>
                <w:p w14:paraId="2777DDB9">
                  <w:pPr>
                    <w:jc w:val="center"/>
                    <w:rPr>
                      <w:bCs/>
                      <w:color w:val="auto"/>
                      <w:szCs w:val="21"/>
                    </w:rPr>
                  </w:pPr>
                  <w:r>
                    <w:rPr>
                      <w:rFonts w:hint="eastAsia"/>
                      <w:bCs/>
                      <w:color w:val="auto"/>
                      <w:szCs w:val="21"/>
                    </w:rPr>
                    <w:t>防治分区</w:t>
                  </w:r>
                </w:p>
              </w:tc>
              <w:tc>
                <w:tcPr>
                  <w:tcW w:w="960" w:type="pct"/>
                  <w:vAlign w:val="center"/>
                </w:tcPr>
                <w:p w14:paraId="615762E8">
                  <w:pPr>
                    <w:jc w:val="center"/>
                    <w:rPr>
                      <w:bCs/>
                      <w:color w:val="auto"/>
                      <w:szCs w:val="21"/>
                    </w:rPr>
                  </w:pPr>
                  <w:r>
                    <w:rPr>
                      <w:rFonts w:hint="eastAsia"/>
                      <w:bCs/>
                      <w:color w:val="auto"/>
                      <w:szCs w:val="21"/>
                    </w:rPr>
                    <w:t>分区位置</w:t>
                  </w:r>
                </w:p>
              </w:tc>
              <w:tc>
                <w:tcPr>
                  <w:tcW w:w="2807" w:type="pct"/>
                  <w:vAlign w:val="center"/>
                </w:tcPr>
                <w:p w14:paraId="652E810B">
                  <w:pPr>
                    <w:jc w:val="center"/>
                    <w:rPr>
                      <w:bCs/>
                      <w:color w:val="auto"/>
                      <w:szCs w:val="21"/>
                    </w:rPr>
                  </w:pPr>
                  <w:r>
                    <w:rPr>
                      <w:rFonts w:hint="eastAsia"/>
                      <w:bCs/>
                      <w:color w:val="auto"/>
                      <w:szCs w:val="21"/>
                    </w:rPr>
                    <w:t>防渗要求</w:t>
                  </w:r>
                </w:p>
              </w:tc>
            </w:tr>
            <w:tr w14:paraId="2F5177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vAlign w:val="center"/>
                </w:tcPr>
                <w:p w14:paraId="6DE1D711">
                  <w:pPr>
                    <w:jc w:val="center"/>
                    <w:rPr>
                      <w:color w:val="auto"/>
                      <w:szCs w:val="21"/>
                    </w:rPr>
                  </w:pPr>
                  <w:r>
                    <w:rPr>
                      <w:color w:val="auto"/>
                      <w:szCs w:val="21"/>
                    </w:rPr>
                    <w:t>1</w:t>
                  </w:r>
                </w:p>
              </w:tc>
              <w:tc>
                <w:tcPr>
                  <w:tcW w:w="834" w:type="pct"/>
                  <w:vAlign w:val="center"/>
                </w:tcPr>
                <w:p w14:paraId="2E5D5EF5">
                  <w:pPr>
                    <w:jc w:val="center"/>
                    <w:rPr>
                      <w:color w:val="auto"/>
                      <w:szCs w:val="21"/>
                    </w:rPr>
                  </w:pPr>
                  <w:r>
                    <w:rPr>
                      <w:rFonts w:hint="eastAsia"/>
                      <w:color w:val="auto"/>
                      <w:szCs w:val="21"/>
                    </w:rPr>
                    <w:t>重点污染防治区</w:t>
                  </w:r>
                </w:p>
              </w:tc>
              <w:tc>
                <w:tcPr>
                  <w:tcW w:w="960" w:type="pct"/>
                  <w:vAlign w:val="center"/>
                </w:tcPr>
                <w:p w14:paraId="3DFA61A1">
                  <w:pPr>
                    <w:jc w:val="center"/>
                    <w:rPr>
                      <w:rFonts w:hint="eastAsia" w:eastAsia="宋体"/>
                      <w:color w:val="auto"/>
                      <w:szCs w:val="21"/>
                      <w:lang w:val="en-US" w:eastAsia="zh-CN"/>
                    </w:rPr>
                  </w:pPr>
                  <w:r>
                    <w:rPr>
                      <w:rFonts w:hint="eastAsia"/>
                      <w:color w:val="auto"/>
                      <w:szCs w:val="21"/>
                    </w:rPr>
                    <w:t>危废暂存场所</w:t>
                  </w:r>
                </w:p>
              </w:tc>
              <w:tc>
                <w:tcPr>
                  <w:tcW w:w="2807" w:type="pct"/>
                  <w:vAlign w:val="center"/>
                </w:tcPr>
                <w:p w14:paraId="7DE3A43A">
                  <w:pPr>
                    <w:jc w:val="center"/>
                    <w:rPr>
                      <w:color w:val="auto"/>
                      <w:szCs w:val="21"/>
                    </w:rPr>
                  </w:pPr>
                  <w:r>
                    <w:rPr>
                      <w:rFonts w:hint="eastAsia"/>
                      <w:color w:val="auto"/>
                      <w:szCs w:val="21"/>
                    </w:rPr>
                    <w:t>依据国家危险贮存标准要求设计、施工，采用200mm厚C15砼垫层随打随</w:t>
                  </w:r>
                  <w:r>
                    <w:rPr>
                      <w:rFonts w:hint="eastAsia"/>
                      <w:color w:val="auto"/>
                      <w:szCs w:val="21"/>
                      <w:lang w:eastAsia="zh-CN"/>
                    </w:rPr>
                    <w:t>抹</w:t>
                  </w:r>
                  <w:r>
                    <w:rPr>
                      <w:rFonts w:hint="eastAsia"/>
                      <w:color w:val="auto"/>
                      <w:szCs w:val="21"/>
                    </w:rPr>
                    <w:t>，设置钢筋混凝土围堰，并采用底部加设土工膜进行防渗，使渗透系数不大于1.0×10</w:t>
                  </w:r>
                  <w:r>
                    <w:rPr>
                      <w:rFonts w:hint="eastAsia"/>
                      <w:color w:val="auto"/>
                      <w:szCs w:val="21"/>
                      <w:vertAlign w:val="superscript"/>
                    </w:rPr>
                    <w:t>-10</w:t>
                  </w:r>
                  <w:r>
                    <w:rPr>
                      <w:rFonts w:hint="eastAsia"/>
                      <w:color w:val="auto"/>
                      <w:szCs w:val="21"/>
                    </w:rPr>
                    <w:t>cm/s，且防雨和防晒</w:t>
                  </w:r>
                </w:p>
              </w:tc>
            </w:tr>
            <w:tr w14:paraId="0A930E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tcBorders>
                    <w:bottom w:val="single" w:color="auto" w:sz="4" w:space="0"/>
                  </w:tcBorders>
                  <w:vAlign w:val="center"/>
                </w:tcPr>
                <w:p w14:paraId="717ABC92">
                  <w:pPr>
                    <w:jc w:val="center"/>
                    <w:rPr>
                      <w:color w:val="auto"/>
                      <w:szCs w:val="21"/>
                    </w:rPr>
                  </w:pPr>
                  <w:r>
                    <w:rPr>
                      <w:rFonts w:hint="eastAsia"/>
                      <w:color w:val="auto"/>
                      <w:szCs w:val="21"/>
                    </w:rPr>
                    <w:t>2</w:t>
                  </w:r>
                </w:p>
              </w:tc>
              <w:tc>
                <w:tcPr>
                  <w:tcW w:w="834" w:type="pct"/>
                  <w:vMerge w:val="restart"/>
                  <w:vAlign w:val="center"/>
                </w:tcPr>
                <w:p w14:paraId="1BDC140A">
                  <w:pPr>
                    <w:jc w:val="center"/>
                    <w:rPr>
                      <w:color w:val="auto"/>
                      <w:szCs w:val="21"/>
                    </w:rPr>
                  </w:pPr>
                  <w:r>
                    <w:rPr>
                      <w:rFonts w:hint="eastAsia"/>
                      <w:color w:val="auto"/>
                      <w:szCs w:val="21"/>
                    </w:rPr>
                    <w:t>一般污染防治区</w:t>
                  </w:r>
                </w:p>
              </w:tc>
              <w:tc>
                <w:tcPr>
                  <w:tcW w:w="960" w:type="pct"/>
                  <w:tcBorders>
                    <w:bottom w:val="single" w:color="auto" w:sz="4" w:space="0"/>
                  </w:tcBorders>
                  <w:vAlign w:val="center"/>
                </w:tcPr>
                <w:p w14:paraId="7BB37472">
                  <w:pPr>
                    <w:jc w:val="center"/>
                    <w:rPr>
                      <w:color w:val="auto"/>
                      <w:szCs w:val="21"/>
                    </w:rPr>
                  </w:pPr>
                  <w:r>
                    <w:rPr>
                      <w:rFonts w:hint="eastAsia"/>
                      <w:color w:val="auto"/>
                      <w:szCs w:val="21"/>
                    </w:rPr>
                    <w:t>一般固废仓库</w:t>
                  </w:r>
                </w:p>
              </w:tc>
              <w:tc>
                <w:tcPr>
                  <w:tcW w:w="2807" w:type="pct"/>
                  <w:vMerge w:val="restart"/>
                  <w:vAlign w:val="center"/>
                </w:tcPr>
                <w:p w14:paraId="25864359">
                  <w:pPr>
                    <w:jc w:val="center"/>
                    <w:rPr>
                      <w:color w:val="auto"/>
                      <w:szCs w:val="21"/>
                    </w:rPr>
                  </w:pPr>
                  <w:r>
                    <w:rPr>
                      <w:rFonts w:hint="eastAsia"/>
                      <w:color w:val="auto"/>
                      <w:szCs w:val="21"/>
                    </w:rPr>
                    <w:t>地面基础防渗和构筑物防渗等级达到渗透系数≤1.0×10</w:t>
                  </w:r>
                  <w:r>
                    <w:rPr>
                      <w:rFonts w:hint="eastAsia"/>
                      <w:color w:val="auto"/>
                      <w:szCs w:val="21"/>
                      <w:vertAlign w:val="superscript"/>
                    </w:rPr>
                    <w:t>-7</w:t>
                  </w:r>
                  <w:r>
                    <w:rPr>
                      <w:rFonts w:hint="eastAsia"/>
                      <w:color w:val="auto"/>
                      <w:szCs w:val="21"/>
                    </w:rPr>
                    <w:t>cm/s，相当于不小于1.5m厚的黏土防护层</w:t>
                  </w:r>
                </w:p>
              </w:tc>
            </w:tr>
            <w:tr w14:paraId="4C1FFB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tcBorders>
                    <w:top w:val="single" w:color="auto" w:sz="4" w:space="0"/>
                  </w:tcBorders>
                  <w:vAlign w:val="center"/>
                </w:tcPr>
                <w:p w14:paraId="03985B45">
                  <w:pPr>
                    <w:jc w:val="center"/>
                    <w:rPr>
                      <w:color w:val="auto"/>
                      <w:szCs w:val="21"/>
                    </w:rPr>
                  </w:pPr>
                  <w:r>
                    <w:rPr>
                      <w:rFonts w:hint="eastAsia"/>
                      <w:color w:val="auto"/>
                      <w:szCs w:val="21"/>
                    </w:rPr>
                    <w:t>3</w:t>
                  </w:r>
                </w:p>
              </w:tc>
              <w:tc>
                <w:tcPr>
                  <w:tcW w:w="834" w:type="pct"/>
                  <w:vMerge w:val="continue"/>
                  <w:vAlign w:val="center"/>
                </w:tcPr>
                <w:p w14:paraId="47863EA0">
                  <w:pPr>
                    <w:jc w:val="center"/>
                    <w:rPr>
                      <w:color w:val="auto"/>
                      <w:szCs w:val="21"/>
                    </w:rPr>
                  </w:pPr>
                </w:p>
              </w:tc>
              <w:tc>
                <w:tcPr>
                  <w:tcW w:w="960" w:type="pct"/>
                  <w:tcBorders>
                    <w:top w:val="single" w:color="auto" w:sz="4" w:space="0"/>
                  </w:tcBorders>
                  <w:vAlign w:val="center"/>
                </w:tcPr>
                <w:p w14:paraId="4016370A">
                  <w:pPr>
                    <w:jc w:val="center"/>
                    <w:rPr>
                      <w:color w:val="auto"/>
                      <w:szCs w:val="21"/>
                    </w:rPr>
                  </w:pPr>
                  <w:r>
                    <w:rPr>
                      <w:rStyle w:val="51"/>
                      <w:rFonts w:hint="eastAsia"/>
                      <w:color w:val="auto"/>
                      <w:kern w:val="0"/>
                      <w:szCs w:val="20"/>
                    </w:rPr>
                    <w:t>生产</w:t>
                  </w:r>
                  <w:r>
                    <w:rPr>
                      <w:rFonts w:hint="eastAsia"/>
                      <w:color w:val="auto"/>
                      <w:szCs w:val="21"/>
                    </w:rPr>
                    <w:t>车间</w:t>
                  </w:r>
                </w:p>
              </w:tc>
              <w:tc>
                <w:tcPr>
                  <w:tcW w:w="2807" w:type="pct"/>
                  <w:vMerge w:val="continue"/>
                  <w:vAlign w:val="center"/>
                </w:tcPr>
                <w:p w14:paraId="04341EDB">
                  <w:pPr>
                    <w:jc w:val="center"/>
                    <w:rPr>
                      <w:color w:val="auto"/>
                      <w:szCs w:val="21"/>
                    </w:rPr>
                  </w:pPr>
                </w:p>
              </w:tc>
            </w:tr>
            <w:tr w14:paraId="631034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tcBorders>
                    <w:top w:val="single" w:color="auto" w:sz="4" w:space="0"/>
                  </w:tcBorders>
                  <w:vAlign w:val="center"/>
                </w:tcPr>
                <w:p w14:paraId="295E45F1">
                  <w:pPr>
                    <w:jc w:val="center"/>
                    <w:rPr>
                      <w:rFonts w:hint="eastAsia" w:eastAsia="宋体"/>
                      <w:color w:val="auto"/>
                      <w:szCs w:val="21"/>
                      <w:lang w:val="en-US" w:eastAsia="zh-CN"/>
                    </w:rPr>
                  </w:pPr>
                  <w:r>
                    <w:rPr>
                      <w:rFonts w:hint="eastAsia"/>
                      <w:color w:val="auto"/>
                      <w:szCs w:val="21"/>
                      <w:lang w:val="en-US" w:eastAsia="zh-CN"/>
                    </w:rPr>
                    <w:t>4</w:t>
                  </w:r>
                </w:p>
              </w:tc>
              <w:tc>
                <w:tcPr>
                  <w:tcW w:w="834" w:type="pct"/>
                  <w:vMerge w:val="continue"/>
                  <w:vAlign w:val="center"/>
                </w:tcPr>
                <w:p w14:paraId="08523D04">
                  <w:pPr>
                    <w:jc w:val="center"/>
                    <w:rPr>
                      <w:color w:val="auto"/>
                      <w:szCs w:val="21"/>
                    </w:rPr>
                  </w:pPr>
                </w:p>
              </w:tc>
              <w:tc>
                <w:tcPr>
                  <w:tcW w:w="960" w:type="pct"/>
                  <w:tcBorders>
                    <w:top w:val="single" w:color="auto" w:sz="4" w:space="0"/>
                  </w:tcBorders>
                  <w:vAlign w:val="center"/>
                </w:tcPr>
                <w:p w14:paraId="46ECE058">
                  <w:pPr>
                    <w:jc w:val="center"/>
                    <w:rPr>
                      <w:rStyle w:val="51"/>
                      <w:rFonts w:hint="default" w:eastAsia="宋体"/>
                      <w:color w:val="auto"/>
                      <w:kern w:val="0"/>
                      <w:szCs w:val="20"/>
                      <w:lang w:val="en-US" w:eastAsia="zh-CN"/>
                    </w:rPr>
                  </w:pPr>
                  <w:r>
                    <w:rPr>
                      <w:rStyle w:val="51"/>
                      <w:rFonts w:hint="eastAsia"/>
                      <w:color w:val="auto"/>
                      <w:kern w:val="0"/>
                      <w:szCs w:val="20"/>
                      <w:lang w:val="en-US" w:eastAsia="zh-CN"/>
                    </w:rPr>
                    <w:t>原料仓库</w:t>
                  </w:r>
                </w:p>
              </w:tc>
              <w:tc>
                <w:tcPr>
                  <w:tcW w:w="2807" w:type="pct"/>
                  <w:vMerge w:val="continue"/>
                  <w:vAlign w:val="center"/>
                </w:tcPr>
                <w:p w14:paraId="2D542CE0">
                  <w:pPr>
                    <w:jc w:val="center"/>
                    <w:rPr>
                      <w:color w:val="auto"/>
                      <w:szCs w:val="21"/>
                    </w:rPr>
                  </w:pPr>
                </w:p>
              </w:tc>
            </w:tr>
            <w:tr w14:paraId="1CCA53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96" w:type="pct"/>
                  <w:vAlign w:val="center"/>
                </w:tcPr>
                <w:p w14:paraId="14C88CEC">
                  <w:pPr>
                    <w:jc w:val="center"/>
                    <w:rPr>
                      <w:rFonts w:hint="eastAsia" w:eastAsia="宋体"/>
                      <w:color w:val="auto"/>
                      <w:szCs w:val="21"/>
                      <w:lang w:eastAsia="zh-CN"/>
                    </w:rPr>
                  </w:pPr>
                  <w:r>
                    <w:rPr>
                      <w:rFonts w:hint="eastAsia"/>
                      <w:color w:val="auto"/>
                      <w:szCs w:val="21"/>
                      <w:lang w:val="en-US" w:eastAsia="zh-CN"/>
                    </w:rPr>
                    <w:t>5</w:t>
                  </w:r>
                </w:p>
              </w:tc>
              <w:tc>
                <w:tcPr>
                  <w:tcW w:w="834" w:type="pct"/>
                  <w:vAlign w:val="center"/>
                </w:tcPr>
                <w:p w14:paraId="4847DDB8">
                  <w:pPr>
                    <w:jc w:val="center"/>
                    <w:rPr>
                      <w:color w:val="auto"/>
                      <w:szCs w:val="21"/>
                    </w:rPr>
                  </w:pPr>
                  <w:r>
                    <w:rPr>
                      <w:rFonts w:hint="eastAsia"/>
                      <w:color w:val="auto"/>
                      <w:szCs w:val="21"/>
                    </w:rPr>
                    <w:t>简单防渗区</w:t>
                  </w:r>
                </w:p>
              </w:tc>
              <w:tc>
                <w:tcPr>
                  <w:tcW w:w="960" w:type="pct"/>
                  <w:vAlign w:val="center"/>
                </w:tcPr>
                <w:p w14:paraId="7C48853E">
                  <w:pPr>
                    <w:jc w:val="center"/>
                    <w:rPr>
                      <w:color w:val="auto"/>
                      <w:szCs w:val="21"/>
                    </w:rPr>
                  </w:pPr>
                  <w:r>
                    <w:rPr>
                      <w:rFonts w:hint="eastAsia"/>
                      <w:color w:val="auto"/>
                      <w:szCs w:val="21"/>
                    </w:rPr>
                    <w:t>办公楼等</w:t>
                  </w:r>
                </w:p>
              </w:tc>
              <w:tc>
                <w:tcPr>
                  <w:tcW w:w="2807" w:type="pct"/>
                  <w:vAlign w:val="center"/>
                </w:tcPr>
                <w:p w14:paraId="180AFC41">
                  <w:pPr>
                    <w:jc w:val="center"/>
                    <w:rPr>
                      <w:color w:val="auto"/>
                      <w:szCs w:val="21"/>
                    </w:rPr>
                  </w:pPr>
                  <w:r>
                    <w:rPr>
                      <w:rFonts w:hint="eastAsia"/>
                      <w:color w:val="auto"/>
                      <w:szCs w:val="21"/>
                    </w:rPr>
                    <w:t>一般地面硬化</w:t>
                  </w:r>
                </w:p>
              </w:tc>
            </w:tr>
          </w:tbl>
          <w:p w14:paraId="788346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2）厂房门口设置缓坡，当发生事故时，将事故废水堵截在厂区事故应急池内暂存，防止发生事故时事故废水污染地下水，同时厂房内应做好防腐、防渗措施。</w:t>
            </w:r>
          </w:p>
          <w:p w14:paraId="1D89FD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3）对于泄露的物料应有具体防治措施，及时将泄露的物料收集并处理，防止其渗入地下。</w:t>
            </w:r>
          </w:p>
          <w:p w14:paraId="4FC714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4）采用国际先进的生产工艺和生产设备，进一步提高生产效益和劳动生产率，减少原材料消耗和污染物的排放。同时加强厂区内的计量和计量器具的维护管理，杜绝跑、冒、滴、漏等浪费现象的发生。</w:t>
            </w:r>
          </w:p>
          <w:p w14:paraId="27A496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5）保证厂房所需的生活用水均由工业区给水管网统一供给，不开采地下水资源。</w:t>
            </w:r>
          </w:p>
          <w:p w14:paraId="3301B4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综上所述，项目营运期不会对项目所在地的地下水、土壤造成明显的不良影响，本项目做好地面防渗等相关措施后可无需进行地下水、土壤跟踪监测。</w:t>
            </w:r>
          </w:p>
          <w:p w14:paraId="466BCF67">
            <w:pPr>
              <w:adjustRightInd w:val="0"/>
              <w:snapToGrid w:val="0"/>
              <w:spacing w:line="360" w:lineRule="auto"/>
              <w:ind w:firstLine="422" w:firstLineChars="200"/>
              <w:rPr>
                <w:rFonts w:hint="eastAsia"/>
                <w:b/>
                <w:color w:val="auto"/>
                <w:sz w:val="21"/>
                <w:szCs w:val="21"/>
              </w:rPr>
            </w:pPr>
            <w:r>
              <w:rPr>
                <w:rFonts w:hint="eastAsia"/>
                <w:b/>
                <w:color w:val="auto"/>
                <w:sz w:val="21"/>
                <w:szCs w:val="21"/>
                <w:lang w:val="en-US" w:eastAsia="zh-CN"/>
              </w:rPr>
              <w:t>7</w:t>
            </w:r>
            <w:r>
              <w:rPr>
                <w:rFonts w:hint="eastAsia"/>
                <w:b/>
                <w:color w:val="auto"/>
                <w:sz w:val="21"/>
                <w:szCs w:val="21"/>
              </w:rPr>
              <w:t>、生态</w:t>
            </w:r>
          </w:p>
          <w:p w14:paraId="5B41FB59">
            <w:pPr>
              <w:adjustRightInd w:val="0"/>
              <w:snapToGrid w:val="0"/>
              <w:spacing w:line="360" w:lineRule="auto"/>
              <w:ind w:firstLine="420" w:firstLineChars="200"/>
              <w:rPr>
                <w:rFonts w:hint="eastAsia"/>
                <w:color w:val="auto"/>
                <w:sz w:val="21"/>
                <w:szCs w:val="21"/>
              </w:rPr>
            </w:pPr>
            <w:r>
              <w:rPr>
                <w:color w:val="auto"/>
                <w:sz w:val="21"/>
                <w:szCs w:val="21"/>
              </w:rPr>
              <w:t>本项目位于</w:t>
            </w:r>
            <w:r>
              <w:rPr>
                <w:rFonts w:hint="eastAsia"/>
                <w:color w:val="auto"/>
              </w:rPr>
              <w:t>江苏省南通市海门经济技术开发区福州路123号</w:t>
            </w:r>
            <w:r>
              <w:rPr>
                <w:color w:val="auto"/>
                <w:sz w:val="21"/>
                <w:szCs w:val="21"/>
              </w:rPr>
              <w:t>，用地范围内无生态环境保护目标，对周围生态环境基本不产生影响</w:t>
            </w:r>
            <w:r>
              <w:rPr>
                <w:rFonts w:hint="eastAsia"/>
                <w:color w:val="auto"/>
                <w:sz w:val="21"/>
                <w:szCs w:val="21"/>
              </w:rPr>
              <w:t>。</w:t>
            </w:r>
          </w:p>
          <w:p w14:paraId="2B05C28C">
            <w:pPr>
              <w:adjustRightInd w:val="0"/>
              <w:snapToGrid w:val="0"/>
              <w:spacing w:line="360" w:lineRule="auto"/>
              <w:ind w:firstLine="422" w:firstLineChars="200"/>
              <w:rPr>
                <w:rFonts w:hint="default"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8</w:t>
            </w:r>
            <w:r>
              <w:rPr>
                <w:rFonts w:hint="default" w:ascii="Times New Roman" w:hAnsi="Times New Roman" w:eastAsia="宋体" w:cs="Times New Roman"/>
                <w:b/>
                <w:bCs/>
                <w:color w:val="auto"/>
              </w:rPr>
              <w:t>、环境风险</w:t>
            </w:r>
          </w:p>
          <w:p w14:paraId="0DDEA1C8">
            <w:pPr>
              <w:adjustRightInd w:val="0"/>
              <w:snapToGrid w:val="0"/>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物质危险性识别</w:t>
            </w:r>
          </w:p>
          <w:p w14:paraId="6A9A71FF">
            <w:pPr>
              <w:adjustRightInd w:val="0"/>
              <w:snapToGrid w:val="0"/>
              <w:spacing w:line="360" w:lineRule="auto"/>
              <w:ind w:firstLine="420" w:firstLineChars="200"/>
              <w:jc w:val="center"/>
              <w:rPr>
                <w:rFonts w:hint="default"/>
                <w:color w:val="auto"/>
                <w:lang w:eastAsia="zh-CN"/>
              </w:rPr>
            </w:pPr>
            <w:r>
              <w:rPr>
                <w:rFonts w:hint="default" w:ascii="Times New Roman" w:hAnsi="Times New Roman" w:eastAsia="宋体" w:cs="Times New Roman"/>
                <w:color w:val="auto"/>
                <w:lang w:eastAsia="zh-CN"/>
              </w:rPr>
              <w:t>物质危险性识别包括主要原辅材料、燃料、中间产品、副产品、最终产品、污染物、火灾和爆炸伴生/次生物等。根据《建设项目环境风险评价技术导则》（HJ 169-2018）中附录B表B.1和表B.2突发环境事件风险物质及临界量表，筛选建设项目生产、加工、运输、</w:t>
            </w:r>
          </w:p>
          <w:p w14:paraId="02D3A1B8">
            <w:pPr>
              <w:adjustRightInd w:val="0"/>
              <w:snapToGrid w:val="0"/>
              <w:spacing w:line="360" w:lineRule="auto"/>
              <w:jc w:val="both"/>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使用和贮存过程中涉及的主要危险物质。全厂涉及的危险物质见表</w:t>
            </w:r>
            <w:r>
              <w:rPr>
                <w:rFonts w:hint="default" w:ascii="Times New Roman" w:hAnsi="Times New Roman" w:eastAsia="宋体" w:cs="Times New Roman"/>
                <w:color w:val="auto"/>
                <w:lang w:val="en-US" w:eastAsia="zh-CN"/>
              </w:rPr>
              <w:t>4-</w:t>
            </w:r>
            <w:r>
              <w:rPr>
                <w:rFonts w:hint="eastAsia" w:ascii="Times New Roman" w:hAnsi="Times New Roman" w:eastAsia="宋体" w:cs="Times New Roman"/>
                <w:color w:val="auto"/>
                <w:lang w:val="en-US" w:eastAsia="zh-CN"/>
              </w:rPr>
              <w:t>2</w:t>
            </w:r>
            <w:r>
              <w:rPr>
                <w:rFonts w:hint="eastAsia" w:cs="Times New Roman"/>
                <w:color w:val="auto"/>
                <w:lang w:val="en-US" w:eastAsia="zh-CN"/>
              </w:rPr>
              <w:t>6</w:t>
            </w:r>
            <w:r>
              <w:rPr>
                <w:rFonts w:hint="default" w:ascii="Times New Roman" w:hAnsi="Times New Roman" w:eastAsia="宋体" w:cs="Times New Roman"/>
                <w:color w:val="auto"/>
                <w:lang w:eastAsia="zh-CN"/>
              </w:rPr>
              <w:t>。</w:t>
            </w:r>
          </w:p>
          <w:p w14:paraId="6BD2DF12">
            <w:pPr>
              <w:adjustRightInd w:val="0"/>
              <w:snapToGrid w:val="0"/>
              <w:spacing w:line="360" w:lineRule="auto"/>
              <w:ind w:firstLine="422" w:firstLineChars="200"/>
              <w:jc w:val="center"/>
              <w:rPr>
                <w:rFonts w:hint="default" w:ascii="Times New Roman" w:hAnsi="Times New Roman" w:eastAsia="宋体" w:cs="Times New Roman"/>
                <w:b/>
                <w:bCs/>
                <w:color w:val="auto"/>
                <w:vertAlign w:val="baseline"/>
                <w:lang w:eastAsia="zh-CN"/>
              </w:rPr>
            </w:pPr>
            <w:r>
              <w:rPr>
                <w:rFonts w:hint="default" w:ascii="Times New Roman" w:hAnsi="Times New Roman" w:eastAsia="宋体" w:cs="Times New Roman"/>
                <w:b/>
                <w:bCs/>
                <w:color w:val="auto"/>
              </w:rPr>
              <w:t>表</w:t>
            </w:r>
            <w:r>
              <w:rPr>
                <w:rFonts w:hint="default" w:ascii="Times New Roman" w:hAnsi="Times New Roman" w:eastAsia="宋体" w:cs="Times New Roman"/>
                <w:b/>
                <w:bCs/>
                <w:color w:val="auto"/>
                <w:lang w:val="en-US" w:eastAsia="zh-CN"/>
              </w:rPr>
              <w:t>4-</w:t>
            </w:r>
            <w:r>
              <w:rPr>
                <w:rFonts w:hint="eastAsia" w:ascii="Times New Roman" w:hAnsi="Times New Roman" w:eastAsia="宋体" w:cs="Times New Roman"/>
                <w:b/>
                <w:bCs/>
                <w:color w:val="auto"/>
                <w:lang w:val="en-US" w:eastAsia="zh-CN"/>
              </w:rPr>
              <w:t>2</w:t>
            </w:r>
            <w:r>
              <w:rPr>
                <w:rFonts w:hint="eastAsia" w:cs="Times New Roman"/>
                <w:b/>
                <w:bCs/>
                <w:color w:val="auto"/>
                <w:lang w:val="en-US" w:eastAsia="zh-CN"/>
              </w:rPr>
              <w:t>6</w:t>
            </w:r>
            <w:r>
              <w:rPr>
                <w:rFonts w:hint="default" w:ascii="Times New Roman" w:hAnsi="Times New Roman" w:eastAsia="宋体" w:cs="Times New Roman"/>
                <w:b/>
                <w:bCs/>
                <w:color w:val="auto"/>
              </w:rPr>
              <w:t xml:space="preserve">  主要危险物质的理化性、毒理性及物质危险性鉴别表</w:t>
            </w:r>
          </w:p>
          <w:tbl>
            <w:tblPr>
              <w:tblStyle w:val="43"/>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850"/>
              <w:gridCol w:w="1378"/>
              <w:gridCol w:w="1379"/>
              <w:gridCol w:w="1379"/>
              <w:gridCol w:w="1379"/>
            </w:tblGrid>
            <w:tr w14:paraId="64264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2C29D722">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序号</w:t>
                  </w:r>
                </w:p>
              </w:tc>
              <w:tc>
                <w:tcPr>
                  <w:tcW w:w="1850" w:type="dxa"/>
                  <w:tcBorders>
                    <w:tl2br w:val="nil"/>
                    <w:tr2bl w:val="nil"/>
                  </w:tcBorders>
                  <w:shd w:val="clear" w:color="auto" w:fill="auto"/>
                  <w:vAlign w:val="center"/>
                </w:tcPr>
                <w:p w14:paraId="1D61D65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名称</w:t>
                  </w:r>
                </w:p>
              </w:tc>
              <w:tc>
                <w:tcPr>
                  <w:tcW w:w="1378" w:type="dxa"/>
                  <w:tcBorders>
                    <w:tl2br w:val="nil"/>
                    <w:tr2bl w:val="nil"/>
                  </w:tcBorders>
                  <w:shd w:val="clear" w:color="auto" w:fill="auto"/>
                  <w:vAlign w:val="center"/>
                </w:tcPr>
                <w:p w14:paraId="2541BD14">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最大贮存量t</w:t>
                  </w:r>
                </w:p>
              </w:tc>
              <w:tc>
                <w:tcPr>
                  <w:tcW w:w="1379" w:type="dxa"/>
                  <w:tcBorders>
                    <w:tl2br w:val="nil"/>
                    <w:tr2bl w:val="nil"/>
                  </w:tcBorders>
                  <w:shd w:val="clear" w:color="auto" w:fill="auto"/>
                  <w:vAlign w:val="center"/>
                </w:tcPr>
                <w:p w14:paraId="25027B9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区域</w:t>
                  </w:r>
                </w:p>
              </w:tc>
              <w:tc>
                <w:tcPr>
                  <w:tcW w:w="1379" w:type="dxa"/>
                  <w:tcBorders>
                    <w:tl2br w:val="nil"/>
                    <w:tr2bl w:val="nil"/>
                  </w:tcBorders>
                  <w:shd w:val="clear" w:color="auto" w:fill="auto"/>
                  <w:vAlign w:val="center"/>
                </w:tcPr>
                <w:p w14:paraId="579C73F2">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临界量Q（t）</w:t>
                  </w:r>
                </w:p>
              </w:tc>
              <w:tc>
                <w:tcPr>
                  <w:tcW w:w="1379" w:type="dxa"/>
                  <w:tcBorders>
                    <w:tl2br w:val="nil"/>
                    <w:tr2bl w:val="nil"/>
                  </w:tcBorders>
                  <w:shd w:val="clear" w:color="auto" w:fill="auto"/>
                  <w:vAlign w:val="center"/>
                </w:tcPr>
                <w:p w14:paraId="17769B5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q/Q</w:t>
                  </w:r>
                </w:p>
              </w:tc>
            </w:tr>
            <w:tr w14:paraId="64108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593AFA3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1850" w:type="dxa"/>
                  <w:tcBorders>
                    <w:tl2br w:val="nil"/>
                    <w:tr2bl w:val="nil"/>
                  </w:tcBorders>
                  <w:shd w:val="clear" w:color="auto" w:fill="auto"/>
                  <w:vAlign w:val="center"/>
                </w:tcPr>
                <w:p w14:paraId="6B21BA9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润滑油</w:t>
                  </w:r>
                </w:p>
              </w:tc>
              <w:tc>
                <w:tcPr>
                  <w:tcW w:w="1378" w:type="dxa"/>
                  <w:tcBorders>
                    <w:tl2br w:val="nil"/>
                    <w:tr2bl w:val="nil"/>
                  </w:tcBorders>
                  <w:shd w:val="clear" w:color="auto" w:fill="auto"/>
                  <w:vAlign w:val="center"/>
                </w:tcPr>
                <w:p w14:paraId="52C8582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09AB0A0E">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原料仓库</w:t>
                  </w:r>
                </w:p>
              </w:tc>
              <w:tc>
                <w:tcPr>
                  <w:tcW w:w="1379" w:type="dxa"/>
                  <w:tcBorders>
                    <w:tl2br w:val="nil"/>
                    <w:tr2bl w:val="nil"/>
                  </w:tcBorders>
                  <w:shd w:val="clear" w:color="auto" w:fill="auto"/>
                  <w:vAlign w:val="center"/>
                </w:tcPr>
                <w:p w14:paraId="1832F04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2500</w:t>
                  </w:r>
                </w:p>
              </w:tc>
              <w:tc>
                <w:tcPr>
                  <w:tcW w:w="1379" w:type="dxa"/>
                  <w:tcBorders>
                    <w:tl2br w:val="nil"/>
                    <w:tr2bl w:val="nil"/>
                  </w:tcBorders>
                  <w:shd w:val="clear" w:color="auto" w:fill="auto"/>
                  <w:vAlign w:val="center"/>
                </w:tcPr>
                <w:p w14:paraId="785A52C4">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0.0002</w:t>
                  </w:r>
                </w:p>
              </w:tc>
            </w:tr>
            <w:tr w14:paraId="5DCA95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1CF10EA1">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2</w:t>
                  </w:r>
                </w:p>
              </w:tc>
              <w:tc>
                <w:tcPr>
                  <w:tcW w:w="1850" w:type="dxa"/>
                  <w:tcBorders>
                    <w:tl2br w:val="nil"/>
                    <w:tr2bl w:val="nil"/>
                  </w:tcBorders>
                  <w:shd w:val="clear" w:color="auto" w:fill="auto"/>
                  <w:vAlign w:val="center"/>
                </w:tcPr>
                <w:p w14:paraId="4743155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废机油</w:t>
                  </w:r>
                </w:p>
              </w:tc>
              <w:tc>
                <w:tcPr>
                  <w:tcW w:w="1378" w:type="dxa"/>
                  <w:tcBorders>
                    <w:tl2br w:val="nil"/>
                    <w:tr2bl w:val="nil"/>
                  </w:tcBorders>
                  <w:shd w:val="clear" w:color="auto" w:fill="auto"/>
                  <w:vAlign w:val="center"/>
                </w:tcPr>
                <w:p w14:paraId="1F750B74">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0.125</w:t>
                  </w:r>
                </w:p>
              </w:tc>
              <w:tc>
                <w:tcPr>
                  <w:tcW w:w="1379" w:type="dxa"/>
                  <w:tcBorders>
                    <w:tl2br w:val="nil"/>
                    <w:tr2bl w:val="nil"/>
                  </w:tcBorders>
                  <w:shd w:val="clear" w:color="auto" w:fill="auto"/>
                  <w:vAlign w:val="center"/>
                </w:tcPr>
                <w:p w14:paraId="653229A3">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7C454990">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4ED4FC76">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0.0025</w:t>
                  </w:r>
                </w:p>
              </w:tc>
            </w:tr>
            <w:tr w14:paraId="019A1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716D11D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3</w:t>
                  </w:r>
                </w:p>
              </w:tc>
              <w:tc>
                <w:tcPr>
                  <w:tcW w:w="1850" w:type="dxa"/>
                  <w:tcBorders>
                    <w:tl2br w:val="nil"/>
                    <w:tr2bl w:val="nil"/>
                  </w:tcBorders>
                  <w:shd w:val="clear" w:color="auto" w:fill="auto"/>
                  <w:vAlign w:val="center"/>
                </w:tcPr>
                <w:p w14:paraId="4815EEA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天然气</w:t>
                  </w:r>
                </w:p>
              </w:tc>
              <w:tc>
                <w:tcPr>
                  <w:tcW w:w="1378" w:type="dxa"/>
                  <w:tcBorders>
                    <w:tl2br w:val="nil"/>
                    <w:tr2bl w:val="nil"/>
                  </w:tcBorders>
                  <w:shd w:val="clear" w:color="auto" w:fill="auto"/>
                  <w:vAlign w:val="center"/>
                </w:tcPr>
                <w:p w14:paraId="3C302C2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72B7536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管道内</w:t>
                  </w:r>
                </w:p>
              </w:tc>
              <w:tc>
                <w:tcPr>
                  <w:tcW w:w="1379" w:type="dxa"/>
                  <w:tcBorders>
                    <w:tl2br w:val="nil"/>
                    <w:tr2bl w:val="nil"/>
                  </w:tcBorders>
                  <w:shd w:val="clear" w:color="auto" w:fill="auto"/>
                  <w:vAlign w:val="center"/>
                </w:tcPr>
                <w:p w14:paraId="1D3D36BD">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10</w:t>
                  </w:r>
                </w:p>
              </w:tc>
              <w:tc>
                <w:tcPr>
                  <w:tcW w:w="1379" w:type="dxa"/>
                  <w:tcBorders>
                    <w:tl2br w:val="nil"/>
                    <w:tr2bl w:val="nil"/>
                  </w:tcBorders>
                  <w:shd w:val="clear" w:color="auto" w:fill="auto"/>
                  <w:vAlign w:val="center"/>
                </w:tcPr>
                <w:p w14:paraId="2279E2A3">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0.05</w:t>
                  </w:r>
                </w:p>
              </w:tc>
            </w:tr>
            <w:tr w14:paraId="36DC4B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40BAB0A0">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4</w:t>
                  </w:r>
                </w:p>
              </w:tc>
              <w:tc>
                <w:tcPr>
                  <w:tcW w:w="1850" w:type="dxa"/>
                  <w:tcBorders>
                    <w:tl2br w:val="nil"/>
                    <w:tr2bl w:val="nil"/>
                  </w:tcBorders>
                  <w:shd w:val="clear" w:color="auto" w:fill="auto"/>
                  <w:vAlign w:val="center"/>
                </w:tcPr>
                <w:p w14:paraId="0A76FD99">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液压油</w:t>
                  </w:r>
                </w:p>
              </w:tc>
              <w:tc>
                <w:tcPr>
                  <w:tcW w:w="1378" w:type="dxa"/>
                  <w:tcBorders>
                    <w:tl2br w:val="nil"/>
                    <w:tr2bl w:val="nil"/>
                  </w:tcBorders>
                  <w:shd w:val="clear" w:color="auto" w:fill="auto"/>
                  <w:vAlign w:val="center"/>
                </w:tcPr>
                <w:p w14:paraId="46AF19F6">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7A99985C">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原料仓库</w:t>
                  </w:r>
                </w:p>
              </w:tc>
              <w:tc>
                <w:tcPr>
                  <w:tcW w:w="1379" w:type="dxa"/>
                  <w:tcBorders>
                    <w:tl2br w:val="nil"/>
                    <w:tr2bl w:val="nil"/>
                  </w:tcBorders>
                  <w:shd w:val="clear" w:color="auto" w:fill="auto"/>
                  <w:vAlign w:val="center"/>
                </w:tcPr>
                <w:p w14:paraId="233715A0">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2086A492">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671DB2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2D0E71A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w:t>
                  </w:r>
                </w:p>
              </w:tc>
              <w:tc>
                <w:tcPr>
                  <w:tcW w:w="1850" w:type="dxa"/>
                  <w:tcBorders>
                    <w:tl2br w:val="nil"/>
                    <w:tr2bl w:val="nil"/>
                  </w:tcBorders>
                  <w:shd w:val="clear" w:color="auto" w:fill="auto"/>
                  <w:vAlign w:val="center"/>
                </w:tcPr>
                <w:p w14:paraId="1D29CCE8">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切削液</w:t>
                  </w:r>
                </w:p>
              </w:tc>
              <w:tc>
                <w:tcPr>
                  <w:tcW w:w="1378" w:type="dxa"/>
                  <w:tcBorders>
                    <w:tl2br w:val="nil"/>
                    <w:tr2bl w:val="nil"/>
                  </w:tcBorders>
                  <w:shd w:val="clear" w:color="auto" w:fill="auto"/>
                  <w:vAlign w:val="center"/>
                </w:tcPr>
                <w:p w14:paraId="365E99EC">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5BBE2EA3">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原料仓库</w:t>
                  </w:r>
                </w:p>
              </w:tc>
              <w:tc>
                <w:tcPr>
                  <w:tcW w:w="1379" w:type="dxa"/>
                  <w:tcBorders>
                    <w:tl2br w:val="nil"/>
                    <w:tr2bl w:val="nil"/>
                  </w:tcBorders>
                  <w:shd w:val="clear" w:color="auto" w:fill="auto"/>
                  <w:vAlign w:val="center"/>
                </w:tcPr>
                <w:p w14:paraId="0756A351">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21E3FAA2">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25F81C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39DEABE1">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6</w:t>
                  </w:r>
                </w:p>
              </w:tc>
              <w:tc>
                <w:tcPr>
                  <w:tcW w:w="1850" w:type="dxa"/>
                  <w:tcBorders>
                    <w:tl2br w:val="nil"/>
                    <w:tr2bl w:val="nil"/>
                  </w:tcBorders>
                  <w:shd w:val="clear" w:color="auto" w:fill="auto"/>
                  <w:vAlign w:val="center"/>
                </w:tcPr>
                <w:p w14:paraId="44741DED">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废润滑油</w:t>
                  </w:r>
                </w:p>
              </w:tc>
              <w:tc>
                <w:tcPr>
                  <w:tcW w:w="1378" w:type="dxa"/>
                  <w:tcBorders>
                    <w:tl2br w:val="nil"/>
                    <w:tr2bl w:val="nil"/>
                  </w:tcBorders>
                  <w:shd w:val="clear" w:color="auto" w:fill="auto"/>
                  <w:vAlign w:val="center"/>
                </w:tcPr>
                <w:p w14:paraId="556B51E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1D0F9F48">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6D8BEC50">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2C653D7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4D987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1D8AD50C">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7</w:t>
                  </w:r>
                </w:p>
              </w:tc>
              <w:tc>
                <w:tcPr>
                  <w:tcW w:w="1850" w:type="dxa"/>
                  <w:tcBorders>
                    <w:tl2br w:val="nil"/>
                    <w:tr2bl w:val="nil"/>
                  </w:tcBorders>
                  <w:shd w:val="clear" w:color="auto" w:fill="auto"/>
                  <w:vAlign w:val="center"/>
                </w:tcPr>
                <w:p w14:paraId="463CF8BD">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废切削液</w:t>
                  </w:r>
                </w:p>
              </w:tc>
              <w:tc>
                <w:tcPr>
                  <w:tcW w:w="1378" w:type="dxa"/>
                  <w:tcBorders>
                    <w:tl2br w:val="nil"/>
                    <w:tr2bl w:val="nil"/>
                  </w:tcBorders>
                  <w:shd w:val="clear" w:color="auto" w:fill="auto"/>
                  <w:vAlign w:val="center"/>
                </w:tcPr>
                <w:p w14:paraId="47766CB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0464C8B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7A11EBE6">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30CA435D">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7EDABB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2F593230">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8</w:t>
                  </w:r>
                </w:p>
              </w:tc>
              <w:tc>
                <w:tcPr>
                  <w:tcW w:w="1850" w:type="dxa"/>
                  <w:tcBorders>
                    <w:tl2br w:val="nil"/>
                    <w:tr2bl w:val="nil"/>
                  </w:tcBorders>
                  <w:shd w:val="clear" w:color="auto" w:fill="auto"/>
                  <w:vAlign w:val="center"/>
                </w:tcPr>
                <w:p w14:paraId="540B8FC1">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废液压油</w:t>
                  </w:r>
                </w:p>
              </w:tc>
              <w:tc>
                <w:tcPr>
                  <w:tcW w:w="1378" w:type="dxa"/>
                  <w:tcBorders>
                    <w:tl2br w:val="nil"/>
                    <w:tr2bl w:val="nil"/>
                  </w:tcBorders>
                  <w:shd w:val="clear" w:color="auto" w:fill="auto"/>
                  <w:vAlign w:val="center"/>
                </w:tcPr>
                <w:p w14:paraId="6FD75762">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35DF901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0383D9E9">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4CD2271D">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5F0779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6AFC24B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9</w:t>
                  </w:r>
                </w:p>
              </w:tc>
              <w:tc>
                <w:tcPr>
                  <w:tcW w:w="1850" w:type="dxa"/>
                  <w:tcBorders>
                    <w:tl2br w:val="nil"/>
                    <w:tr2bl w:val="nil"/>
                  </w:tcBorders>
                  <w:shd w:val="clear" w:color="auto" w:fill="auto"/>
                  <w:vAlign w:val="center"/>
                </w:tcPr>
                <w:p w14:paraId="479EDDE6">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废包装桶</w:t>
                  </w:r>
                </w:p>
              </w:tc>
              <w:tc>
                <w:tcPr>
                  <w:tcW w:w="1378" w:type="dxa"/>
                  <w:tcBorders>
                    <w:tl2br w:val="nil"/>
                    <w:tr2bl w:val="nil"/>
                  </w:tcBorders>
                  <w:shd w:val="clear" w:color="auto" w:fill="auto"/>
                  <w:vAlign w:val="center"/>
                </w:tcPr>
                <w:p w14:paraId="54A5F7F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0.5</w:t>
                  </w:r>
                </w:p>
              </w:tc>
              <w:tc>
                <w:tcPr>
                  <w:tcW w:w="1379" w:type="dxa"/>
                  <w:tcBorders>
                    <w:tl2br w:val="nil"/>
                    <w:tr2bl w:val="nil"/>
                  </w:tcBorders>
                  <w:shd w:val="clear" w:color="auto" w:fill="auto"/>
                  <w:vAlign w:val="center"/>
                </w:tcPr>
                <w:p w14:paraId="54BF720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4F1D5708">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09E6967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0.01</w:t>
                  </w:r>
                </w:p>
              </w:tc>
            </w:tr>
            <w:tr w14:paraId="34BC5F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0333F669">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10</w:t>
                  </w:r>
                </w:p>
              </w:tc>
              <w:tc>
                <w:tcPr>
                  <w:tcW w:w="1850" w:type="dxa"/>
                  <w:tcBorders>
                    <w:tl2br w:val="nil"/>
                    <w:tr2bl w:val="nil"/>
                  </w:tcBorders>
                  <w:shd w:val="clear" w:color="auto" w:fill="auto"/>
                  <w:vAlign w:val="center"/>
                </w:tcPr>
                <w:p w14:paraId="7CA760D3">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含油抹布及手套</w:t>
                  </w:r>
                </w:p>
              </w:tc>
              <w:tc>
                <w:tcPr>
                  <w:tcW w:w="1378" w:type="dxa"/>
                  <w:tcBorders>
                    <w:tl2br w:val="nil"/>
                    <w:tr2bl w:val="nil"/>
                  </w:tcBorders>
                  <w:shd w:val="clear" w:color="auto" w:fill="auto"/>
                  <w:vAlign w:val="center"/>
                </w:tcPr>
                <w:p w14:paraId="22AA333B">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0.05</w:t>
                  </w:r>
                </w:p>
              </w:tc>
              <w:tc>
                <w:tcPr>
                  <w:tcW w:w="1379" w:type="dxa"/>
                  <w:tcBorders>
                    <w:tl2br w:val="nil"/>
                    <w:tr2bl w:val="nil"/>
                  </w:tcBorders>
                  <w:shd w:val="clear" w:color="auto" w:fill="auto"/>
                  <w:vAlign w:val="center"/>
                </w:tcPr>
                <w:p w14:paraId="427192E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64A62A3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01B2E86E">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0.001</w:t>
                  </w:r>
                </w:p>
              </w:tc>
            </w:tr>
            <w:tr w14:paraId="7026AC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5241218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11</w:t>
                  </w:r>
                </w:p>
              </w:tc>
              <w:tc>
                <w:tcPr>
                  <w:tcW w:w="1850" w:type="dxa"/>
                  <w:tcBorders>
                    <w:tl2br w:val="nil"/>
                    <w:tr2bl w:val="nil"/>
                  </w:tcBorders>
                  <w:shd w:val="clear" w:color="auto" w:fill="auto"/>
                  <w:vAlign w:val="center"/>
                </w:tcPr>
                <w:p w14:paraId="2A7C3997">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含油金属屑</w:t>
                  </w:r>
                </w:p>
              </w:tc>
              <w:tc>
                <w:tcPr>
                  <w:tcW w:w="1378" w:type="dxa"/>
                  <w:tcBorders>
                    <w:tl2br w:val="nil"/>
                    <w:tr2bl w:val="nil"/>
                  </w:tcBorders>
                  <w:shd w:val="clear" w:color="auto" w:fill="auto"/>
                  <w:vAlign w:val="center"/>
                </w:tcPr>
                <w:p w14:paraId="022232A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30</w:t>
                  </w:r>
                </w:p>
              </w:tc>
              <w:tc>
                <w:tcPr>
                  <w:tcW w:w="1379" w:type="dxa"/>
                  <w:tcBorders>
                    <w:tl2br w:val="nil"/>
                    <w:tr2bl w:val="nil"/>
                  </w:tcBorders>
                  <w:shd w:val="clear" w:color="auto" w:fill="auto"/>
                  <w:vAlign w:val="center"/>
                </w:tcPr>
                <w:p w14:paraId="5705ED3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危废仓库</w:t>
                  </w:r>
                </w:p>
              </w:tc>
              <w:tc>
                <w:tcPr>
                  <w:tcW w:w="1379" w:type="dxa"/>
                  <w:tcBorders>
                    <w:tl2br w:val="nil"/>
                    <w:tr2bl w:val="nil"/>
                  </w:tcBorders>
                  <w:shd w:val="clear" w:color="auto" w:fill="auto"/>
                  <w:vAlign w:val="center"/>
                </w:tcPr>
                <w:p w14:paraId="432776BA">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50</w:t>
                  </w:r>
                </w:p>
              </w:tc>
              <w:tc>
                <w:tcPr>
                  <w:tcW w:w="1379" w:type="dxa"/>
                  <w:tcBorders>
                    <w:tl2br w:val="nil"/>
                    <w:tr2bl w:val="nil"/>
                  </w:tcBorders>
                  <w:shd w:val="clear" w:color="auto" w:fill="auto"/>
                  <w:vAlign w:val="center"/>
                </w:tcPr>
                <w:p w14:paraId="6B78CD8F">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0.6</w:t>
                  </w:r>
                </w:p>
              </w:tc>
            </w:tr>
            <w:tr w14:paraId="40C584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 w:type="dxa"/>
                  <w:tcBorders>
                    <w:tl2br w:val="nil"/>
                    <w:tr2bl w:val="nil"/>
                  </w:tcBorders>
                  <w:shd w:val="clear" w:color="auto" w:fill="auto"/>
                  <w:vAlign w:val="center"/>
                </w:tcPr>
                <w:p w14:paraId="17EDBFE8">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合计</w:t>
                  </w:r>
                </w:p>
              </w:tc>
              <w:tc>
                <w:tcPr>
                  <w:tcW w:w="5986" w:type="dxa"/>
                  <w:gridSpan w:val="4"/>
                  <w:tcBorders>
                    <w:tl2br w:val="nil"/>
                    <w:tr2bl w:val="nil"/>
                  </w:tcBorders>
                  <w:shd w:val="clear" w:color="auto" w:fill="auto"/>
                  <w:vAlign w:val="center"/>
                </w:tcPr>
                <w:p w14:paraId="305CCEE5">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Q</w:t>
                  </w:r>
                </w:p>
              </w:tc>
              <w:tc>
                <w:tcPr>
                  <w:tcW w:w="1379" w:type="dxa"/>
                  <w:tcBorders>
                    <w:tl2br w:val="nil"/>
                    <w:tr2bl w:val="nil"/>
                  </w:tcBorders>
                  <w:shd w:val="clear" w:color="auto" w:fill="auto"/>
                  <w:vAlign w:val="center"/>
                </w:tcPr>
                <w:p w14:paraId="2C661E14">
                  <w:pPr>
                    <w:adjustRightInd w:val="0"/>
                    <w:snapToGrid w:val="0"/>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0.7137</w:t>
                  </w:r>
                </w:p>
              </w:tc>
            </w:tr>
            <w:tr w14:paraId="26C76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71" w:type="dxa"/>
                  <w:gridSpan w:val="6"/>
                  <w:tcBorders>
                    <w:tl2br w:val="nil"/>
                    <w:tr2bl w:val="nil"/>
                  </w:tcBorders>
                  <w:shd w:val="clear" w:color="auto" w:fill="auto"/>
                  <w:vAlign w:val="center"/>
                </w:tcPr>
                <w:p w14:paraId="75933949">
                  <w:pPr>
                    <w:adjustRightInd w:val="0"/>
                    <w:snapToGrid w:val="0"/>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w:t>
                  </w:r>
                  <w:r>
                    <w:rPr>
                      <w:rFonts w:hint="eastAsia" w:ascii="Times New Roman" w:hAnsi="Times New Roman" w:eastAsia="宋体" w:cs="Times New Roman"/>
                      <w:color w:val="auto"/>
                      <w:lang w:eastAsia="zh-CN"/>
                    </w:rPr>
                    <w:t>①</w:t>
                  </w:r>
                  <w:r>
                    <w:rPr>
                      <w:rFonts w:hint="eastAsia" w:ascii="Times New Roman" w:hAnsi="Times New Roman" w:eastAsia="宋体" w:cs="Times New Roman"/>
                      <w:color w:val="auto"/>
                      <w:lang w:val="en-US" w:eastAsia="zh-CN"/>
                    </w:rPr>
                    <w:t>油类</w:t>
                  </w:r>
                  <w:r>
                    <w:rPr>
                      <w:rFonts w:hint="eastAsia" w:ascii="Times New Roman" w:hAnsi="Times New Roman" w:eastAsia="宋体" w:cs="Times New Roman"/>
                      <w:color w:val="auto"/>
                      <w:lang w:eastAsia="zh-CN"/>
                    </w:rPr>
                    <w:t>临界量参考表 B. 1 中“油类物质”的临界量；</w:t>
                  </w:r>
                  <w:r>
                    <w:rPr>
                      <w:rFonts w:hint="eastAsia" w:ascii="Times New Roman" w:hAnsi="Times New Roman" w:eastAsia="宋体" w:cs="Times New Roman"/>
                      <w:color w:val="auto"/>
                      <w:lang w:val="en-US" w:eastAsia="zh-CN"/>
                    </w:rPr>
                    <w:t>危废</w:t>
                  </w:r>
                  <w:r>
                    <w:rPr>
                      <w:rFonts w:hint="eastAsia" w:ascii="Times New Roman" w:hAnsi="Times New Roman" w:eastAsia="宋体" w:cs="Times New Roman"/>
                      <w:color w:val="auto"/>
                      <w:lang w:eastAsia="zh-CN"/>
                    </w:rPr>
                    <w:t>临界量参考表 B.2 中“健康危险急性毒性物质（类别2，类别3）”的临界量。</w:t>
                  </w:r>
                </w:p>
              </w:tc>
            </w:tr>
          </w:tbl>
          <w:p w14:paraId="26F40CB6">
            <w:pPr>
              <w:adjustRightInd w:val="0"/>
              <w:snapToGrid w:val="0"/>
              <w:spacing w:line="360" w:lineRule="auto"/>
              <w:ind w:firstLine="42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风险潜势初判</w:t>
            </w:r>
          </w:p>
          <w:p w14:paraId="4E92C7EF">
            <w:pPr>
              <w:adjustRightInd w:val="0"/>
              <w:snapToGrid w:val="0"/>
              <w:spacing w:line="360" w:lineRule="auto"/>
              <w:ind w:firstLine="42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根据《建设项目环境风险技术评价导则》（HJ169-2018）附录C，本项目风险物质数量与临界量比值Q约为</w:t>
            </w:r>
            <w:r>
              <w:rPr>
                <w:rFonts w:hint="eastAsia" w:ascii="Times New Roman" w:hAnsi="Times New Roman" w:eastAsia="宋体" w:cs="Times New Roman"/>
                <w:color w:val="auto"/>
                <w:lang w:val="en-US" w:eastAsia="zh-CN"/>
              </w:rPr>
              <w:t>0.7137</w:t>
            </w:r>
            <w:r>
              <w:rPr>
                <w:rFonts w:hint="default" w:ascii="Times New Roman" w:hAnsi="Times New Roman" w:eastAsia="宋体" w:cs="Times New Roman"/>
                <w:color w:val="auto"/>
                <w:lang w:val="en-US" w:eastAsia="zh-CN"/>
              </w:rPr>
              <w:t xml:space="preserve">，小于1，仅开展简单分析。 </w:t>
            </w:r>
          </w:p>
          <w:p w14:paraId="473600D1">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3</w:t>
            </w:r>
            <w:r>
              <w:rPr>
                <w:rFonts w:hint="eastAsia" w:ascii="Times New Roman" w:hAnsi="Times New Roman" w:cs="Times New Roman"/>
                <w:bCs/>
                <w:color w:val="auto"/>
                <w:sz w:val="21"/>
                <w:szCs w:val="21"/>
                <w:lang w:eastAsia="zh-CN"/>
              </w:rPr>
              <w:t>）</w:t>
            </w:r>
            <w:r>
              <w:rPr>
                <w:rFonts w:hint="default" w:ascii="Times New Roman" w:hAnsi="Times New Roman" w:eastAsia="宋体" w:cs="Times New Roman"/>
                <w:bCs/>
                <w:color w:val="auto"/>
                <w:sz w:val="21"/>
                <w:szCs w:val="21"/>
              </w:rPr>
              <w:t>环境风险</w:t>
            </w:r>
            <w:r>
              <w:rPr>
                <w:rFonts w:hint="eastAsia" w:ascii="Times New Roman" w:hAnsi="Times New Roman" w:cs="Times New Roman"/>
                <w:bCs/>
                <w:color w:val="auto"/>
                <w:sz w:val="21"/>
                <w:szCs w:val="21"/>
                <w:lang w:val="en-US" w:eastAsia="zh-CN"/>
              </w:rPr>
              <w:t>分析</w:t>
            </w:r>
          </w:p>
          <w:p w14:paraId="7C29F233">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①</w:t>
            </w:r>
            <w:r>
              <w:rPr>
                <w:rFonts w:hint="eastAsia" w:ascii="Times New Roman" w:hAnsi="Times New Roman" w:cs="Times New Roman"/>
                <w:color w:val="auto"/>
                <w:sz w:val="21"/>
                <w:szCs w:val="21"/>
                <w:lang w:val="en-US" w:eastAsia="zh-CN"/>
              </w:rPr>
              <w:t>对环境空气的影响</w:t>
            </w:r>
          </w:p>
          <w:p w14:paraId="75ED971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废气处理设施故障影响分析</w:t>
            </w:r>
          </w:p>
          <w:p w14:paraId="06513FD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项目采用市政电网供电系统，系统停电概率较小，一旦停电，生产设备及配套设量的度气处理设备将立即停止运转，造成工艺度气无法处理直接超标排放，部分度气无组织排放，但这种事故排放的影响时间较短，随着设备停止工作，废气超标排放或无组织排放的现象将逐渐减少。</w:t>
            </w:r>
          </w:p>
          <w:p w14:paraId="779606D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火灾事故影响分析</w:t>
            </w:r>
          </w:p>
          <w:p w14:paraId="47C10A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项目使用天然气，如遇明火则可能发生火灾事故，危及</w:t>
            </w:r>
            <w:r>
              <w:rPr>
                <w:rFonts w:hint="eastAsia" w:ascii="Times New Roman" w:hAnsi="Times New Roman" w:eastAsia="宋体" w:cs="Times New Roman"/>
                <w:color w:val="auto"/>
                <w:kern w:val="0"/>
                <w:sz w:val="21"/>
                <w:szCs w:val="21"/>
                <w:lang w:val="en-US" w:eastAsia="zh-CN" w:bidi="ar"/>
              </w:rPr>
              <w:t>周围</w:t>
            </w:r>
            <w:r>
              <w:rPr>
                <w:rFonts w:hint="default" w:ascii="Times New Roman" w:hAnsi="Times New Roman" w:eastAsia="宋体" w:cs="Times New Roman"/>
                <w:color w:val="auto"/>
                <w:kern w:val="0"/>
                <w:sz w:val="21"/>
                <w:szCs w:val="21"/>
                <w:lang w:val="en-US" w:eastAsia="zh-CN" w:bidi="ar"/>
              </w:rPr>
              <w:t>员工及人群人身安全，同时燃烧产生烟尘、颗粒物、二氧化硫、</w:t>
            </w:r>
            <w:r>
              <w:rPr>
                <w:rFonts w:hint="eastAsia" w:ascii="Times New Roman" w:hAnsi="Times New Roman" w:eastAsia="宋体" w:cs="Times New Roman"/>
                <w:color w:val="auto"/>
                <w:kern w:val="0"/>
                <w:sz w:val="21"/>
                <w:szCs w:val="21"/>
                <w:lang w:val="en-US" w:eastAsia="zh-CN" w:bidi="ar"/>
              </w:rPr>
              <w:t>氮氧</w:t>
            </w:r>
            <w:r>
              <w:rPr>
                <w:rFonts w:hint="default" w:ascii="Times New Roman" w:hAnsi="Times New Roman" w:eastAsia="宋体" w:cs="Times New Roman"/>
                <w:color w:val="auto"/>
                <w:kern w:val="0"/>
                <w:sz w:val="21"/>
                <w:szCs w:val="21"/>
                <w:lang w:val="en-US" w:eastAsia="zh-CN" w:bidi="ar"/>
              </w:rPr>
              <w:t>化物、非甲烷总烃等污染物进入大气中，污染</w:t>
            </w:r>
            <w:r>
              <w:rPr>
                <w:rFonts w:hint="eastAsia" w:ascii="Times New Roman" w:hAnsi="Times New Roman" w:eastAsia="宋体" w:cs="Times New Roman"/>
                <w:color w:val="auto"/>
                <w:kern w:val="0"/>
                <w:sz w:val="21"/>
                <w:szCs w:val="21"/>
                <w:lang w:val="en-US" w:eastAsia="zh-CN" w:bidi="ar"/>
              </w:rPr>
              <w:t>周围</w:t>
            </w:r>
            <w:r>
              <w:rPr>
                <w:rFonts w:hint="default" w:ascii="Times New Roman" w:hAnsi="Times New Roman" w:eastAsia="宋体" w:cs="Times New Roman"/>
                <w:color w:val="auto"/>
                <w:kern w:val="0"/>
                <w:sz w:val="21"/>
                <w:szCs w:val="21"/>
                <w:lang w:val="en-US" w:eastAsia="zh-CN" w:bidi="ar"/>
              </w:rPr>
              <w:t>员工及下风向人群，造成环境空气质量污染。不完全燃烧的产物中含有一氧化碳等气体，同时伴随浓烟挥发至空气中，由于</w:t>
            </w:r>
            <w:r>
              <w:rPr>
                <w:rFonts w:hint="eastAsia" w:ascii="Times New Roman" w:hAnsi="Times New Roman" w:eastAsia="宋体" w:cs="Times New Roman"/>
                <w:color w:val="auto"/>
                <w:kern w:val="0"/>
                <w:sz w:val="21"/>
                <w:szCs w:val="21"/>
                <w:lang w:val="en-US" w:eastAsia="zh-CN" w:bidi="ar"/>
              </w:rPr>
              <w:t>CO</w:t>
            </w:r>
            <w:r>
              <w:rPr>
                <w:rFonts w:hint="default" w:ascii="Times New Roman" w:hAnsi="Times New Roman" w:eastAsia="宋体" w:cs="Times New Roman"/>
                <w:color w:val="auto"/>
                <w:kern w:val="0"/>
                <w:sz w:val="21"/>
                <w:szCs w:val="21"/>
                <w:lang w:val="en-US" w:eastAsia="zh-CN" w:bidi="ar"/>
              </w:rPr>
              <w:t>有毒性，当达到一定的浓度时，会影响人的造血功能及神经系统功能。</w:t>
            </w:r>
          </w:p>
          <w:p w14:paraId="0BB94484">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泄漏事故影响分析</w:t>
            </w:r>
          </w:p>
          <w:p w14:paraId="7A2D6FFF">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天然气、危度等泄露一旦发生会对周国环境和敏感目标产生短暂的不良影响，对厂区内作业人员有一定影响，但不会对身体造成不可逆的健康危害，且当泄得到控制后影响随之消失对于本项目可能出现的非正常排放的情况，主要是由于</w:t>
            </w:r>
            <w:r>
              <w:rPr>
                <w:rFonts w:hint="eastAsia" w:ascii="Times New Roman" w:hAnsi="Times New Roman" w:cs="Times New Roman"/>
                <w:color w:val="auto"/>
                <w:sz w:val="21"/>
                <w:szCs w:val="21"/>
                <w:lang w:eastAsia="zh-CN"/>
              </w:rPr>
              <w:t>废气处理装置故障</w:t>
            </w:r>
            <w:r>
              <w:rPr>
                <w:rFonts w:hint="default" w:ascii="Times New Roman" w:hAnsi="Times New Roman" w:eastAsia="宋体" w:cs="Times New Roman"/>
                <w:color w:val="auto"/>
                <w:sz w:val="21"/>
                <w:szCs w:val="21"/>
              </w:rPr>
              <w:t>或管理不善造成。因此，本项目必须从工艺技术、过程控制、消防设施和风险管理上严格要求，以减缓项目环境风险，特别是要保证自控系统和各种工艺防范设施正常适行，以及原辅料仓库危险性物质泄漏的防范。</w:t>
            </w:r>
          </w:p>
          <w:p w14:paraId="75B0A71F">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由于</w:t>
            </w:r>
            <w:r>
              <w:rPr>
                <w:rFonts w:hint="eastAsia" w:ascii="Times New Roman" w:hAnsi="Times New Roman" w:cs="Times New Roman"/>
                <w:color w:val="auto"/>
                <w:sz w:val="21"/>
                <w:szCs w:val="21"/>
                <w:lang w:eastAsia="zh-CN"/>
              </w:rPr>
              <w:t>事故</w:t>
            </w:r>
            <w:r>
              <w:rPr>
                <w:rFonts w:hint="default" w:ascii="Times New Roman" w:hAnsi="Times New Roman" w:eastAsia="宋体" w:cs="Times New Roman"/>
                <w:color w:val="auto"/>
                <w:sz w:val="21"/>
                <w:szCs w:val="21"/>
              </w:rPr>
              <w:t>触发</w:t>
            </w:r>
            <w:r>
              <w:rPr>
                <w:rFonts w:hint="eastAsia" w:ascii="Times New Roman" w:hAnsi="Times New Roman" w:cs="Times New Roman"/>
                <w:color w:val="auto"/>
                <w:sz w:val="21"/>
                <w:szCs w:val="21"/>
                <w:lang w:eastAsia="zh-CN"/>
              </w:rPr>
              <w:t>因素</w:t>
            </w:r>
            <w:r>
              <w:rPr>
                <w:rFonts w:hint="default" w:ascii="Times New Roman" w:hAnsi="Times New Roman" w:eastAsia="宋体" w:cs="Times New Roman"/>
                <w:color w:val="auto"/>
                <w:sz w:val="21"/>
                <w:szCs w:val="21"/>
              </w:rPr>
              <w:t>具有不确定性，因此事故情形的设定并不能包含全部可能的环境风但通过具有代表性的事故情形分析可为风险管理提供科学依据。</w:t>
            </w:r>
          </w:p>
          <w:p w14:paraId="0BC0FAD5">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②</w:t>
            </w:r>
            <w:r>
              <w:rPr>
                <w:rFonts w:hint="default" w:ascii="Times New Roman" w:hAnsi="Times New Roman" w:cs="Times New Roman"/>
                <w:color w:val="auto"/>
                <w:sz w:val="21"/>
                <w:szCs w:val="21"/>
                <w:lang w:val="en-US" w:eastAsia="zh-CN"/>
              </w:rPr>
              <w:t>地表水环境风险分析</w:t>
            </w:r>
          </w:p>
          <w:p w14:paraId="47992D10">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本项目天然气、危度等泄漏事故发生后对</w:t>
            </w:r>
            <w:r>
              <w:rPr>
                <w:rFonts w:hint="eastAsia" w:ascii="Times New Roman" w:hAnsi="Times New Roman" w:cs="Times New Roman"/>
                <w:color w:val="auto"/>
                <w:sz w:val="21"/>
                <w:szCs w:val="21"/>
                <w:lang w:eastAsia="zh-CN"/>
              </w:rPr>
              <w:t>周围</w:t>
            </w:r>
            <w:r>
              <w:rPr>
                <w:rFonts w:hint="default" w:ascii="Times New Roman" w:hAnsi="Times New Roman" w:eastAsia="宋体" w:cs="Times New Roman"/>
                <w:color w:val="auto"/>
                <w:sz w:val="21"/>
                <w:szCs w:val="21"/>
              </w:rPr>
              <w:t>水环境影响途径有两条</w:t>
            </w:r>
            <w:r>
              <w:rPr>
                <w:rFonts w:hint="eastAsia" w:ascii="Times New Roman" w:hAnsi="Times New Roman" w:cs="Times New Roman"/>
                <w:color w:val="auto"/>
                <w:sz w:val="21"/>
                <w:szCs w:val="21"/>
                <w:lang w:eastAsia="zh-CN"/>
              </w:rPr>
              <w:t>：一</w:t>
            </w:r>
            <w:r>
              <w:rPr>
                <w:rFonts w:hint="default" w:ascii="Times New Roman" w:hAnsi="Times New Roman" w:eastAsia="宋体" w:cs="Times New Roman"/>
                <w:color w:val="auto"/>
                <w:sz w:val="21"/>
                <w:szCs w:val="21"/>
              </w:rPr>
              <w:t>是</w:t>
            </w:r>
            <w:r>
              <w:rPr>
                <w:rFonts w:hint="eastAsia" w:ascii="Times New Roman" w:hAnsi="Times New Roman" w:cs="Times New Roman"/>
                <w:color w:val="auto"/>
                <w:sz w:val="21"/>
                <w:szCs w:val="21"/>
                <w:lang w:eastAsia="zh-CN"/>
              </w:rPr>
              <w:t>事故</w:t>
            </w:r>
            <w:r>
              <w:rPr>
                <w:rFonts w:hint="default" w:ascii="Times New Roman" w:hAnsi="Times New Roman" w:eastAsia="宋体" w:cs="Times New Roman"/>
                <w:color w:val="auto"/>
                <w:sz w:val="21"/>
                <w:szCs w:val="21"/>
              </w:rPr>
              <w:t>废液没有控制在厂区内，进入附近水体，污染水体水质</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二是事故</w:t>
            </w:r>
            <w:r>
              <w:rPr>
                <w:rFonts w:hint="eastAsia" w:ascii="Times New Roman" w:hAnsi="Times New Roman" w:cs="Times New Roman"/>
                <w:color w:val="auto"/>
                <w:sz w:val="21"/>
                <w:szCs w:val="21"/>
                <w:lang w:eastAsia="zh-CN"/>
              </w:rPr>
              <w:t>废液</w:t>
            </w:r>
            <w:r>
              <w:rPr>
                <w:rFonts w:hint="default" w:ascii="Times New Roman" w:hAnsi="Times New Roman" w:eastAsia="宋体" w:cs="Times New Roman"/>
                <w:color w:val="auto"/>
                <w:sz w:val="21"/>
                <w:szCs w:val="21"/>
              </w:rPr>
              <w:t>虽然控制在厂区内，但是出现大量超标度水进入污水管网，影响污水处理站的正常适行，导致污水处理站外排污水超标。厂区内实行</w:t>
            </w:r>
            <w:r>
              <w:rPr>
                <w:rFonts w:hint="eastAsia" w:ascii="Times New Roman" w:hAnsi="Times New Roman" w:cs="Times New Roman"/>
                <w:color w:val="auto"/>
                <w:sz w:val="21"/>
                <w:szCs w:val="21"/>
                <w:lang w:eastAsia="zh-CN"/>
              </w:rPr>
              <w:t>雨污</w:t>
            </w:r>
            <w:r>
              <w:rPr>
                <w:rFonts w:hint="default" w:ascii="Times New Roman" w:hAnsi="Times New Roman" w:eastAsia="宋体" w:cs="Times New Roman"/>
                <w:color w:val="auto"/>
                <w:sz w:val="21"/>
                <w:szCs w:val="21"/>
              </w:rPr>
              <w:t>分流，后期雨水排入雨水管网。本项目在发生消防车故度水泄事故时，</w:t>
            </w:r>
            <w:r>
              <w:rPr>
                <w:rFonts w:hint="eastAsia" w:ascii="Times New Roman" w:hAnsi="Times New Roman" w:cs="Times New Roman"/>
                <w:color w:val="auto"/>
                <w:sz w:val="21"/>
                <w:szCs w:val="21"/>
                <w:lang w:eastAsia="zh-CN"/>
              </w:rPr>
              <w:t>泄露物</w:t>
            </w:r>
            <w:r>
              <w:rPr>
                <w:rFonts w:hint="default" w:ascii="Times New Roman" w:hAnsi="Times New Roman" w:eastAsia="宋体" w:cs="Times New Roman"/>
                <w:color w:val="auto"/>
                <w:sz w:val="21"/>
                <w:szCs w:val="21"/>
              </w:rPr>
              <w:t>料将通过四周的</w:t>
            </w:r>
            <w:r>
              <w:rPr>
                <w:rFonts w:hint="eastAsia" w:ascii="Times New Roman" w:hAnsi="Times New Roman" w:cs="Times New Roman"/>
                <w:color w:val="auto"/>
                <w:sz w:val="21"/>
                <w:szCs w:val="21"/>
                <w:lang w:eastAsia="zh-CN"/>
              </w:rPr>
              <w:t>围</w:t>
            </w:r>
            <w:r>
              <w:rPr>
                <w:rFonts w:hint="default" w:ascii="Times New Roman" w:hAnsi="Times New Roman" w:eastAsia="宋体" w:cs="Times New Roman"/>
                <w:color w:val="auto"/>
                <w:sz w:val="21"/>
                <w:szCs w:val="21"/>
              </w:rPr>
              <w:t>堰进行收案进入厂区事故池，后送至污水处理厂处理，不进入雨水管网，不会直接进入水体。危废暂存场所具有防雨、防、防渗措施，当事故发生时，不会产生废液进入厂区雨水系统，对周边地表水产生不良影响。</w:t>
            </w:r>
          </w:p>
          <w:p w14:paraId="5185C42F">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③</w:t>
            </w:r>
            <w:r>
              <w:rPr>
                <w:rFonts w:hint="default" w:ascii="Times New Roman" w:hAnsi="Times New Roman" w:cs="Times New Roman"/>
                <w:color w:val="auto"/>
                <w:sz w:val="21"/>
                <w:szCs w:val="21"/>
                <w:lang w:val="en-US" w:eastAsia="zh-CN"/>
              </w:rPr>
              <w:t>土壤、地下水环境风险分析</w:t>
            </w:r>
          </w:p>
          <w:p w14:paraId="06D9488B">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原料桶发生风险事故时破裂对地下水影响，由于地表填土分布较广，局部结构较松散，填土本身成分复杂，含有污染物质，存在于大气中的污染物和填土中的污染物，随大气降雨间歇渗入孔隙潜水，使孔隙潜水受到污染，影响土壤和地下水水质。</w:t>
            </w:r>
          </w:p>
          <w:p w14:paraId="6709D802">
            <w:pPr>
              <w:pStyle w:val="199"/>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（3）环境风险防范措施</w:t>
            </w:r>
          </w:p>
          <w:p w14:paraId="3435BAAC">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针对项目可能发生的环境风险事故，提出以下风险防范措施：</w:t>
            </w:r>
          </w:p>
          <w:p w14:paraId="05D0CAF8">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①生产车间风险防控措施：</w:t>
            </w:r>
          </w:p>
          <w:p w14:paraId="7C52C497">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a.企业生产车间具有良好的通风设施，正常工作状态下，排风系统需安装防火阀。</w:t>
            </w:r>
          </w:p>
          <w:p w14:paraId="464B520D">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b.所有材料均选用不燃和阻燃材料。</w:t>
            </w:r>
          </w:p>
          <w:p w14:paraId="13378D22">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c.从生产管理、工艺技术设计、自动控制设计、电气及电讯、消防及火灾报警系统等方面制定相应的环境风险防范措施。</w:t>
            </w:r>
          </w:p>
          <w:p w14:paraId="406D09A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②贮运工程风险防控措施：</w:t>
            </w:r>
          </w:p>
          <w:p w14:paraId="44829AC7">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a.原料均储存于阴凉通风仓库内，远离火种、热源，防止阳光直射。搬运时轻装轻卸，防止原料破损或倾倒。</w:t>
            </w:r>
          </w:p>
          <w:p w14:paraId="57A4EA04">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b.划定禁火区，在明显地点设有警示标志，输配电线、灯具、火灾事故照明和疏散指示标志均应符合安全要求；严禁未安装灭火装置的车辆出入生产装置区。</w:t>
            </w:r>
          </w:p>
          <w:p w14:paraId="15E823FD">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c.合理规划运输路线及时间，加强危险废物运输车辆的管理，严格遵守危险品运输管理规定，避免运输过程事故的发生。</w:t>
            </w:r>
          </w:p>
          <w:p w14:paraId="1CADEAF0">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③废气事故排放防控措施：</w:t>
            </w:r>
          </w:p>
          <w:p w14:paraId="5F9EFD78">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发生事故的原因主要有以下几个：</w:t>
            </w:r>
          </w:p>
          <w:p w14:paraId="47F00B73">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a.废气处理系统出现故障、设备开车、停车检修时废气直接排入大气环境中。</w:t>
            </w:r>
          </w:p>
          <w:p w14:paraId="4D2873EC">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b.生产过程中由于设备老化、腐蚀、失误操作等原因造成车间废气浓度超标。</w:t>
            </w:r>
          </w:p>
          <w:p w14:paraId="3E263934">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c.厂内突然停电、废气处理系统停止工作，致使废气不能得到及时处理。</w:t>
            </w:r>
          </w:p>
          <w:p w14:paraId="355CAF2E">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d.对废气治理措施疏于管理，使治理措施处理效率降低造成废气浓度超标。</w:t>
            </w:r>
          </w:p>
          <w:p w14:paraId="6321C5A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为杜绝事故性废气排放，建议采用以下措施确保废气达标排放：</w:t>
            </w:r>
          </w:p>
          <w:p w14:paraId="799F4D6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a.平时加强废气处理设施的维护保养，及时发现处理设备的隐患，并及时进行维修，确保废气处理系统正常运行。</w:t>
            </w:r>
          </w:p>
          <w:p w14:paraId="609372CD">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b.建立健全的环保机构，配置必要的监测仪器，对管理人员和技术人员进行岗位培训，对废气处理实行全过程跟踪控制。</w:t>
            </w:r>
          </w:p>
          <w:p w14:paraId="3B4E27D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c.项目应设有备用电源和备用处理设备，以备停电或设备出现故障时保障废气全部进入处理系统进行处理以达标排放；</w:t>
            </w:r>
          </w:p>
          <w:p w14:paraId="15E97760">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d.项目对废气治理措施应设置备用的废气治理措施，在常用处理设施出现故障的情况下采用备用处理设施进行处理，防止因此而造成废气的事故性排放。</w:t>
            </w:r>
          </w:p>
          <w:p w14:paraId="682D1DB9">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④危废仓库防控措施：</w:t>
            </w:r>
          </w:p>
          <w:p w14:paraId="1F818484">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a.危废仓库地面拟采用环氧地坪，底部加设土工膜，防渗等级满足防渗要求。</w:t>
            </w:r>
          </w:p>
          <w:p w14:paraId="41EAD323">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 xml:space="preserve">b.贮存容器下方设置不锈钢托盘防止泄漏，每次更换后由具有危废资质单位及时清运。 </w:t>
            </w:r>
          </w:p>
          <w:p w14:paraId="235A5B86">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 xml:space="preserve">c.拟设置防雷装置，仓库密闭，地面防渗处理，四周设围堰，设置钢筋混凝土导流渠，并采用底部加设土工膜进行防渗，具备防风、防雨、防晒功能；配备通讯设备、防爆灯、禁火标志、灭火器（如黄沙）等。 </w:t>
            </w:r>
          </w:p>
          <w:p w14:paraId="77EA589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d.拟在厂区门口设置危废信息公开栏，危废仓库外墙及各类危废贮存处墙面设置贮存设施警示标志牌，对危险废物的容器和包装物以及收集、贮存、运输、处置危险废物的设施、场所，拟设置危险废物识别标志。</w:t>
            </w:r>
          </w:p>
          <w:p w14:paraId="03D74A1E">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e.根据危险废物的种类和特性进行分区、分类贮存。</w:t>
            </w:r>
          </w:p>
          <w:p w14:paraId="61BF64EE">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f.危废暂存间拟设立危险废物进出入台账登记管理制度，记录危险废物的名称、来源、数量、特性和包装容器的类别、入库日期、存放库位、废物出库日期及接收单位名称，严格执行危险废物电子联单制度，实行对危险废物从源头到终端处理的全过程监管，确保危险废物100%得到安全处置。危险废物的记录和货单保留五年。</w:t>
            </w:r>
          </w:p>
          <w:p w14:paraId="3BE63541">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⑤其他防控措施：</w:t>
            </w:r>
          </w:p>
          <w:p w14:paraId="43CAD2A6">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a.建立健全各种有关消防与安全生产的规章制度，建立岗位责任制。仓库、生产车间严禁明火。生产车间、公用工程、仓库等场所配置足量的泡沫、干粉等灭火器，并保持完好状态。</w:t>
            </w:r>
          </w:p>
          <w:p w14:paraId="710820AF">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b.厂区留有足够的消防通道。生产车间、仓库设置消防给水管道和消防栓。厂部要组织义务消防员，并进行定期的培训和训练。对有火灾危险的场所设置自动报警系统，一旦发生火灾，立即做出应急反应。</w:t>
            </w:r>
          </w:p>
          <w:p w14:paraId="70BA46FA">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eastAsia="zh-CN"/>
              </w:rPr>
              <w:t>）应急监测</w:t>
            </w:r>
          </w:p>
          <w:p w14:paraId="5EEB8D97">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项目生产过程中，若发生废气、废水处理装置故障，或发生泄漏、火灾或爆炸事故，应进行应急监测，以判断事故情况对周边环境的影响程度，并采取相应的应急措施。</w:t>
            </w:r>
          </w:p>
          <w:p w14:paraId="6A69F15E">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大气应急监测：厂界、厂界上风向和下风向敏感目标设置采样点，监测因子为</w:t>
            </w:r>
            <w:r>
              <w:rPr>
                <w:rFonts w:hint="eastAsia" w:cs="Times New Roman"/>
                <w:color w:val="auto"/>
                <w:kern w:val="0"/>
                <w:sz w:val="21"/>
                <w:szCs w:val="21"/>
                <w:lang w:val="en-US" w:eastAsia="zh-CN"/>
              </w:rPr>
              <w:t>颗粒物、二氧化硫、氮氧化物、非甲烷总烃、一氧化碳</w:t>
            </w:r>
            <w:r>
              <w:rPr>
                <w:rFonts w:hint="default" w:ascii="Times New Roman" w:hAnsi="Times New Roman" w:eastAsia="宋体" w:cs="Times New Roman"/>
                <w:color w:val="auto"/>
                <w:kern w:val="0"/>
                <w:sz w:val="21"/>
                <w:szCs w:val="21"/>
              </w:rPr>
              <w:t>。</w:t>
            </w:r>
          </w:p>
          <w:p w14:paraId="0D7BC04E">
            <w:pPr>
              <w:spacing w:line="360" w:lineRule="auto"/>
              <w:ind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水应急监测：厂区污水总排口、雨水排口、雨水接纳河流设置采样点，监测因子为pH、COD、SS、氨氮、总磷、</w:t>
            </w:r>
            <w:r>
              <w:rPr>
                <w:rFonts w:hint="default" w:ascii="Times New Roman" w:hAnsi="Times New Roman" w:eastAsia="宋体" w:cs="Times New Roman"/>
                <w:color w:val="auto"/>
                <w:kern w:val="0"/>
                <w:sz w:val="21"/>
                <w:szCs w:val="21"/>
                <w:lang w:val="en-US" w:eastAsia="zh-CN"/>
              </w:rPr>
              <w:t>总氮、</w:t>
            </w:r>
            <w:r>
              <w:rPr>
                <w:rFonts w:hint="default" w:ascii="Times New Roman" w:hAnsi="Times New Roman" w:eastAsia="宋体" w:cs="Times New Roman"/>
                <w:color w:val="auto"/>
                <w:kern w:val="0"/>
                <w:sz w:val="21"/>
                <w:szCs w:val="21"/>
              </w:rPr>
              <w:t>动植物油。</w:t>
            </w:r>
          </w:p>
          <w:p w14:paraId="24B8C4E7">
            <w:pPr>
              <w:spacing w:line="360" w:lineRule="auto"/>
              <w:ind w:firstLine="422" w:firstLineChars="20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表</w:t>
            </w:r>
            <w:r>
              <w:rPr>
                <w:rFonts w:hint="default" w:ascii="Times New Roman" w:hAnsi="Times New Roman" w:eastAsia="宋体" w:cs="Times New Roman"/>
                <w:b/>
                <w:bCs/>
                <w:color w:val="auto"/>
                <w:kern w:val="0"/>
                <w:sz w:val="21"/>
                <w:szCs w:val="21"/>
                <w:lang w:val="en-US" w:eastAsia="zh-CN"/>
              </w:rPr>
              <w:t>4-2</w:t>
            </w:r>
            <w:r>
              <w:rPr>
                <w:rFonts w:hint="eastAsia" w:cs="Times New Roman"/>
                <w:b/>
                <w:bCs/>
                <w:color w:val="auto"/>
                <w:kern w:val="0"/>
                <w:sz w:val="21"/>
                <w:szCs w:val="21"/>
                <w:lang w:val="en-US" w:eastAsia="zh-CN"/>
              </w:rPr>
              <w:t>7</w:t>
            </w:r>
            <w:r>
              <w:rPr>
                <w:rFonts w:hint="default" w:ascii="Times New Roman" w:hAnsi="Times New Roman" w:eastAsia="宋体" w:cs="Times New Roman"/>
                <w:b/>
                <w:bCs/>
                <w:color w:val="auto"/>
                <w:kern w:val="0"/>
                <w:sz w:val="21"/>
                <w:szCs w:val="21"/>
              </w:rPr>
              <w:t xml:space="preserve"> 应急监测计划表</w:t>
            </w:r>
          </w:p>
          <w:tbl>
            <w:tblPr>
              <w:tblStyle w:val="4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20"/>
              <w:gridCol w:w="3686"/>
              <w:gridCol w:w="1016"/>
              <w:gridCol w:w="2346"/>
            </w:tblGrid>
            <w:tr w14:paraId="240EE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9" w:hRule="atLeast"/>
                <w:jc w:val="center"/>
              </w:trPr>
              <w:tc>
                <w:tcPr>
                  <w:tcW w:w="738" w:type="pct"/>
                  <w:vAlign w:val="center"/>
                </w:tcPr>
                <w:p w14:paraId="04758C43">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类别</w:t>
                  </w:r>
                </w:p>
              </w:tc>
              <w:tc>
                <w:tcPr>
                  <w:tcW w:w="2228" w:type="pct"/>
                  <w:vAlign w:val="center"/>
                </w:tcPr>
                <w:p w14:paraId="4C50D563">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监测位置</w:t>
                  </w:r>
                </w:p>
              </w:tc>
              <w:tc>
                <w:tcPr>
                  <w:tcW w:w="614" w:type="pct"/>
                  <w:vAlign w:val="center"/>
                </w:tcPr>
                <w:p w14:paraId="54885A12">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测点数</w:t>
                  </w:r>
                </w:p>
              </w:tc>
              <w:tc>
                <w:tcPr>
                  <w:tcW w:w="1418" w:type="pct"/>
                  <w:vAlign w:val="center"/>
                </w:tcPr>
                <w:p w14:paraId="3BB22C6D">
                  <w:pPr>
                    <w:ind w:right="6"/>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监测因子</w:t>
                  </w:r>
                </w:p>
              </w:tc>
            </w:tr>
            <w:tr w14:paraId="3B19B3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9" w:hRule="atLeast"/>
                <w:jc w:val="center"/>
              </w:trPr>
              <w:tc>
                <w:tcPr>
                  <w:tcW w:w="738" w:type="pct"/>
                  <w:vAlign w:val="center"/>
                </w:tcPr>
                <w:p w14:paraId="1A104832">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环境空气</w:t>
                  </w:r>
                </w:p>
              </w:tc>
              <w:tc>
                <w:tcPr>
                  <w:tcW w:w="2228" w:type="pct"/>
                  <w:vAlign w:val="center"/>
                </w:tcPr>
                <w:p w14:paraId="4ED081D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Cs/>
                      <w:color w:val="auto"/>
                      <w:sz w:val="21"/>
                      <w:szCs w:val="21"/>
                    </w:rPr>
                    <w:t>厂界、厂界上风向和下风向敏感目标</w:t>
                  </w:r>
                </w:p>
              </w:tc>
              <w:tc>
                <w:tcPr>
                  <w:tcW w:w="614" w:type="pct"/>
                  <w:vAlign w:val="center"/>
                </w:tcPr>
                <w:p w14:paraId="653923A8">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418" w:type="pct"/>
                  <w:vAlign w:val="center"/>
                </w:tcPr>
                <w:p w14:paraId="5DB79EE7">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颗粒物、二氧化硫、氮氧化物</w:t>
                  </w:r>
                  <w:r>
                    <w:rPr>
                      <w:rFonts w:hint="eastAsia" w:cs="Times New Roman"/>
                      <w:color w:val="auto"/>
                      <w:kern w:val="0"/>
                      <w:sz w:val="21"/>
                      <w:szCs w:val="21"/>
                      <w:lang w:eastAsia="zh-CN"/>
                    </w:rPr>
                    <w:t>、</w:t>
                  </w:r>
                  <w:r>
                    <w:rPr>
                      <w:rFonts w:hint="eastAsia" w:cs="Times New Roman"/>
                      <w:color w:val="auto"/>
                      <w:kern w:val="0"/>
                      <w:sz w:val="21"/>
                      <w:szCs w:val="21"/>
                      <w:lang w:val="en-US" w:eastAsia="zh-CN"/>
                    </w:rPr>
                    <w:t>非甲烷总烃、一氧化碳</w:t>
                  </w:r>
                </w:p>
              </w:tc>
            </w:tr>
            <w:tr w14:paraId="492316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9" w:hRule="atLeast"/>
                <w:jc w:val="center"/>
              </w:trPr>
              <w:tc>
                <w:tcPr>
                  <w:tcW w:w="738" w:type="pct"/>
                  <w:vAlign w:val="center"/>
                </w:tcPr>
                <w:p w14:paraId="166D307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地表水</w:t>
                  </w:r>
                </w:p>
              </w:tc>
              <w:tc>
                <w:tcPr>
                  <w:tcW w:w="2228" w:type="pct"/>
                  <w:vAlign w:val="center"/>
                </w:tcPr>
                <w:p w14:paraId="4500269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厂区污水总排口、雨水排口、雨水接纳河流</w:t>
                  </w:r>
                </w:p>
              </w:tc>
              <w:tc>
                <w:tcPr>
                  <w:tcW w:w="614" w:type="pct"/>
                  <w:vAlign w:val="center"/>
                </w:tcPr>
                <w:p w14:paraId="59FD0FB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418" w:type="pct"/>
                  <w:vAlign w:val="center"/>
                </w:tcPr>
                <w:p w14:paraId="6ABA011C">
                  <w:pPr>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pH、COD、SS、氨氮、总磷、</w:t>
                  </w:r>
                  <w:r>
                    <w:rPr>
                      <w:rFonts w:hint="default" w:ascii="Times New Roman" w:hAnsi="Times New Roman" w:eastAsia="宋体" w:cs="Times New Roman"/>
                      <w:color w:val="auto"/>
                      <w:kern w:val="0"/>
                      <w:sz w:val="21"/>
                      <w:szCs w:val="21"/>
                      <w:lang w:val="en-US" w:eastAsia="zh-CN"/>
                    </w:rPr>
                    <w:t>总氮、</w:t>
                  </w:r>
                  <w:r>
                    <w:rPr>
                      <w:rFonts w:hint="eastAsia" w:ascii="Times New Roman" w:hAnsi="Times New Roman" w:cs="Times New Roman"/>
                      <w:color w:val="auto"/>
                      <w:kern w:val="0"/>
                      <w:sz w:val="21"/>
                      <w:szCs w:val="21"/>
                      <w:lang w:val="en-US" w:eastAsia="zh-CN"/>
                    </w:rPr>
                    <w:t>石油类</w:t>
                  </w:r>
                </w:p>
              </w:tc>
            </w:tr>
          </w:tbl>
          <w:p w14:paraId="35F46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由于企业不具备监测条件，上述污染源监测及应急监测拟委托当地有监测能力的环境监测部门进行监测。</w:t>
            </w:r>
          </w:p>
          <w:p w14:paraId="56EBC942">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eastAsia="zh-CN"/>
              </w:rPr>
              <w:t>（</w:t>
            </w:r>
            <w:r>
              <w:rPr>
                <w:rFonts w:hint="eastAsia" w:ascii="Times New Roman" w:hAnsi="Times New Roman" w:cs="Times New Roman"/>
                <w:b w:val="0"/>
                <w:bCs/>
                <w:color w:val="auto"/>
                <w:sz w:val="21"/>
                <w:szCs w:val="21"/>
                <w:lang w:val="en-US" w:eastAsia="zh-CN"/>
              </w:rPr>
              <w:t>5</w:t>
            </w:r>
            <w:r>
              <w:rPr>
                <w:rFonts w:hint="default" w:ascii="Times New Roman" w:hAnsi="Times New Roman" w:cs="Times New Roman"/>
                <w:b w:val="0"/>
                <w:bCs/>
                <w:color w:val="auto"/>
                <w:sz w:val="21"/>
                <w:szCs w:val="21"/>
                <w:lang w:eastAsia="zh-CN"/>
              </w:rPr>
              <w:t>）突发环境事故应急预案</w:t>
            </w:r>
          </w:p>
          <w:p w14:paraId="6A3ED080">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eastAsia="zh-CN"/>
              </w:rPr>
              <w:t>企业在正常生产过程中应根据《江苏省突发环境事件应急预案编制导则》（试行）（企事业单位版）、《关于企业事业单位突发环境事件应急预案备案管理有关事项的通知》（环发</w:t>
            </w:r>
            <w:r>
              <w:rPr>
                <w:rFonts w:hint="default" w:ascii="Times New Roman" w:hAnsi="Times New Roman" w:eastAsia="宋体" w:cs="Times New Roman"/>
                <w:color w:val="auto"/>
                <w:lang w:val="en-US" w:eastAsia="zh-CN"/>
              </w:rPr>
              <w:t>〔2015〕</w:t>
            </w:r>
            <w:r>
              <w:rPr>
                <w:rFonts w:hint="default" w:ascii="Times New Roman" w:hAnsi="Times New Roman" w:eastAsia="宋体" w:cs="Times New Roman"/>
                <w:b w:val="0"/>
                <w:bCs/>
                <w:color w:val="auto"/>
                <w:sz w:val="21"/>
                <w:szCs w:val="21"/>
                <w:lang w:val="en-US" w:eastAsia="zh-CN"/>
              </w:rPr>
              <w:t>224号</w:t>
            </w:r>
            <w:r>
              <w:rPr>
                <w:rFonts w:hint="default" w:ascii="Times New Roman" w:hAnsi="Times New Roman" w:cs="Times New Roman"/>
                <w:b w:val="0"/>
                <w:bCs/>
                <w:color w:val="auto"/>
                <w:sz w:val="21"/>
                <w:szCs w:val="21"/>
                <w:lang w:eastAsia="zh-CN"/>
              </w:rPr>
              <w:t>）、《关于印发南通市企事业单位突发环境事件应急预案备案管理制度的通知》（通环办</w:t>
            </w:r>
            <w:r>
              <w:rPr>
                <w:rFonts w:hint="default" w:ascii="Times New Roman" w:hAnsi="Times New Roman" w:eastAsia="宋体" w:cs="Times New Roman"/>
                <w:color w:val="auto"/>
                <w:lang w:val="en-US" w:eastAsia="zh-CN"/>
              </w:rPr>
              <w:t>〔2016〕</w:t>
            </w:r>
            <w:r>
              <w:rPr>
                <w:rFonts w:hint="default" w:ascii="Times New Roman" w:hAnsi="Times New Roman" w:eastAsia="宋体" w:cs="Times New Roman"/>
                <w:b w:val="0"/>
                <w:bCs/>
                <w:color w:val="auto"/>
                <w:sz w:val="21"/>
                <w:szCs w:val="21"/>
                <w:lang w:val="en-US" w:eastAsia="zh-CN"/>
              </w:rPr>
              <w:t>16号</w:t>
            </w:r>
            <w:r>
              <w:rPr>
                <w:rFonts w:hint="default" w:ascii="Times New Roman" w:hAnsi="Times New Roman" w:cs="Times New Roman"/>
                <w:b w:val="0"/>
                <w:bCs/>
                <w:color w:val="auto"/>
                <w:sz w:val="21"/>
                <w:szCs w:val="21"/>
                <w:lang w:eastAsia="zh-CN"/>
              </w:rPr>
              <w:t>）等相关要求，制定企业突发环境事件应急预案。</w:t>
            </w:r>
          </w:p>
          <w:p w14:paraId="774130C7">
            <w:pPr>
              <w:adjustRightInd w:val="0"/>
              <w:snapToGrid w:val="0"/>
              <w:spacing w:line="360" w:lineRule="auto"/>
              <w:ind w:firstLine="420" w:firstLineChars="200"/>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本项目根据生产特点和事故隐患分析，尤其针对风险物质物料的储运、使用过程中的事故，应建立事故应急计划，建立事故应急组织管理制度，包括事故现场指挥人员、事故处理人员等各自的职责、任务，事故处理步骤，事故隔离区域和人员疏散等，</w:t>
            </w:r>
            <w:r>
              <w:rPr>
                <w:rFonts w:hint="default" w:ascii="Times New Roman" w:hAnsi="Times New Roman" w:cs="Times New Roman"/>
                <w:b w:val="0"/>
                <w:bCs w:val="0"/>
                <w:color w:val="auto"/>
                <w:kern w:val="2"/>
                <w:sz w:val="21"/>
                <w:szCs w:val="21"/>
                <w:highlight w:val="none"/>
                <w:lang w:val="en-US" w:eastAsia="zh-CN" w:bidi="ar-SA"/>
              </w:rPr>
              <w:t>并与周边企业和海门经济技术开发区</w:t>
            </w:r>
            <w:r>
              <w:rPr>
                <w:rFonts w:hint="default" w:ascii="Times New Roman" w:hAnsi="Times New Roman" w:eastAsia="宋体" w:cs="Times New Roman"/>
                <w:b w:val="0"/>
                <w:bCs w:val="0"/>
                <w:color w:val="auto"/>
                <w:kern w:val="2"/>
                <w:sz w:val="21"/>
                <w:szCs w:val="21"/>
                <w:highlight w:val="none"/>
                <w:lang w:val="en-US" w:eastAsia="zh-CN" w:bidi="ar-SA"/>
              </w:rPr>
              <w:t>建立</w:t>
            </w:r>
            <w:r>
              <w:rPr>
                <w:rFonts w:hint="default" w:ascii="Times New Roman" w:hAnsi="Times New Roman" w:eastAsia="宋体" w:cs="Times New Roman"/>
                <w:color w:val="auto"/>
                <w:kern w:val="2"/>
                <w:sz w:val="21"/>
                <w:szCs w:val="21"/>
                <w:highlight w:val="none"/>
                <w:lang w:val="en-US" w:eastAsia="zh-CN"/>
              </w:rPr>
              <w:t>突发环境事件</w:t>
            </w:r>
            <w:r>
              <w:rPr>
                <w:rFonts w:hint="eastAsia" w:cs="Times New Roman"/>
                <w:color w:val="auto"/>
                <w:kern w:val="2"/>
                <w:sz w:val="21"/>
                <w:szCs w:val="21"/>
                <w:highlight w:val="none"/>
                <w:lang w:val="en-US" w:eastAsia="zh-CN"/>
              </w:rPr>
              <w:t>应急联动</w:t>
            </w:r>
            <w:r>
              <w:rPr>
                <w:rFonts w:hint="default" w:ascii="Times New Roman" w:hAnsi="Times New Roman" w:eastAsia="宋体" w:cs="Times New Roman"/>
                <w:b w:val="0"/>
                <w:bCs w:val="0"/>
                <w:color w:val="auto"/>
                <w:kern w:val="2"/>
                <w:sz w:val="21"/>
                <w:szCs w:val="21"/>
                <w:highlight w:val="none"/>
                <w:lang w:val="en-US" w:eastAsia="zh-CN" w:bidi="ar-SA"/>
              </w:rPr>
              <w:t>机制</w:t>
            </w:r>
            <w:r>
              <w:rPr>
                <w:rFonts w:hint="default" w:ascii="Times New Roman" w:hAnsi="Times New Roman" w:cs="Times New Roman"/>
                <w:b w:val="0"/>
                <w:bCs/>
                <w:color w:val="auto"/>
                <w:sz w:val="21"/>
                <w:szCs w:val="21"/>
                <w:lang w:eastAsia="zh-CN"/>
              </w:rPr>
              <w:t>。</w:t>
            </w:r>
          </w:p>
          <w:p w14:paraId="6438A55D">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eastAsia="zh-CN"/>
              </w:rPr>
              <w:t>具体按表</w:t>
            </w:r>
            <w:r>
              <w:rPr>
                <w:rFonts w:hint="default" w:ascii="Times New Roman" w:hAnsi="Times New Roman" w:cs="Times New Roman"/>
                <w:b w:val="0"/>
                <w:bCs/>
                <w:color w:val="auto"/>
                <w:sz w:val="21"/>
                <w:szCs w:val="21"/>
                <w:lang w:val="en-US" w:eastAsia="zh-CN"/>
              </w:rPr>
              <w:t>4-2</w:t>
            </w:r>
            <w:r>
              <w:rPr>
                <w:rFonts w:hint="eastAsia" w:cs="Times New Roman"/>
                <w:b w:val="0"/>
                <w:bCs/>
                <w:color w:val="auto"/>
                <w:sz w:val="21"/>
                <w:szCs w:val="21"/>
                <w:lang w:val="en-US" w:eastAsia="zh-CN"/>
              </w:rPr>
              <w:t>7</w:t>
            </w:r>
            <w:r>
              <w:rPr>
                <w:rFonts w:hint="default" w:ascii="Times New Roman" w:hAnsi="Times New Roman" w:cs="Times New Roman"/>
                <w:b w:val="0"/>
                <w:bCs/>
                <w:color w:val="auto"/>
                <w:sz w:val="21"/>
                <w:szCs w:val="21"/>
                <w:lang w:eastAsia="zh-CN"/>
              </w:rPr>
              <w:t>的有关要求制定突发事故应急预案。</w:t>
            </w:r>
          </w:p>
          <w:p w14:paraId="4C2F2B0B">
            <w:pPr>
              <w:ind w:firstLine="422" w:firstLineChars="20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表4-</w:t>
            </w:r>
            <w:r>
              <w:rPr>
                <w:rFonts w:hint="default" w:ascii="Times New Roman" w:hAnsi="Times New Roman" w:cs="Times New Roman"/>
                <w:b/>
                <w:bCs/>
                <w:color w:val="auto"/>
                <w:kern w:val="0"/>
                <w:sz w:val="21"/>
                <w:szCs w:val="21"/>
                <w:lang w:val="en-US" w:eastAsia="zh-CN"/>
              </w:rPr>
              <w:t>2</w:t>
            </w:r>
            <w:r>
              <w:rPr>
                <w:rFonts w:hint="eastAsia" w:cs="Times New Roman"/>
                <w:b/>
                <w:bCs/>
                <w:color w:val="auto"/>
                <w:kern w:val="0"/>
                <w:sz w:val="21"/>
                <w:szCs w:val="21"/>
                <w:lang w:val="en-US" w:eastAsia="zh-CN"/>
              </w:rPr>
              <w:t>8</w:t>
            </w:r>
            <w:r>
              <w:rPr>
                <w:rFonts w:hint="default" w:ascii="Times New Roman" w:hAnsi="Times New Roman" w:cs="Times New Roman"/>
                <w:b/>
                <w:bCs/>
                <w:color w:val="auto"/>
                <w:kern w:val="0"/>
                <w:sz w:val="21"/>
                <w:szCs w:val="21"/>
                <w:lang w:val="en-US" w:eastAsia="zh-CN"/>
              </w:rPr>
              <w:t xml:space="preserve"> </w:t>
            </w:r>
            <w:r>
              <w:rPr>
                <w:rFonts w:hint="default" w:ascii="Times New Roman" w:hAnsi="Times New Roman" w:cs="Times New Roman"/>
                <w:b/>
                <w:bCs/>
                <w:color w:val="auto"/>
                <w:kern w:val="0"/>
                <w:sz w:val="21"/>
                <w:szCs w:val="21"/>
                <w:lang w:eastAsia="zh-CN"/>
              </w:rPr>
              <w:t>突发事故应急预案</w:t>
            </w:r>
          </w:p>
          <w:tbl>
            <w:tblPr>
              <w:tblStyle w:val="4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80"/>
              <w:gridCol w:w="1489"/>
              <w:gridCol w:w="6199"/>
            </w:tblGrid>
            <w:tr w14:paraId="5AA701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1BFB18FD">
                  <w:pPr>
                    <w:ind w:right="6"/>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900" w:type="pct"/>
                  <w:noWrap w:val="0"/>
                  <w:vAlign w:val="center"/>
                </w:tcPr>
                <w:p w14:paraId="201834E5">
                  <w:pPr>
                    <w:ind w:right="6"/>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lang w:eastAsia="zh-CN"/>
                    </w:rPr>
                    <w:t>项目</w:t>
                  </w:r>
                </w:p>
              </w:tc>
              <w:tc>
                <w:tcPr>
                  <w:tcW w:w="3748" w:type="pct"/>
                  <w:noWrap w:val="0"/>
                  <w:vAlign w:val="center"/>
                </w:tcPr>
                <w:p w14:paraId="250B9732">
                  <w:pPr>
                    <w:ind w:right="6"/>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lang w:eastAsia="zh-CN"/>
                    </w:rPr>
                    <w:t>污染物类型</w:t>
                  </w:r>
                </w:p>
              </w:tc>
            </w:tr>
            <w:tr w14:paraId="3F9D2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tcBorders>
                    <w:top w:val="single" w:color="auto" w:sz="4" w:space="0"/>
                    <w:bottom w:val="single" w:color="auto" w:sz="4" w:space="0"/>
                  </w:tcBorders>
                  <w:noWrap w:val="0"/>
                  <w:vAlign w:val="center"/>
                </w:tcPr>
                <w:p w14:paraId="10CB2402">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900" w:type="pct"/>
                  <w:tcBorders>
                    <w:top w:val="single" w:color="auto" w:sz="4" w:space="0"/>
                    <w:bottom w:val="single" w:color="auto" w:sz="4" w:space="0"/>
                  </w:tcBorders>
                  <w:noWrap w:val="0"/>
                  <w:vAlign w:val="center"/>
                </w:tcPr>
                <w:p w14:paraId="09612DE8">
                  <w:pPr>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总则</w:t>
                  </w:r>
                </w:p>
              </w:tc>
              <w:tc>
                <w:tcPr>
                  <w:tcW w:w="3748" w:type="pct"/>
                  <w:noWrap w:val="0"/>
                  <w:vAlign w:val="center"/>
                </w:tcPr>
                <w:p w14:paraId="7929249D">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明确编制目的、编制依据、适用范围、预案体系和工作原则</w:t>
                  </w:r>
                </w:p>
              </w:tc>
            </w:tr>
            <w:tr w14:paraId="2961BB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745" w:hRule="exact"/>
              </w:trPr>
              <w:tc>
                <w:tcPr>
                  <w:tcW w:w="351" w:type="pct"/>
                  <w:tcBorders>
                    <w:top w:val="single" w:color="auto" w:sz="4" w:space="0"/>
                  </w:tcBorders>
                  <w:noWrap w:val="0"/>
                  <w:vAlign w:val="center"/>
                </w:tcPr>
                <w:p w14:paraId="6495534E">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900" w:type="pct"/>
                  <w:tcBorders>
                    <w:top w:val="single" w:color="auto" w:sz="4" w:space="0"/>
                  </w:tcBorders>
                  <w:noWrap w:val="0"/>
                  <w:vAlign w:val="center"/>
                </w:tcPr>
                <w:p w14:paraId="7F903BD7">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组织机构及职责</w:t>
                  </w:r>
                </w:p>
              </w:tc>
              <w:tc>
                <w:tcPr>
                  <w:tcW w:w="3748" w:type="pct"/>
                  <w:noWrap w:val="0"/>
                  <w:vAlign w:val="center"/>
                </w:tcPr>
                <w:p w14:paraId="623D3165">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明确应急组织机构体系、成员单位及负责人、工作职责、辅以图、表形式表示</w:t>
                  </w:r>
                </w:p>
              </w:tc>
            </w:tr>
            <w:tr w14:paraId="569196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123F5DAB">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3</w:t>
                  </w:r>
                </w:p>
              </w:tc>
              <w:tc>
                <w:tcPr>
                  <w:tcW w:w="900" w:type="pct"/>
                  <w:noWrap w:val="0"/>
                  <w:vAlign w:val="center"/>
                </w:tcPr>
                <w:p w14:paraId="60E3CAC2">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监控预警</w:t>
                  </w:r>
                </w:p>
              </w:tc>
              <w:tc>
                <w:tcPr>
                  <w:tcW w:w="3748" w:type="pct"/>
                  <w:noWrap w:val="0"/>
                  <w:vAlign w:val="center"/>
                </w:tcPr>
                <w:p w14:paraId="54C45F63">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监控、预警</w:t>
                  </w:r>
                </w:p>
              </w:tc>
            </w:tr>
            <w:tr w14:paraId="3EA652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263CF3FB">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900" w:type="pct"/>
                  <w:noWrap w:val="0"/>
                  <w:vAlign w:val="center"/>
                </w:tcPr>
                <w:p w14:paraId="017D47C9">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信息报告</w:t>
                  </w:r>
                </w:p>
              </w:tc>
              <w:tc>
                <w:tcPr>
                  <w:tcW w:w="3748" w:type="pct"/>
                  <w:noWrap w:val="0"/>
                  <w:vAlign w:val="center"/>
                </w:tcPr>
                <w:p w14:paraId="110A1CE8">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信息报告程序、信息报告内容及方式</w:t>
                  </w:r>
                </w:p>
              </w:tc>
            </w:tr>
            <w:tr w14:paraId="0F6032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647EA11A">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900" w:type="pct"/>
                  <w:noWrap w:val="0"/>
                  <w:vAlign w:val="center"/>
                </w:tcPr>
                <w:p w14:paraId="001CE391">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环境应急监测</w:t>
                  </w:r>
                </w:p>
              </w:tc>
              <w:tc>
                <w:tcPr>
                  <w:tcW w:w="3748" w:type="pct"/>
                  <w:noWrap w:val="0"/>
                  <w:vAlign w:val="center"/>
                </w:tcPr>
                <w:p w14:paraId="454A57CB">
                  <w:pPr>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制定不同突发环境事件情景下的环境应急监测方案</w:t>
                  </w:r>
                </w:p>
              </w:tc>
            </w:tr>
            <w:tr w14:paraId="28BD35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7B2709E2">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w:t>
                  </w:r>
                </w:p>
              </w:tc>
              <w:tc>
                <w:tcPr>
                  <w:tcW w:w="900" w:type="pct"/>
                  <w:noWrap w:val="0"/>
                  <w:vAlign w:val="center"/>
                </w:tcPr>
                <w:p w14:paraId="27BF0825">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环境应急响应</w:t>
                  </w:r>
                </w:p>
              </w:tc>
              <w:tc>
                <w:tcPr>
                  <w:tcW w:w="3748" w:type="pct"/>
                  <w:noWrap w:val="0"/>
                  <w:vAlign w:val="center"/>
                </w:tcPr>
                <w:p w14:paraId="756684C9">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明确响应程序、响应分级、应急启动、应急处置</w:t>
                  </w:r>
                </w:p>
              </w:tc>
            </w:tr>
            <w:tr w14:paraId="02CF0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725" w:hRule="exact"/>
              </w:trPr>
              <w:tc>
                <w:tcPr>
                  <w:tcW w:w="351" w:type="pct"/>
                  <w:noWrap w:val="0"/>
                  <w:vAlign w:val="center"/>
                </w:tcPr>
                <w:p w14:paraId="1E22E2A4">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w:t>
                  </w:r>
                </w:p>
              </w:tc>
              <w:tc>
                <w:tcPr>
                  <w:tcW w:w="900" w:type="pct"/>
                  <w:noWrap w:val="0"/>
                  <w:vAlign w:val="center"/>
                </w:tcPr>
                <w:p w14:paraId="17C4DD15">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应急终止</w:t>
                  </w:r>
                </w:p>
              </w:tc>
              <w:tc>
                <w:tcPr>
                  <w:tcW w:w="3748" w:type="pct"/>
                  <w:noWrap w:val="0"/>
                  <w:vAlign w:val="center"/>
                </w:tcPr>
                <w:p w14:paraId="16EF5FF4">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明确应急终止的条件、程序和责任人，说明应急状态终止后，继续进行跟踪环境监测和评估工作的方案</w:t>
                  </w:r>
                </w:p>
              </w:tc>
            </w:tr>
            <w:tr w14:paraId="747957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755" w:hRule="exact"/>
              </w:trPr>
              <w:tc>
                <w:tcPr>
                  <w:tcW w:w="351" w:type="pct"/>
                  <w:noWrap w:val="0"/>
                  <w:vAlign w:val="center"/>
                </w:tcPr>
                <w:p w14:paraId="78D2B405">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w:t>
                  </w:r>
                </w:p>
              </w:tc>
              <w:tc>
                <w:tcPr>
                  <w:tcW w:w="900" w:type="pct"/>
                  <w:noWrap w:val="0"/>
                  <w:vAlign w:val="center"/>
                </w:tcPr>
                <w:p w14:paraId="00FB0717">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事后恢复</w:t>
                  </w:r>
                </w:p>
              </w:tc>
              <w:tc>
                <w:tcPr>
                  <w:tcW w:w="3748" w:type="pct"/>
                  <w:noWrap w:val="0"/>
                  <w:vAlign w:val="center"/>
                </w:tcPr>
                <w:p w14:paraId="6603FFE6">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lang w:eastAsia="zh-CN"/>
                    </w:rPr>
                    <w:t>妥善处置。应明确现场污染物的后续处置措施以及环境应急相关设施、设备、场所的维护措施，开展事件调查和总结。必要时委托第三方机构开展</w:t>
                  </w:r>
                  <w:r>
                    <w:rPr>
                      <w:rFonts w:hint="default" w:ascii="Times New Roman" w:hAnsi="Times New Roman" w:cs="Times New Roman"/>
                      <w:color w:val="auto"/>
                      <w:sz w:val="21"/>
                      <w:szCs w:val="21"/>
                      <w:lang w:val="en-US" w:eastAsia="zh-CN"/>
                    </w:rPr>
                    <w:t>生态</w:t>
                  </w:r>
                  <w:r>
                    <w:rPr>
                      <w:rFonts w:hint="default" w:ascii="Times New Roman" w:hAnsi="Times New Roman" w:eastAsia="宋体" w:cs="Times New Roman"/>
                      <w:color w:val="auto"/>
                      <w:sz w:val="21"/>
                      <w:szCs w:val="21"/>
                      <w:lang w:eastAsia="zh-CN"/>
                    </w:rPr>
                    <w:t>环境损害鉴定评估。</w:t>
                  </w:r>
                </w:p>
                <w:p w14:paraId="4F16180D">
                  <w:pPr>
                    <w:jc w:val="left"/>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lang w:eastAsia="zh-CN"/>
                    </w:rPr>
                    <w:t>保险理赔。对工业园区环境应急人员办理意外伤害保险，对可能引起环境污染的企事业单位，应依法办理相关责任险或其他险种，突发环境事件发生后，及时做好理赔工作。</w:t>
                  </w:r>
                </w:p>
              </w:tc>
            </w:tr>
            <w:tr w14:paraId="7A105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10" w:hRule="exact"/>
              </w:trPr>
              <w:tc>
                <w:tcPr>
                  <w:tcW w:w="351" w:type="pct"/>
                  <w:noWrap w:val="0"/>
                  <w:vAlign w:val="center"/>
                </w:tcPr>
                <w:p w14:paraId="0A51D447">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w:t>
                  </w:r>
                </w:p>
              </w:tc>
              <w:tc>
                <w:tcPr>
                  <w:tcW w:w="900" w:type="pct"/>
                  <w:noWrap w:val="0"/>
                  <w:vAlign w:val="center"/>
                </w:tcPr>
                <w:p w14:paraId="0B47D25A">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保障措施</w:t>
                  </w:r>
                </w:p>
              </w:tc>
              <w:tc>
                <w:tcPr>
                  <w:tcW w:w="3748" w:type="pct"/>
                  <w:noWrap w:val="0"/>
                  <w:vAlign w:val="center"/>
                </w:tcPr>
                <w:p w14:paraId="29EB865A">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根据环境应急工作需求确定的相关保障措施，包括经费保障、制度保障、应急物资装备保障、应急队伍保障、通信与信息保障等。</w:t>
                  </w:r>
                </w:p>
              </w:tc>
            </w:tr>
            <w:tr w14:paraId="1512D4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0" w:hRule="exact"/>
              </w:trPr>
              <w:tc>
                <w:tcPr>
                  <w:tcW w:w="351" w:type="pct"/>
                  <w:noWrap w:val="0"/>
                  <w:vAlign w:val="center"/>
                </w:tcPr>
                <w:p w14:paraId="016BF3C4">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w:t>
                  </w:r>
                </w:p>
              </w:tc>
              <w:tc>
                <w:tcPr>
                  <w:tcW w:w="900" w:type="pct"/>
                  <w:noWrap w:val="0"/>
                  <w:vAlign w:val="center"/>
                </w:tcPr>
                <w:p w14:paraId="502A2188">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预案管理</w:t>
                  </w:r>
                </w:p>
              </w:tc>
              <w:tc>
                <w:tcPr>
                  <w:tcW w:w="3748" w:type="pct"/>
                  <w:noWrap w:val="0"/>
                  <w:vAlign w:val="center"/>
                </w:tcPr>
                <w:p w14:paraId="529A3AB5">
                  <w:pPr>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明确环境应急预案培训、演练、评估修订等要求。</w:t>
                  </w:r>
                </w:p>
              </w:tc>
            </w:tr>
          </w:tbl>
          <w:p w14:paraId="21F26D01">
            <w:pPr>
              <w:adjustRightInd w:val="0"/>
              <w:snapToGrid w:val="0"/>
              <w:spacing w:line="360" w:lineRule="auto"/>
              <w:ind w:firstLine="420" w:firstLineChars="200"/>
              <w:rPr>
                <w:rFonts w:hint="default"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）应急要求</w:t>
            </w:r>
          </w:p>
          <w:p w14:paraId="69C26322">
            <w:pPr>
              <w:adjustRightInd w:val="0"/>
              <w:snapToGrid w:val="0"/>
              <w:spacing w:line="360" w:lineRule="auto"/>
              <w:ind w:firstLine="420" w:firstLineChars="20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①企业应急队伍要进行专业培训，并要有培训记录和档案：同时，加强各应急救援专业队伍的建设，配备相应器材并确保设备性能完好，保证与相城经济开发区各级应急预案相衔接与联动有效，接受上级应急机构的指导。</w:t>
            </w:r>
          </w:p>
          <w:p w14:paraId="0532A1EE">
            <w:pPr>
              <w:adjustRightInd w:val="0"/>
              <w:snapToGrid w:val="0"/>
              <w:spacing w:line="360" w:lineRule="auto"/>
              <w:ind w:firstLine="420" w:firstLineChars="20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②针对应急救援，</w:t>
            </w:r>
            <w:r>
              <w:rPr>
                <w:rFonts w:hint="default" w:ascii="Times New Roman" w:hAnsi="Times New Roman" w:cs="Times New Roman"/>
                <w:b w:val="0"/>
                <w:bCs/>
                <w:color w:val="auto"/>
                <w:sz w:val="21"/>
                <w:szCs w:val="21"/>
                <w:lang w:val="en-US" w:eastAsia="zh-CN"/>
              </w:rPr>
              <w:t>参照</w:t>
            </w:r>
            <w:r>
              <w:rPr>
                <w:rFonts w:hint="default" w:ascii="Times New Roman" w:hAnsi="Times New Roman" w:cs="Times New Roman"/>
                <w:b w:val="0"/>
                <w:bCs/>
                <w:color w:val="auto"/>
                <w:sz w:val="21"/>
                <w:szCs w:val="21"/>
              </w:rPr>
              <w:t>《危险化学品单位应急救援物资配备要求》（GB 30077-2023）</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rPr>
              <w:t>企业应配备相应的应急救援物资，如</w:t>
            </w:r>
            <w:r>
              <w:rPr>
                <w:rFonts w:hint="default" w:ascii="Times New Roman" w:hAnsi="Times New Roman" w:cs="Times New Roman"/>
                <w:b w:val="0"/>
                <w:bCs/>
                <w:color w:val="auto"/>
                <w:sz w:val="21"/>
                <w:szCs w:val="21"/>
                <w:lang w:val="en-US" w:eastAsia="zh-CN"/>
              </w:rPr>
              <w:t>对讲机、急救箱或急救包、自吸过滤式防毒面具、防护服、手电筒、应急处置工具箱等</w:t>
            </w:r>
            <w:r>
              <w:rPr>
                <w:rFonts w:hint="default" w:ascii="Times New Roman" w:hAnsi="Times New Roman" w:cs="Times New Roman"/>
                <w:b w:val="0"/>
                <w:bCs/>
                <w:color w:val="auto"/>
                <w:sz w:val="21"/>
                <w:szCs w:val="21"/>
              </w:rPr>
              <w:t>。当有事故发生时，能协助参与应急救援。</w:t>
            </w:r>
          </w:p>
          <w:p w14:paraId="2A76FF5A">
            <w:pPr>
              <w:adjustRightInd w:val="0"/>
              <w:snapToGrid w:val="0"/>
              <w:spacing w:line="360" w:lineRule="auto"/>
              <w:ind w:firstLine="420" w:firstLineChars="20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③发生火灾事故后，会产生大量的事故废水，这些废水必须进入单独的应急事故池收集以便后续处理。</w:t>
            </w:r>
          </w:p>
          <w:p w14:paraId="140238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b w:val="0"/>
                <w:bCs w:val="0"/>
                <w:color w:val="auto"/>
                <w:szCs w:val="21"/>
              </w:rPr>
            </w:pPr>
            <w:r>
              <w:rPr>
                <w:b w:val="0"/>
                <w:bCs w:val="0"/>
                <w:color w:val="auto"/>
                <w:szCs w:val="21"/>
              </w:rPr>
              <w:t>（</w:t>
            </w:r>
            <w:r>
              <w:rPr>
                <w:rFonts w:hint="eastAsia"/>
                <w:b w:val="0"/>
                <w:bCs w:val="0"/>
                <w:color w:val="auto"/>
                <w:szCs w:val="21"/>
                <w:lang w:val="en-US" w:eastAsia="zh-CN"/>
              </w:rPr>
              <w:t>6</w:t>
            </w:r>
            <w:r>
              <w:rPr>
                <w:b w:val="0"/>
                <w:bCs w:val="0"/>
                <w:color w:val="auto"/>
                <w:szCs w:val="21"/>
              </w:rPr>
              <w:t>）环境风险防范应急措施</w:t>
            </w:r>
          </w:p>
          <w:p w14:paraId="129A9D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r>
              <w:rPr>
                <w:rFonts w:hint="eastAsia"/>
                <w:color w:val="auto"/>
              </w:rPr>
              <w:t>①加强操作人员工作素质，对废气处理装置的日常运行维护，保证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7E078C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r>
              <w:rPr>
                <w:rFonts w:hint="eastAsia"/>
                <w:color w:val="auto"/>
              </w:rPr>
              <w:t>②为确保处理效率，在车间设备检修期间，废气处理设施也应同时进行检修，日常应有专人负责进行维护。</w:t>
            </w:r>
          </w:p>
          <w:p w14:paraId="4E4718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事故应急池设计：参照《化工建设项目环境保护设计规范》（GB50483-2009）应急事故池的设置标准，应急事故水池应考虑多种因素确定。</w:t>
            </w:r>
          </w:p>
          <w:p w14:paraId="433F4E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根据《事故状态下水体污染的预防与控制技术要求》（Q/SY 1190-2013），事故应急池总有效容积：</w:t>
            </w:r>
          </w:p>
          <w:p w14:paraId="6B23F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V总=（V1+V2-V3）max+V4+V5</w:t>
            </w:r>
          </w:p>
          <w:p w14:paraId="515F60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m:oMathPara>
              <m:oMath>
                <m:sSub>
                  <m:sSubPr>
                    <m:ctrlPr>
                      <w:rPr>
                        <w:rFonts w:hint="default" w:ascii="Cambria Math" w:hAnsi="Cambria Math" w:cs="Times New Roman"/>
                        <w:color w:val="auto"/>
                      </w:rPr>
                    </m:ctrlPr>
                  </m:sSubPr>
                  <m:e>
                    <m:r>
                      <m:rPr>
                        <m:sty m:val="p"/>
                      </m:rPr>
                      <w:rPr>
                        <w:rFonts w:hint="default" w:ascii="Cambria Math" w:hAnsi="Cambria Math" w:cs="Times New Roman"/>
                        <w:color w:val="auto"/>
                      </w:rPr>
                      <m:t>V</m:t>
                    </m:r>
                    <m:ctrlPr>
                      <w:rPr>
                        <w:rFonts w:hint="default" w:ascii="Cambria Math" w:hAnsi="Cambria Math" w:cs="Times New Roman"/>
                        <w:color w:val="auto"/>
                      </w:rPr>
                    </m:ctrlPr>
                  </m:e>
                  <m:sub>
                    <m:r>
                      <m:rPr>
                        <m:sty m:val="p"/>
                      </m:rPr>
                      <w:rPr>
                        <w:rFonts w:hint="default" w:ascii="Cambria Math" w:hAnsi="Cambria Math" w:cs="Times New Roman"/>
                        <w:color w:val="auto"/>
                      </w:rPr>
                      <m:t>2</m:t>
                    </m:r>
                    <m:ctrlPr>
                      <w:rPr>
                        <w:rFonts w:hint="default" w:ascii="Cambria Math" w:hAnsi="Cambria Math" w:cs="Times New Roman"/>
                        <w:color w:val="auto"/>
                      </w:rPr>
                    </m:ctrlPr>
                  </m:sub>
                </m:sSub>
                <m:r>
                  <m:rPr>
                    <m:sty m:val="p"/>
                  </m:rPr>
                  <w:rPr>
                    <w:rFonts w:hint="default" w:ascii="Cambria Math" w:hAnsi="Cambria Math" w:cs="Times New Roman"/>
                    <w:color w:val="auto"/>
                  </w:rPr>
                  <m:t>=∑</m:t>
                </m:r>
                <m:sSub>
                  <m:sSubPr>
                    <m:ctrlPr>
                      <w:rPr>
                        <w:rFonts w:hint="default" w:ascii="Cambria Math" w:hAnsi="Cambria Math" w:cs="Times New Roman"/>
                        <w:color w:val="auto"/>
                      </w:rPr>
                    </m:ctrlPr>
                  </m:sSubPr>
                  <m:e>
                    <m:r>
                      <m:rPr>
                        <m:sty m:val="p"/>
                      </m:rPr>
                      <w:rPr>
                        <w:rFonts w:hint="default" w:ascii="Cambria Math" w:hAnsi="Cambria Math" w:cs="Times New Roman"/>
                        <w:color w:val="auto"/>
                      </w:rPr>
                      <m:t>Q</m:t>
                    </m:r>
                    <m:ctrlPr>
                      <w:rPr>
                        <w:rFonts w:hint="default" w:ascii="Cambria Math" w:hAnsi="Cambria Math" w:cs="Times New Roman"/>
                        <w:color w:val="auto"/>
                      </w:rPr>
                    </m:ctrlPr>
                  </m:e>
                  <m:sub>
                    <m:r>
                      <m:rPr>
                        <m:sty m:val="p"/>
                      </m:rPr>
                      <w:rPr>
                        <w:rFonts w:hint="default" w:ascii="Cambria Math" w:hAnsi="Cambria Math" w:cs="Times New Roman"/>
                        <w:color w:val="auto"/>
                      </w:rPr>
                      <m:t>消</m:t>
                    </m:r>
                    <m:ctrlPr>
                      <w:rPr>
                        <w:rFonts w:hint="default" w:ascii="Cambria Math" w:hAnsi="Cambria Math" w:cs="Times New Roman"/>
                        <w:color w:val="auto"/>
                      </w:rPr>
                    </m:ctrlPr>
                  </m:sub>
                </m:sSub>
                <m:r>
                  <m:rPr>
                    <m:sty m:val="p"/>
                  </m:rPr>
                  <w:rPr>
                    <w:rFonts w:hint="default" w:ascii="Cambria Math" w:hAnsi="Cambria Math" w:cs="Times New Roman"/>
                    <w:color w:val="auto"/>
                  </w:rPr>
                  <m:t>.</m:t>
                </m:r>
                <m:sSub>
                  <m:sSubPr>
                    <m:ctrlPr>
                      <w:rPr>
                        <w:rFonts w:hint="default" w:ascii="Cambria Math" w:hAnsi="Cambria Math" w:cs="Times New Roman"/>
                        <w:color w:val="auto"/>
                      </w:rPr>
                    </m:ctrlPr>
                  </m:sSubPr>
                  <m:e>
                    <m:r>
                      <m:rPr>
                        <m:sty m:val="p"/>
                      </m:rPr>
                      <w:rPr>
                        <w:rFonts w:hint="default" w:ascii="Cambria Math" w:hAnsi="Cambria Math" w:cs="Times New Roman"/>
                        <w:color w:val="auto"/>
                      </w:rPr>
                      <m:t>t</m:t>
                    </m:r>
                    <m:ctrlPr>
                      <w:rPr>
                        <w:rFonts w:hint="default" w:ascii="Cambria Math" w:hAnsi="Cambria Math" w:cs="Times New Roman"/>
                        <w:color w:val="auto"/>
                      </w:rPr>
                    </m:ctrlPr>
                  </m:e>
                  <m:sub>
                    <m:r>
                      <m:rPr>
                        <m:sty m:val="p"/>
                      </m:rPr>
                      <w:rPr>
                        <w:rFonts w:hint="default" w:ascii="Cambria Math" w:hAnsi="Cambria Math" w:cs="Times New Roman"/>
                        <w:color w:val="auto"/>
                      </w:rPr>
                      <m:t>消</m:t>
                    </m:r>
                    <m:ctrlPr>
                      <w:rPr>
                        <w:rFonts w:hint="default" w:ascii="Cambria Math" w:hAnsi="Cambria Math" w:cs="Times New Roman"/>
                        <w:color w:val="auto"/>
                      </w:rPr>
                    </m:ctrlPr>
                  </m:sub>
                </m:sSub>
              </m:oMath>
            </m:oMathPara>
          </w:p>
          <w:p w14:paraId="5E6971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rPr>
            </w:pPr>
            <m:oMathPara>
              <m:oMath>
                <m:sSub>
                  <m:sSubPr>
                    <m:ctrlPr>
                      <w:rPr>
                        <w:rFonts w:hint="default" w:ascii="Cambria Math" w:hAnsi="Cambria Math" w:cs="Times New Roman"/>
                        <w:color w:val="auto"/>
                      </w:rPr>
                    </m:ctrlPr>
                  </m:sSubPr>
                  <m:e>
                    <m:r>
                      <m:rPr>
                        <m:sty m:val="p"/>
                      </m:rPr>
                      <w:rPr>
                        <w:rFonts w:hint="default" w:ascii="Cambria Math" w:hAnsi="Cambria Math" w:cs="Times New Roman"/>
                        <w:color w:val="auto"/>
                      </w:rPr>
                      <m:t>V</m:t>
                    </m:r>
                    <m:ctrlPr>
                      <w:rPr>
                        <w:rFonts w:hint="default" w:ascii="Cambria Math" w:hAnsi="Cambria Math" w:cs="Times New Roman"/>
                        <w:color w:val="auto"/>
                      </w:rPr>
                    </m:ctrlPr>
                  </m:e>
                  <m:sub>
                    <m:r>
                      <m:rPr>
                        <m:sty m:val="p"/>
                      </m:rPr>
                      <w:rPr>
                        <w:rFonts w:hint="default" w:ascii="Cambria Math" w:hAnsi="Cambria Math" w:cs="Times New Roman"/>
                        <w:color w:val="auto"/>
                      </w:rPr>
                      <m:t>5</m:t>
                    </m:r>
                    <m:ctrlPr>
                      <w:rPr>
                        <w:rFonts w:hint="default" w:ascii="Cambria Math" w:hAnsi="Cambria Math" w:cs="Times New Roman"/>
                        <w:color w:val="auto"/>
                      </w:rPr>
                    </m:ctrlPr>
                  </m:sub>
                </m:sSub>
                <m:r>
                  <m:rPr>
                    <m:sty m:val="p"/>
                  </m:rPr>
                  <w:rPr>
                    <w:rFonts w:hint="default" w:ascii="Cambria Math" w:hAnsi="Cambria Math" w:cs="Times New Roman"/>
                    <w:color w:val="auto"/>
                  </w:rPr>
                  <m:t>=10q.f</m:t>
                </m:r>
              </m:oMath>
            </m:oMathPara>
          </w:p>
          <w:p w14:paraId="67B428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rPr>
            </w:pPr>
            <m:oMathPara>
              <m:oMath>
                <m:r>
                  <m:rPr>
                    <m:sty m:val="p"/>
                  </m:rPr>
                  <w:rPr>
                    <w:rFonts w:hint="default" w:ascii="Cambria Math" w:hAnsi="Cambria Math" w:cs="Times New Roman"/>
                    <w:color w:val="auto"/>
                  </w:rPr>
                  <m:t>q=</m:t>
                </m:r>
                <m:f>
                  <m:fPr>
                    <m:ctrlPr>
                      <w:rPr>
                        <w:rFonts w:hint="default" w:ascii="Cambria Math" w:hAnsi="Cambria Math" w:cs="Times New Roman"/>
                        <w:color w:val="auto"/>
                      </w:rPr>
                    </m:ctrlPr>
                  </m:fPr>
                  <m:num>
                    <m:sSub>
                      <m:sSubPr>
                        <m:ctrlPr>
                          <w:rPr>
                            <w:rFonts w:hint="default" w:ascii="Cambria Math" w:hAnsi="Cambria Math" w:cs="Times New Roman"/>
                            <w:color w:val="auto"/>
                          </w:rPr>
                        </m:ctrlPr>
                      </m:sSubPr>
                      <m:e>
                        <m:r>
                          <m:rPr>
                            <m:sty m:val="p"/>
                          </m:rPr>
                          <w:rPr>
                            <w:rFonts w:hint="default" w:ascii="Cambria Math" w:hAnsi="Cambria Math" w:cs="Times New Roman"/>
                            <w:color w:val="auto"/>
                          </w:rPr>
                          <m:t>q</m:t>
                        </m:r>
                        <m:ctrlPr>
                          <w:rPr>
                            <w:rFonts w:hint="default" w:ascii="Cambria Math" w:hAnsi="Cambria Math" w:cs="Times New Roman"/>
                            <w:color w:val="auto"/>
                          </w:rPr>
                        </m:ctrlPr>
                      </m:e>
                      <m:sub>
                        <m:r>
                          <m:rPr>
                            <m:sty m:val="p"/>
                          </m:rPr>
                          <w:rPr>
                            <w:rFonts w:hint="default" w:ascii="Cambria Math" w:hAnsi="Cambria Math" w:cs="Times New Roman"/>
                            <w:color w:val="auto"/>
                          </w:rPr>
                          <m:t>a</m:t>
                        </m:r>
                        <m:ctrlPr>
                          <w:rPr>
                            <w:rFonts w:hint="default" w:ascii="Cambria Math" w:hAnsi="Cambria Math" w:cs="Times New Roman"/>
                            <w:color w:val="auto"/>
                          </w:rPr>
                        </m:ctrlPr>
                      </m:sub>
                    </m:sSub>
                    <m:ctrlPr>
                      <w:rPr>
                        <w:rFonts w:hint="default" w:ascii="Cambria Math" w:hAnsi="Cambria Math" w:cs="Times New Roman"/>
                        <w:color w:val="auto"/>
                      </w:rPr>
                    </m:ctrlPr>
                  </m:num>
                  <m:den>
                    <m:r>
                      <m:rPr>
                        <m:sty m:val="p"/>
                      </m:rPr>
                      <w:rPr>
                        <w:rFonts w:hint="default" w:ascii="Cambria Math" w:hAnsi="Cambria Math" w:cs="Times New Roman"/>
                        <w:color w:val="auto"/>
                      </w:rPr>
                      <m:t>n</m:t>
                    </m:r>
                    <m:ctrlPr>
                      <w:rPr>
                        <w:rFonts w:hint="default" w:ascii="Cambria Math" w:hAnsi="Cambria Math" w:cs="Times New Roman"/>
                        <w:color w:val="auto"/>
                      </w:rPr>
                    </m:ctrlPr>
                  </m:den>
                </m:f>
              </m:oMath>
            </m:oMathPara>
          </w:p>
          <w:p w14:paraId="50DB05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w:t>
            </w:r>
          </w:p>
          <w:p w14:paraId="0A8C57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V1—收集系统范围内发生事故的罐组或装置的物料量；本项目V1=</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m³；</w:t>
            </w:r>
          </w:p>
          <w:p w14:paraId="5E72F5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V2—发生事故的储罐或装置的消防水量，m³；根据《消防给水及消火栓系统技术规范》（GB50974-2014）等技术规范，本项目室内消防水量为10L/s，废水量为108m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/次，室外消防水量为20L/s，火灾延续时间为3h，废水量为216m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/次，则废水总量为324m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p>
          <w:p w14:paraId="5A1B79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Q消—发生事故的储罐、装置或铁路、汽车装卸区同时使用的消防设施给水流量，m³/h；</w:t>
            </w:r>
          </w:p>
          <w:p w14:paraId="6CFEB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t消—消防设施对应的设计消防历时，h；</w:t>
            </w:r>
          </w:p>
          <w:p w14:paraId="119903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V3—发生事故时可以转输到其他储存或处理设施的物料量，m³；全厂雨水管线约</w:t>
            </w:r>
            <w:r>
              <w:rPr>
                <w:rFonts w:hint="eastAsia" w:ascii="Times New Roman" w:hAnsi="Times New Roman" w:cs="Times New Roman"/>
                <w:color w:val="auto"/>
                <w:lang w:val="en-US" w:eastAsia="zh-CN"/>
              </w:rPr>
              <w:t>1500</w:t>
            </w:r>
            <w:r>
              <w:rPr>
                <w:rFonts w:hint="default" w:ascii="Times New Roman" w:hAnsi="Times New Roman" w:cs="Times New Roman"/>
                <w:color w:val="auto"/>
                <w:lang w:val="en-US" w:eastAsia="zh-CN"/>
              </w:rPr>
              <w:t>m（管径DN0.5m），故V</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295</w:t>
            </w:r>
            <w:r>
              <w:rPr>
                <w:rFonts w:hint="default" w:ascii="Times New Roman" w:hAnsi="Times New Roman" w:cs="Times New Roman"/>
                <w:color w:val="auto"/>
                <w:lang w:val="en-US" w:eastAsia="zh-CN"/>
              </w:rPr>
              <w:t>m³。</w:t>
            </w:r>
          </w:p>
          <w:p w14:paraId="4DEE57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V4—发生事故时仍必须进入该收集系统的生产废水量，m³；生产废水经事故应急池池收集，故发生事故时仍必须进入该系统的废水量V4＝0。</w:t>
            </w:r>
          </w:p>
          <w:p w14:paraId="327B6B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V5—发生事故时可能进入该收集系统的降雨量，m³；则降雨量计算为</w:t>
            </w:r>
            <w:r>
              <w:rPr>
                <w:rFonts w:hint="eastAsia" w:ascii="Times New Roman" w:hAnsi="Times New Roman" w:cs="Times New Roman"/>
                <w:color w:val="auto"/>
                <w:lang w:val="en-US" w:eastAsia="zh-CN"/>
              </w:rPr>
              <w:t>85.3</w:t>
            </w:r>
            <w:r>
              <w:rPr>
                <w:rFonts w:hint="default" w:ascii="Times New Roman" w:hAnsi="Times New Roman" w:cs="Times New Roman"/>
                <w:color w:val="auto"/>
                <w:lang w:val="en-US" w:eastAsia="zh-CN"/>
              </w:rPr>
              <w:t>m³。</w:t>
            </w:r>
          </w:p>
          <w:p w14:paraId="6BBEB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q—降雨强度，按平均日降雨量，mm；q=8.53mm。</w:t>
            </w:r>
          </w:p>
          <w:p w14:paraId="5D7A84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qa—年平均降雨量，mm；年降水量平均1025mm。</w:t>
            </w:r>
          </w:p>
          <w:p w14:paraId="549183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n—年平均降雨日数；年雨日平均120天。</w:t>
            </w:r>
          </w:p>
          <w:p w14:paraId="47EE66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f—必须进入事故废水收集系统的雨水汇水面积，</w:t>
            </w:r>
            <w:r>
              <w:rPr>
                <w:rFonts w:hint="eastAsia" w:ascii="Times New Roman" w:hAnsi="Times New Roman" w:cs="Times New Roman"/>
                <w:color w:val="auto"/>
                <w:lang w:val="en-US" w:eastAsia="zh-CN"/>
              </w:rPr>
              <w:t>全厂汇水面积约10000m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；f取</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ha。</w:t>
            </w:r>
          </w:p>
          <w:p w14:paraId="1699BF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通过以上基础数据可计算得本项目的事故池容积约为：</w:t>
            </w:r>
          </w:p>
          <w:p w14:paraId="6C853C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V总＝（V1+V2-V3）max+V4+V5＝</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+324–</w:t>
            </w:r>
            <w:r>
              <w:rPr>
                <w:rFonts w:hint="eastAsia" w:ascii="Times New Roman" w:hAnsi="Times New Roman" w:cs="Times New Roman"/>
                <w:color w:val="auto"/>
                <w:lang w:val="en-US" w:eastAsia="zh-CN"/>
              </w:rPr>
              <w:t>295</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85.3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114.3</w:t>
            </w:r>
            <w:r>
              <w:rPr>
                <w:rFonts w:hint="default" w:ascii="Times New Roman" w:hAnsi="Times New Roman" w:cs="Times New Roman"/>
                <w:color w:val="auto"/>
                <w:lang w:val="en-US" w:eastAsia="zh-CN"/>
              </w:rPr>
              <w:t>m³</w:t>
            </w:r>
          </w:p>
          <w:p w14:paraId="1623E9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auto"/>
                <w:lang w:eastAsia="zh-CN"/>
              </w:rPr>
            </w:pPr>
            <w:r>
              <w:rPr>
                <w:color w:val="auto"/>
              </w:rPr>
              <w:t>综上所述</w:t>
            </w:r>
            <w:r>
              <w:rPr>
                <w:rFonts w:hint="eastAsia"/>
                <w:color w:val="auto"/>
                <w:lang w:eastAsia="zh-CN"/>
              </w:rPr>
              <w:t>，</w:t>
            </w:r>
            <w:r>
              <w:rPr>
                <w:color w:val="auto"/>
              </w:rPr>
              <w:t>本项目设计</w:t>
            </w:r>
            <w:r>
              <w:rPr>
                <w:rFonts w:hint="eastAsia"/>
                <w:color w:val="auto"/>
                <w:lang w:val="en-US" w:eastAsia="zh-CN"/>
              </w:rPr>
              <w:t>115</w:t>
            </w:r>
            <w:r>
              <w:rPr>
                <w:color w:val="auto"/>
              </w:rPr>
              <w:t>m</w:t>
            </w:r>
            <w:r>
              <w:rPr>
                <w:color w:val="auto"/>
                <w:vertAlign w:val="superscript"/>
              </w:rPr>
              <w:t>3</w:t>
            </w:r>
            <w:r>
              <w:rPr>
                <w:color w:val="auto"/>
              </w:rPr>
              <w:t>事故</w:t>
            </w:r>
            <w:r>
              <w:rPr>
                <w:rFonts w:hint="eastAsia"/>
                <w:color w:val="auto"/>
              </w:rPr>
              <w:t>应急</w:t>
            </w:r>
            <w:r>
              <w:rPr>
                <w:color w:val="auto"/>
              </w:rPr>
              <w:t>池，</w:t>
            </w:r>
            <w:r>
              <w:rPr>
                <w:color w:val="auto"/>
                <w:szCs w:val="21"/>
              </w:rPr>
              <w:t>能满足事故废水收集的要求</w:t>
            </w:r>
            <w:r>
              <w:rPr>
                <w:rFonts w:hint="eastAsia"/>
                <w:color w:val="auto"/>
                <w:szCs w:val="21"/>
                <w:lang w:eastAsia="zh-CN"/>
              </w:rPr>
              <w:t>。</w:t>
            </w:r>
          </w:p>
          <w:p w14:paraId="755997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rPr>
            </w:pPr>
            <w:r>
              <w:rPr>
                <w:color w:val="auto"/>
              </w:rPr>
              <w:t>综上分析，在各项环境风险防范措施落实到位的情况下，可降低</w:t>
            </w:r>
            <w:r>
              <w:rPr>
                <w:rFonts w:hint="eastAsia"/>
                <w:color w:val="auto"/>
              </w:rPr>
              <w:t>本项目</w:t>
            </w:r>
            <w:r>
              <w:rPr>
                <w:color w:val="auto"/>
              </w:rPr>
              <w:t>的环境风险，最大程度减少对环境可能造成的危害，项目对环境的风险影响可接受。</w:t>
            </w:r>
          </w:p>
          <w:p w14:paraId="12A4FF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本项目的应急预案应与区域突发环境事故应急预案相联动，按照“企业自救、属地为主”的原则，一旦发生环境污染事故，企业可立即进行自救，采取一切措施控制事态发展，并及时向地方人民政府报告，超出本企业应急处理能力时，应启动上一级预案，由地方政府动用社会应急救援力量，实行分级管理、分级响应和联动，充分发挥地方政府职能作用和各部门的专业优势，加强各部门的协同和合作，提高快速应对能力。</w:t>
            </w:r>
          </w:p>
          <w:p w14:paraId="0D54DF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④应急预案联动：</w:t>
            </w:r>
          </w:p>
          <w:p w14:paraId="20EF94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lang w:eastAsia="zh-CN"/>
              </w:rPr>
              <w:t>A</w:t>
            </w:r>
            <w:r>
              <w:rPr>
                <w:rFonts w:hint="default" w:ascii="Times New Roman" w:hAnsi="Times New Roman" w:cs="Times New Roman"/>
                <w:b w:val="0"/>
                <w:bCs w:val="0"/>
                <w:color w:val="auto"/>
                <w:szCs w:val="21"/>
                <w:lang w:val="en-US" w:eastAsia="zh-CN"/>
              </w:rPr>
              <w:t>.</w:t>
            </w:r>
            <w:r>
              <w:rPr>
                <w:rFonts w:hint="default" w:ascii="Times New Roman" w:hAnsi="Times New Roman" w:cs="Times New Roman"/>
                <w:b w:val="0"/>
                <w:bCs w:val="0"/>
                <w:color w:val="auto"/>
                <w:szCs w:val="21"/>
              </w:rPr>
              <w:t>与海门区突发环境事故应急预案的衔接</w:t>
            </w:r>
          </w:p>
          <w:p w14:paraId="1A681B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当突发的环境事故超出公司应急能力时，即发生一级突发环境事件时，应急总指挥应向海门生态环境局等请求支持，由海门生态环境局启动区域应急预案，公司应急小组作为其中一部分应急力量，配合上级政府应急调度和指挥。</w:t>
            </w:r>
          </w:p>
          <w:p w14:paraId="656A2A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lang w:val="en-US" w:eastAsia="zh-CN"/>
              </w:rPr>
              <w:t>B.</w:t>
            </w:r>
            <w:r>
              <w:rPr>
                <w:rFonts w:hint="default" w:ascii="Times New Roman" w:hAnsi="Times New Roman" w:cs="Times New Roman"/>
                <w:b w:val="0"/>
                <w:bCs w:val="0"/>
                <w:color w:val="auto"/>
                <w:szCs w:val="21"/>
              </w:rPr>
              <w:t>与周边企业应急预案的衔接</w:t>
            </w:r>
          </w:p>
          <w:p w14:paraId="18985A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default" w:ascii="Times New Roman" w:hAnsi="Times New Roman" w:cs="Times New Roman"/>
                <w:b w:val="0"/>
                <w:bCs w:val="0"/>
                <w:color w:val="auto"/>
                <w:szCs w:val="21"/>
              </w:rPr>
              <w:t>当公司出现应急能力不足时，如应急物资、装备、人员等，可向周边企业发出求助，请求支援，联合</w:t>
            </w:r>
            <w:r>
              <w:rPr>
                <w:rFonts w:hint="default" w:ascii="Times New Roman" w:hAnsi="Times New Roman" w:cs="Times New Roman"/>
                <w:b w:val="0"/>
                <w:bCs w:val="0"/>
                <w:color w:val="auto"/>
                <w:szCs w:val="21"/>
                <w:lang w:eastAsia="zh-CN"/>
              </w:rPr>
              <w:t>周边</w:t>
            </w:r>
            <w:r>
              <w:rPr>
                <w:rFonts w:hint="default" w:ascii="Times New Roman" w:hAnsi="Times New Roman" w:cs="Times New Roman"/>
                <w:b w:val="0"/>
                <w:bCs w:val="0"/>
                <w:color w:val="auto"/>
                <w:szCs w:val="21"/>
              </w:rPr>
              <w:t>企业的应急力量共同进行突发环境事故的应急行动。反之，若周边企业出现应急能力不足的情况下，公司的应急力量也接受其他企业的支持请求，加入周边企业</w:t>
            </w:r>
            <w:r>
              <w:rPr>
                <w:rFonts w:hint="default" w:ascii="Times New Roman" w:hAnsi="Times New Roman" w:cs="Times New Roman"/>
                <w:b w:val="0"/>
                <w:bCs w:val="0"/>
                <w:color w:val="auto"/>
                <w:szCs w:val="21"/>
                <w:lang w:eastAsia="zh-CN"/>
              </w:rPr>
              <w:t>应急联动</w:t>
            </w:r>
            <w:r>
              <w:rPr>
                <w:rFonts w:hint="default" w:ascii="Times New Roman" w:hAnsi="Times New Roman" w:cs="Times New Roman"/>
                <w:b w:val="0"/>
                <w:bCs w:val="0"/>
                <w:color w:val="auto"/>
                <w:szCs w:val="21"/>
              </w:rPr>
              <w:t>行列中。</w:t>
            </w:r>
          </w:p>
          <w:p w14:paraId="084DBF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b w:val="0"/>
                <w:bCs w:val="0"/>
                <w:color w:val="auto"/>
                <w:szCs w:val="21"/>
              </w:rPr>
            </w:pPr>
            <w:r>
              <w:rPr>
                <w:b w:val="0"/>
                <w:bCs w:val="0"/>
                <w:color w:val="auto"/>
                <w:szCs w:val="21"/>
              </w:rPr>
              <w:t>（</w:t>
            </w:r>
            <w:r>
              <w:rPr>
                <w:rFonts w:hint="eastAsia"/>
                <w:b w:val="0"/>
                <w:bCs w:val="0"/>
                <w:color w:val="auto"/>
                <w:szCs w:val="21"/>
                <w:lang w:val="en-US" w:eastAsia="zh-CN"/>
              </w:rPr>
              <w:t>7</w:t>
            </w:r>
            <w:r>
              <w:rPr>
                <w:b w:val="0"/>
                <w:bCs w:val="0"/>
                <w:color w:val="auto"/>
                <w:szCs w:val="21"/>
              </w:rPr>
              <w:t>）风险结论</w:t>
            </w:r>
          </w:p>
          <w:p w14:paraId="600103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在各环境风险防范措施落实到位的情况下，可降低建设项目的环境风险，最大程度减少对环境可能造成的危害，</w:t>
            </w:r>
            <w:r>
              <w:rPr>
                <w:rFonts w:hint="eastAsia"/>
                <w:color w:val="auto"/>
                <w:szCs w:val="21"/>
              </w:rPr>
              <w:t>本项目</w:t>
            </w:r>
            <w:r>
              <w:rPr>
                <w:color w:val="auto"/>
                <w:szCs w:val="21"/>
              </w:rPr>
              <w:t>对环境的风险影响可接受。</w:t>
            </w:r>
          </w:p>
          <w:p w14:paraId="33C5E0D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color w:val="auto"/>
                <w:kern w:val="0"/>
                <w:sz w:val="21"/>
                <w:szCs w:val="21"/>
                <w:lang w:val="en-US" w:eastAsia="zh-CN"/>
              </w:rPr>
            </w:pPr>
            <w:r>
              <w:rPr>
                <w:rFonts w:hint="eastAsia" w:eastAsia="宋体" w:cs="Times New Roman"/>
                <w:b/>
                <w:bCs/>
                <w:color w:val="auto"/>
                <w:kern w:val="0"/>
                <w:sz w:val="21"/>
                <w:szCs w:val="21"/>
                <w:lang w:val="en-US" w:eastAsia="zh-CN"/>
              </w:rPr>
              <w:t>9</w:t>
            </w:r>
            <w:r>
              <w:rPr>
                <w:rFonts w:hint="eastAsia" w:ascii="Times New Roman" w:hAnsi="Times New Roman" w:eastAsia="宋体" w:cs="Times New Roman"/>
                <w:b/>
                <w:bCs/>
                <w:color w:val="auto"/>
                <w:kern w:val="0"/>
                <w:sz w:val="21"/>
                <w:szCs w:val="21"/>
                <w:lang w:val="en-US" w:eastAsia="zh-CN"/>
              </w:rPr>
              <w:t>、</w:t>
            </w:r>
            <w:bookmarkStart w:id="10" w:name="_Hlk495177231"/>
            <w:r>
              <w:rPr>
                <w:rFonts w:hint="eastAsia" w:ascii="Times New Roman" w:hAnsi="Times New Roman" w:eastAsia="宋体" w:cs="Times New Roman"/>
                <w:b/>
                <w:bCs/>
                <w:color w:val="auto"/>
                <w:kern w:val="0"/>
                <w:sz w:val="21"/>
                <w:szCs w:val="21"/>
                <w:lang w:val="en-US" w:eastAsia="zh-CN"/>
              </w:rPr>
              <w:t>“三同时”验收监测方案</w:t>
            </w:r>
          </w:p>
          <w:bookmarkEnd w:id="10"/>
          <w:p w14:paraId="66BD6AE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表4-</w:t>
            </w:r>
            <w:r>
              <w:rPr>
                <w:rFonts w:hint="eastAsia"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9</w:t>
            </w:r>
            <w:r>
              <w:rPr>
                <w:rFonts w:hint="eastAsia" w:ascii="Times New Roman" w:hAnsi="Times New Roman" w:eastAsia="宋体" w:cs="Times New Roman"/>
                <w:b/>
                <w:bCs/>
                <w:color w:val="auto"/>
                <w:kern w:val="0"/>
                <w:sz w:val="21"/>
                <w:szCs w:val="21"/>
                <w:lang w:val="en-US" w:eastAsia="zh-CN"/>
              </w:rPr>
              <w:t>“三同时”验收监测一览表</w:t>
            </w:r>
          </w:p>
          <w:tbl>
            <w:tblPr>
              <w:tblStyle w:val="42"/>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81"/>
              <w:gridCol w:w="3668"/>
              <w:gridCol w:w="1403"/>
              <w:gridCol w:w="1022"/>
            </w:tblGrid>
            <w:tr w14:paraId="45B8B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noWrap w:val="0"/>
                  <w:vAlign w:val="center"/>
                </w:tcPr>
                <w:p w14:paraId="3B040A6A">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污染种类</w:t>
                  </w:r>
                </w:p>
              </w:tc>
              <w:tc>
                <w:tcPr>
                  <w:tcW w:w="1281" w:type="dxa"/>
                  <w:noWrap w:val="0"/>
                  <w:vAlign w:val="center"/>
                </w:tcPr>
                <w:p w14:paraId="68D432AD">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监测点位置</w:t>
                  </w:r>
                </w:p>
              </w:tc>
              <w:tc>
                <w:tcPr>
                  <w:tcW w:w="3668" w:type="dxa"/>
                  <w:noWrap w:val="0"/>
                  <w:vAlign w:val="center"/>
                </w:tcPr>
                <w:p w14:paraId="17ACC7A6">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监测项目</w:t>
                  </w:r>
                </w:p>
              </w:tc>
              <w:tc>
                <w:tcPr>
                  <w:tcW w:w="1403" w:type="dxa"/>
                  <w:noWrap w:val="0"/>
                  <w:vAlign w:val="center"/>
                </w:tcPr>
                <w:p w14:paraId="76A6EF3C">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监测频次</w:t>
                  </w:r>
                </w:p>
              </w:tc>
              <w:tc>
                <w:tcPr>
                  <w:tcW w:w="1022" w:type="dxa"/>
                  <w:noWrap w:val="0"/>
                  <w:vAlign w:val="center"/>
                </w:tcPr>
                <w:p w14:paraId="3395FF7F">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备注</w:t>
                  </w:r>
                </w:p>
              </w:tc>
            </w:tr>
            <w:tr w14:paraId="12B18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restart"/>
                  <w:noWrap w:val="0"/>
                  <w:vAlign w:val="center"/>
                </w:tcPr>
                <w:p w14:paraId="7E5411E5">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废气</w:t>
                  </w:r>
                </w:p>
              </w:tc>
              <w:tc>
                <w:tcPr>
                  <w:tcW w:w="1281" w:type="dxa"/>
                  <w:noWrap w:val="0"/>
                  <w:vAlign w:val="center"/>
                </w:tcPr>
                <w:p w14:paraId="55B4276C">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DA001</w:t>
                  </w:r>
                </w:p>
              </w:tc>
              <w:tc>
                <w:tcPr>
                  <w:tcW w:w="3668" w:type="dxa"/>
                  <w:noWrap w:val="0"/>
                  <w:vAlign w:val="center"/>
                </w:tcPr>
                <w:p w14:paraId="2FB0C9AD">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颗粒物、二氧化硫、氮氧化物、林格曼黑度、</w:t>
                  </w:r>
                  <w:r>
                    <w:rPr>
                      <w:rFonts w:hint="eastAsia" w:eastAsia="宋体" w:cs="Times New Roman"/>
                      <w:color w:val="auto"/>
                      <w:kern w:val="0"/>
                      <w:sz w:val="21"/>
                      <w:szCs w:val="21"/>
                      <w:lang w:val="en-US" w:eastAsia="zh-CN"/>
                    </w:rPr>
                    <w:t>氧含</w:t>
                  </w:r>
                  <w:r>
                    <w:rPr>
                      <w:rFonts w:hint="eastAsia" w:ascii="Times New Roman" w:hAnsi="Times New Roman" w:eastAsia="宋体" w:cs="Times New Roman"/>
                      <w:color w:val="auto"/>
                      <w:kern w:val="0"/>
                      <w:sz w:val="21"/>
                      <w:szCs w:val="21"/>
                      <w:lang w:val="en-US" w:eastAsia="zh-CN"/>
                    </w:rPr>
                    <w:t>量、低氮燃烧装置进出口效果监测</w:t>
                  </w:r>
                </w:p>
              </w:tc>
              <w:tc>
                <w:tcPr>
                  <w:tcW w:w="1403" w:type="dxa"/>
                  <w:noWrap w:val="0"/>
                  <w:vAlign w:val="center"/>
                </w:tcPr>
                <w:p w14:paraId="2A262AC4">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2天×3次/天</w:t>
                  </w:r>
                </w:p>
              </w:tc>
              <w:tc>
                <w:tcPr>
                  <w:tcW w:w="1022" w:type="dxa"/>
                  <w:noWrap w:val="0"/>
                  <w:vAlign w:val="center"/>
                </w:tcPr>
                <w:p w14:paraId="7D7C89DF">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65F5C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continue"/>
                  <w:noWrap w:val="0"/>
                  <w:vAlign w:val="center"/>
                </w:tcPr>
                <w:p w14:paraId="5708381A">
                  <w:pPr>
                    <w:jc w:val="center"/>
                    <w:rPr>
                      <w:rFonts w:hint="eastAsia" w:ascii="Times New Roman" w:hAnsi="Times New Roman" w:eastAsia="宋体" w:cs="Times New Roman"/>
                      <w:color w:val="auto"/>
                      <w:kern w:val="0"/>
                      <w:sz w:val="21"/>
                      <w:szCs w:val="21"/>
                      <w:lang w:val="en-US" w:eastAsia="zh-CN"/>
                    </w:rPr>
                  </w:pPr>
                </w:p>
              </w:tc>
              <w:tc>
                <w:tcPr>
                  <w:tcW w:w="1281" w:type="dxa"/>
                  <w:noWrap w:val="0"/>
                  <w:vAlign w:val="center"/>
                </w:tcPr>
                <w:p w14:paraId="2FFD0D44">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 xml:space="preserve">厂界 </w:t>
                  </w:r>
                </w:p>
              </w:tc>
              <w:tc>
                <w:tcPr>
                  <w:tcW w:w="3668" w:type="dxa"/>
                  <w:noWrap w:val="0"/>
                  <w:vAlign w:val="center"/>
                </w:tcPr>
                <w:p w14:paraId="0A5ABFD2">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非甲烷总烃</w:t>
                  </w:r>
                </w:p>
              </w:tc>
              <w:tc>
                <w:tcPr>
                  <w:tcW w:w="1403" w:type="dxa"/>
                  <w:noWrap w:val="0"/>
                  <w:vAlign w:val="center"/>
                </w:tcPr>
                <w:p w14:paraId="17DB52F0">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2天×3次/天</w:t>
                  </w:r>
                </w:p>
              </w:tc>
              <w:tc>
                <w:tcPr>
                  <w:tcW w:w="1022" w:type="dxa"/>
                  <w:noWrap w:val="0"/>
                  <w:vAlign w:val="center"/>
                </w:tcPr>
                <w:p w14:paraId="337DA93A">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27459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continue"/>
                  <w:noWrap w:val="0"/>
                  <w:vAlign w:val="center"/>
                </w:tcPr>
                <w:p w14:paraId="2FE3CAE3">
                  <w:pPr>
                    <w:jc w:val="center"/>
                    <w:rPr>
                      <w:rFonts w:hint="eastAsia" w:ascii="Times New Roman" w:hAnsi="Times New Roman" w:eastAsia="宋体" w:cs="Times New Roman"/>
                      <w:color w:val="auto"/>
                      <w:kern w:val="0"/>
                      <w:sz w:val="21"/>
                      <w:szCs w:val="21"/>
                      <w:lang w:val="en-US" w:eastAsia="zh-CN"/>
                    </w:rPr>
                  </w:pPr>
                </w:p>
              </w:tc>
              <w:tc>
                <w:tcPr>
                  <w:tcW w:w="1281" w:type="dxa"/>
                  <w:noWrap w:val="0"/>
                  <w:vAlign w:val="center"/>
                </w:tcPr>
                <w:p w14:paraId="127EDBF9">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车间内</w:t>
                  </w:r>
                </w:p>
              </w:tc>
              <w:tc>
                <w:tcPr>
                  <w:tcW w:w="3668" w:type="dxa"/>
                  <w:noWrap w:val="0"/>
                  <w:vAlign w:val="center"/>
                </w:tcPr>
                <w:p w14:paraId="1B97A7CC">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总悬浮颗粒物</w:t>
                  </w:r>
                </w:p>
              </w:tc>
              <w:tc>
                <w:tcPr>
                  <w:tcW w:w="1403" w:type="dxa"/>
                  <w:noWrap w:val="0"/>
                  <w:vAlign w:val="center"/>
                </w:tcPr>
                <w:p w14:paraId="11826308">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2天×3次/天</w:t>
                  </w:r>
                </w:p>
              </w:tc>
              <w:tc>
                <w:tcPr>
                  <w:tcW w:w="1022" w:type="dxa"/>
                  <w:noWrap w:val="0"/>
                  <w:vAlign w:val="center"/>
                </w:tcPr>
                <w:p w14:paraId="5BDE555B">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r>
            <w:tr w14:paraId="7BA7D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continue"/>
                  <w:noWrap w:val="0"/>
                  <w:vAlign w:val="center"/>
                </w:tcPr>
                <w:p w14:paraId="41F95F4B">
                  <w:pPr>
                    <w:jc w:val="center"/>
                    <w:rPr>
                      <w:rFonts w:hint="eastAsia" w:ascii="Times New Roman" w:hAnsi="Times New Roman" w:eastAsia="宋体" w:cs="Times New Roman"/>
                      <w:color w:val="auto"/>
                      <w:kern w:val="0"/>
                      <w:sz w:val="21"/>
                      <w:szCs w:val="21"/>
                      <w:lang w:val="en-US" w:eastAsia="zh-CN"/>
                    </w:rPr>
                  </w:pPr>
                </w:p>
              </w:tc>
              <w:tc>
                <w:tcPr>
                  <w:tcW w:w="1281" w:type="dxa"/>
                  <w:noWrap w:val="0"/>
                  <w:vAlign w:val="center"/>
                </w:tcPr>
                <w:p w14:paraId="3D2D9236">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厂区内</w:t>
                  </w:r>
                </w:p>
              </w:tc>
              <w:tc>
                <w:tcPr>
                  <w:tcW w:w="3668" w:type="dxa"/>
                  <w:noWrap w:val="0"/>
                  <w:vAlign w:val="center"/>
                </w:tcPr>
                <w:p w14:paraId="3510A9D9">
                  <w:pPr>
                    <w:jc w:val="center"/>
                    <w:rPr>
                      <w:rFonts w:hint="eastAsia" w:ascii="Times New Roman" w:hAnsi="Times New Roman" w:eastAsia="宋体" w:cs="Times New Roman"/>
                      <w:color w:val="auto"/>
                      <w:kern w:val="0"/>
                      <w:sz w:val="21"/>
                      <w:szCs w:val="21"/>
                      <w:lang w:val="en-US" w:eastAsia="zh-CN" w:bidi="ar-SA"/>
                    </w:rPr>
                  </w:pPr>
                  <w:r>
                    <w:rPr>
                      <w:rFonts w:hint="eastAsia"/>
                      <w:bCs/>
                      <w:color w:val="auto"/>
                      <w:szCs w:val="21"/>
                      <w:lang w:val="en-US" w:eastAsia="zh-CN"/>
                    </w:rPr>
                    <w:t>非甲烷总烃</w:t>
                  </w:r>
                </w:p>
              </w:tc>
              <w:tc>
                <w:tcPr>
                  <w:tcW w:w="1403" w:type="dxa"/>
                  <w:noWrap w:val="0"/>
                  <w:vAlign w:val="center"/>
                </w:tcPr>
                <w:p w14:paraId="5307800C">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2天×3次/天</w:t>
                  </w:r>
                </w:p>
              </w:tc>
              <w:tc>
                <w:tcPr>
                  <w:tcW w:w="1022" w:type="dxa"/>
                  <w:noWrap w:val="0"/>
                  <w:vAlign w:val="center"/>
                </w:tcPr>
                <w:p w14:paraId="192CF03B">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r>
            <w:tr w14:paraId="1406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restart"/>
                  <w:noWrap w:val="0"/>
                  <w:vAlign w:val="center"/>
                </w:tcPr>
                <w:p w14:paraId="17AEB831">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废水</w:t>
                  </w:r>
                </w:p>
              </w:tc>
              <w:tc>
                <w:tcPr>
                  <w:tcW w:w="1281" w:type="dxa"/>
                  <w:noWrap w:val="0"/>
                  <w:vAlign w:val="center"/>
                </w:tcPr>
                <w:p w14:paraId="2802A278">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污水总排口</w:t>
                  </w:r>
                </w:p>
              </w:tc>
              <w:tc>
                <w:tcPr>
                  <w:tcW w:w="3668" w:type="dxa"/>
                  <w:noWrap w:val="0"/>
                  <w:vAlign w:val="center"/>
                </w:tcPr>
                <w:p w14:paraId="57EC72B5">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pH、BOD</w:t>
                  </w:r>
                  <w:r>
                    <w:rPr>
                      <w:rFonts w:hint="eastAsia" w:ascii="Times New Roman" w:hAnsi="Times New Roman" w:eastAsia="宋体" w:cs="Times New Roman"/>
                      <w:color w:val="auto"/>
                      <w:kern w:val="0"/>
                      <w:sz w:val="21"/>
                      <w:szCs w:val="21"/>
                      <w:vertAlign w:val="subscript"/>
                      <w:lang w:val="en-US" w:eastAsia="zh-CN"/>
                    </w:rPr>
                    <w:t>5</w:t>
                  </w:r>
                  <w:r>
                    <w:rPr>
                      <w:rFonts w:hint="eastAsia" w:ascii="Times New Roman" w:hAnsi="Times New Roman" w:eastAsia="宋体" w:cs="Times New Roman"/>
                      <w:color w:val="auto"/>
                      <w:kern w:val="0"/>
                      <w:sz w:val="21"/>
                      <w:szCs w:val="21"/>
                      <w:lang w:val="en-US" w:eastAsia="zh-CN"/>
                    </w:rPr>
                    <w:t>、COD、SS、TP、NH</w:t>
                  </w:r>
                  <w:r>
                    <w:rPr>
                      <w:rFonts w:hint="eastAsia" w:ascii="Times New Roman" w:hAnsi="Times New Roman" w:eastAsia="宋体" w:cs="Times New Roman"/>
                      <w:color w:val="auto"/>
                      <w:kern w:val="0"/>
                      <w:sz w:val="21"/>
                      <w:szCs w:val="21"/>
                      <w:vertAlign w:val="subscript"/>
                      <w:lang w:val="en-US" w:eastAsia="zh-CN"/>
                    </w:rPr>
                    <w:t>3</w:t>
                  </w:r>
                  <w:r>
                    <w:rPr>
                      <w:rFonts w:hint="eastAsia" w:ascii="Times New Roman" w:hAnsi="Times New Roman" w:eastAsia="宋体" w:cs="Times New Roman"/>
                      <w:color w:val="auto"/>
                      <w:kern w:val="0"/>
                      <w:sz w:val="21"/>
                      <w:szCs w:val="21"/>
                      <w:lang w:val="en-US" w:eastAsia="zh-CN"/>
                    </w:rPr>
                    <w:t>-N、TN</w:t>
                  </w:r>
                </w:p>
              </w:tc>
              <w:tc>
                <w:tcPr>
                  <w:tcW w:w="1403" w:type="dxa"/>
                  <w:noWrap w:val="0"/>
                  <w:vAlign w:val="center"/>
                </w:tcPr>
                <w:p w14:paraId="7C43215F">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2天×4次/天</w:t>
                  </w:r>
                </w:p>
              </w:tc>
              <w:tc>
                <w:tcPr>
                  <w:tcW w:w="1022" w:type="dxa"/>
                  <w:noWrap w:val="0"/>
                  <w:vAlign w:val="center"/>
                </w:tcPr>
                <w:p w14:paraId="4E2B7DDA">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49D34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vMerge w:val="continue"/>
                  <w:noWrap w:val="0"/>
                  <w:vAlign w:val="center"/>
                </w:tcPr>
                <w:p w14:paraId="1E45FB8E">
                  <w:pPr>
                    <w:jc w:val="center"/>
                    <w:rPr>
                      <w:rFonts w:hint="eastAsia" w:ascii="Times New Roman" w:hAnsi="Times New Roman" w:eastAsia="宋体" w:cs="Times New Roman"/>
                      <w:color w:val="auto"/>
                      <w:kern w:val="0"/>
                      <w:sz w:val="21"/>
                      <w:szCs w:val="21"/>
                      <w:lang w:val="en-US" w:eastAsia="zh-CN"/>
                    </w:rPr>
                  </w:pPr>
                </w:p>
              </w:tc>
              <w:tc>
                <w:tcPr>
                  <w:tcW w:w="1281" w:type="dxa"/>
                  <w:noWrap w:val="0"/>
                  <w:vAlign w:val="center"/>
                </w:tcPr>
                <w:p w14:paraId="28E7047D">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雨水</w:t>
                  </w:r>
                </w:p>
              </w:tc>
              <w:tc>
                <w:tcPr>
                  <w:tcW w:w="3668" w:type="dxa"/>
                  <w:noWrap w:val="0"/>
                  <w:vAlign w:val="center"/>
                </w:tcPr>
                <w:p w14:paraId="76AD8FB3">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COD、SS</w:t>
                  </w:r>
                  <w:r>
                    <w:rPr>
                      <w:rFonts w:hint="eastAsia" w:eastAsia="宋体" w:cs="Times New Roman"/>
                      <w:color w:val="auto"/>
                      <w:kern w:val="0"/>
                      <w:sz w:val="21"/>
                      <w:szCs w:val="21"/>
                      <w:lang w:val="en-US" w:eastAsia="zh-CN"/>
                    </w:rPr>
                    <w:t>、石油类</w:t>
                  </w:r>
                </w:p>
              </w:tc>
              <w:tc>
                <w:tcPr>
                  <w:tcW w:w="1403" w:type="dxa"/>
                  <w:noWrap w:val="0"/>
                  <w:vAlign w:val="center"/>
                </w:tcPr>
                <w:p w14:paraId="0836DE19">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降雨时监测</w:t>
                  </w:r>
                </w:p>
              </w:tc>
              <w:tc>
                <w:tcPr>
                  <w:tcW w:w="1022" w:type="dxa"/>
                  <w:noWrap w:val="0"/>
                  <w:vAlign w:val="center"/>
                </w:tcPr>
                <w:p w14:paraId="1326ABD5">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25954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0" w:type="dxa"/>
                  <w:noWrap w:val="0"/>
                  <w:vAlign w:val="center"/>
                </w:tcPr>
                <w:p w14:paraId="5A2E38A1">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噪声</w:t>
                  </w:r>
                </w:p>
              </w:tc>
              <w:tc>
                <w:tcPr>
                  <w:tcW w:w="1281" w:type="dxa"/>
                  <w:noWrap w:val="0"/>
                  <w:vAlign w:val="center"/>
                </w:tcPr>
                <w:p w14:paraId="6659B5A2">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厂界</w:t>
                  </w:r>
                </w:p>
              </w:tc>
              <w:tc>
                <w:tcPr>
                  <w:tcW w:w="3668" w:type="dxa"/>
                  <w:noWrap w:val="0"/>
                  <w:vAlign w:val="center"/>
                </w:tcPr>
                <w:p w14:paraId="4C2E0E51">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昼间噪声</w:t>
                  </w:r>
                </w:p>
              </w:tc>
              <w:tc>
                <w:tcPr>
                  <w:tcW w:w="1403" w:type="dxa"/>
                  <w:noWrap w:val="0"/>
                  <w:vAlign w:val="center"/>
                </w:tcPr>
                <w:p w14:paraId="5C6FF46A">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2天×1次/天</w:t>
                  </w:r>
                </w:p>
              </w:tc>
              <w:tc>
                <w:tcPr>
                  <w:tcW w:w="1022" w:type="dxa"/>
                  <w:noWrap w:val="0"/>
                  <w:vAlign w:val="center"/>
                </w:tcPr>
                <w:p w14:paraId="299AC589">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bl>
          <w:p w14:paraId="61E5C69E">
            <w:pPr>
              <w:adjustRightInd w:val="0"/>
              <w:snapToGrid w:val="0"/>
              <w:spacing w:line="360" w:lineRule="auto"/>
              <w:ind w:firstLine="422" w:firstLineChars="200"/>
              <w:rPr>
                <w:b/>
                <w:color w:val="auto"/>
                <w:sz w:val="21"/>
                <w:szCs w:val="21"/>
              </w:rPr>
            </w:pPr>
            <w:r>
              <w:rPr>
                <w:rFonts w:hint="eastAsia"/>
                <w:b/>
                <w:color w:val="auto"/>
                <w:sz w:val="21"/>
                <w:szCs w:val="21"/>
                <w:lang w:val="en-US" w:eastAsia="zh-CN"/>
              </w:rPr>
              <w:t>10</w:t>
            </w:r>
            <w:r>
              <w:rPr>
                <w:b/>
                <w:color w:val="auto"/>
                <w:sz w:val="21"/>
                <w:szCs w:val="21"/>
              </w:rPr>
              <w:t>、</w:t>
            </w:r>
            <w:r>
              <w:rPr>
                <w:rFonts w:hint="eastAsia"/>
                <w:b/>
                <w:color w:val="auto"/>
                <w:sz w:val="21"/>
                <w:szCs w:val="21"/>
              </w:rPr>
              <w:t>电磁辐射</w:t>
            </w:r>
          </w:p>
          <w:p w14:paraId="711F9A4E">
            <w:pPr>
              <w:adjustRightInd w:val="0"/>
              <w:snapToGrid w:val="0"/>
              <w:spacing w:line="360" w:lineRule="auto"/>
              <w:ind w:firstLine="420" w:firstLineChars="200"/>
              <w:rPr>
                <w:rFonts w:hint="eastAsia"/>
                <w:color w:val="auto"/>
                <w:sz w:val="21"/>
                <w:szCs w:val="21"/>
              </w:rPr>
            </w:pPr>
            <w:r>
              <w:rPr>
                <w:rFonts w:hint="eastAsia"/>
                <w:color w:val="auto"/>
                <w:sz w:val="21"/>
                <w:szCs w:val="21"/>
              </w:rPr>
              <w:t>本项目不涉及电磁辐射。</w:t>
            </w:r>
          </w:p>
          <w:p w14:paraId="72FF6EBC">
            <w:pPr>
              <w:spacing w:line="360" w:lineRule="auto"/>
              <w:ind w:firstLine="380" w:firstLineChars="200"/>
              <w:rPr>
                <w:bCs/>
                <w:color w:val="auto"/>
                <w:spacing w:val="-10"/>
                <w:sz w:val="21"/>
                <w:szCs w:val="21"/>
              </w:rPr>
            </w:pPr>
          </w:p>
        </w:tc>
      </w:tr>
    </w:tbl>
    <w:p w14:paraId="35FFA55D">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C1D7E8E">
      <w:pPr>
        <w:pStyle w:val="37"/>
        <w:spacing w:line="240" w:lineRule="auto"/>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11" w:name="_Hlk54167917"/>
      <w:r>
        <w:rPr>
          <w:rFonts w:ascii="Times New Roman" w:hAnsi="Times New Roman" w:eastAsia="黑体"/>
          <w:snapToGrid w:val="0"/>
          <w:color w:val="auto"/>
          <w:sz w:val="30"/>
          <w:szCs w:val="30"/>
        </w:rPr>
        <w:t>环境保护措施监督检查清单</w:t>
      </w:r>
      <w:bookmarkEnd w:id="11"/>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68"/>
        <w:gridCol w:w="1267"/>
        <w:gridCol w:w="2040"/>
        <w:gridCol w:w="1129"/>
        <w:gridCol w:w="1264"/>
      </w:tblGrid>
      <w:tr w14:paraId="1C578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l2br w:val="single" w:color="auto" w:sz="4" w:space="0"/>
            </w:tcBorders>
            <w:noWrap w:val="0"/>
            <w:vAlign w:val="top"/>
          </w:tcPr>
          <w:p w14:paraId="549A8EBD">
            <w:pPr>
              <w:adjustRightInd w:val="0"/>
              <w:snapToGrid w:val="0"/>
              <w:ind w:firstLine="84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p w14:paraId="31CA01AD">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568" w:type="dxa"/>
            <w:noWrap w:val="0"/>
            <w:vAlign w:val="center"/>
          </w:tcPr>
          <w:p w14:paraId="18D0DCDB">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编号、</w:t>
            </w:r>
          </w:p>
          <w:p w14:paraId="62829165">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/污染源</w:t>
            </w:r>
          </w:p>
        </w:tc>
        <w:tc>
          <w:tcPr>
            <w:tcW w:w="1267" w:type="dxa"/>
            <w:noWrap w:val="0"/>
            <w:vAlign w:val="center"/>
          </w:tcPr>
          <w:p w14:paraId="31853083">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2040" w:type="dxa"/>
            <w:noWrap w:val="0"/>
            <w:vAlign w:val="center"/>
          </w:tcPr>
          <w:p w14:paraId="6FBAAC4F">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2393" w:type="dxa"/>
            <w:gridSpan w:val="2"/>
            <w:noWrap w:val="0"/>
            <w:vAlign w:val="center"/>
          </w:tcPr>
          <w:p w14:paraId="587D83EA">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14:paraId="5561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restart"/>
            <w:noWrap w:val="0"/>
            <w:vAlign w:val="center"/>
          </w:tcPr>
          <w:p w14:paraId="57720257">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大气环境</w:t>
            </w:r>
          </w:p>
        </w:tc>
        <w:tc>
          <w:tcPr>
            <w:tcW w:w="1568" w:type="dxa"/>
            <w:vMerge w:val="restart"/>
            <w:noWrap w:val="0"/>
            <w:vAlign w:val="center"/>
          </w:tcPr>
          <w:p w14:paraId="511E497E">
            <w:pPr>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DA001</w:t>
            </w:r>
          </w:p>
        </w:tc>
        <w:tc>
          <w:tcPr>
            <w:tcW w:w="1267" w:type="dxa"/>
            <w:noWrap w:val="0"/>
            <w:vAlign w:val="center"/>
          </w:tcPr>
          <w:p w14:paraId="6F58EA7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lang w:val="en-US" w:eastAsia="zh-CN"/>
              </w:rPr>
              <w:t>颗粒物</w:t>
            </w:r>
          </w:p>
        </w:tc>
        <w:tc>
          <w:tcPr>
            <w:tcW w:w="2040" w:type="dxa"/>
            <w:vMerge w:val="restart"/>
            <w:noWrap w:val="0"/>
            <w:vAlign w:val="center"/>
          </w:tcPr>
          <w:p w14:paraId="29D199CA">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低氮燃烧</w:t>
            </w:r>
          </w:p>
        </w:tc>
        <w:tc>
          <w:tcPr>
            <w:tcW w:w="1129" w:type="dxa"/>
            <w:noWrap w:val="0"/>
            <w:vAlign w:val="center"/>
          </w:tcPr>
          <w:p w14:paraId="37FBD84E">
            <w:pPr>
              <w:pStyle w:val="143"/>
              <w:spacing w:before="11"/>
              <w:ind w:left="98" w:right="38"/>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20mg/m</w:t>
            </w:r>
            <w:r>
              <w:rPr>
                <w:rFonts w:hint="default" w:ascii="Times New Roman" w:hAnsi="Times New Roman" w:cs="Times New Roman"/>
                <w:color w:val="auto"/>
                <w:sz w:val="21"/>
                <w:szCs w:val="21"/>
                <w:vertAlign w:val="superscript"/>
                <w:lang w:val="en-US" w:eastAsia="zh-CN"/>
              </w:rPr>
              <w:t>3</w:t>
            </w:r>
          </w:p>
        </w:tc>
        <w:tc>
          <w:tcPr>
            <w:tcW w:w="1264" w:type="dxa"/>
            <w:vMerge w:val="restart"/>
            <w:noWrap w:val="0"/>
            <w:vAlign w:val="center"/>
          </w:tcPr>
          <w:p w14:paraId="520DF01A">
            <w:pPr>
              <w:pStyle w:val="143"/>
              <w:spacing w:before="11"/>
              <w:ind w:left="98" w:right="38"/>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工业炉窑大气污染物排放标准</w:t>
            </w:r>
            <w:r>
              <w:rPr>
                <w:rFonts w:hint="default" w:ascii="Times New Roman" w:hAnsi="Times New Roman" w:cs="Times New Roman"/>
                <w:color w:val="auto"/>
                <w:szCs w:val="21"/>
              </w:rPr>
              <w:t xml:space="preserve">》（DB32/ </w:t>
            </w:r>
            <w:r>
              <w:rPr>
                <w:rFonts w:hint="default" w:ascii="Times New Roman" w:hAnsi="Times New Roman" w:cs="Times New Roman"/>
                <w:color w:val="auto"/>
                <w:szCs w:val="21"/>
                <w:lang w:val="en-US" w:eastAsia="zh-CN"/>
              </w:rPr>
              <w:t>3728</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0</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w:t>
            </w:r>
          </w:p>
          <w:p w14:paraId="6BB8943A">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《大气污染物综合排放标准》（DB32/4041-2021）</w:t>
            </w:r>
          </w:p>
        </w:tc>
      </w:tr>
      <w:tr w14:paraId="1BAC4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70ED8AC3">
            <w:pPr>
              <w:adjustRightInd w:val="0"/>
              <w:snapToGrid w:val="0"/>
              <w:jc w:val="center"/>
              <w:rPr>
                <w:rFonts w:hint="default" w:ascii="Times New Roman" w:hAnsi="Times New Roman" w:cs="Times New Roman"/>
                <w:color w:val="auto"/>
              </w:rPr>
            </w:pPr>
          </w:p>
        </w:tc>
        <w:tc>
          <w:tcPr>
            <w:tcW w:w="1568" w:type="dxa"/>
            <w:vMerge w:val="continue"/>
            <w:noWrap w:val="0"/>
            <w:vAlign w:val="center"/>
          </w:tcPr>
          <w:p w14:paraId="12430FBC">
            <w:pPr>
              <w:adjustRightInd w:val="0"/>
              <w:snapToGrid w:val="0"/>
              <w:jc w:val="center"/>
              <w:rPr>
                <w:rFonts w:hint="default" w:ascii="Times New Roman" w:hAnsi="Times New Roman" w:cs="Times New Roman"/>
                <w:color w:val="auto"/>
              </w:rPr>
            </w:pPr>
          </w:p>
        </w:tc>
        <w:tc>
          <w:tcPr>
            <w:tcW w:w="1267" w:type="dxa"/>
            <w:noWrap w:val="0"/>
            <w:vAlign w:val="center"/>
          </w:tcPr>
          <w:p w14:paraId="67E61DA8">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氮氧化物</w:t>
            </w:r>
          </w:p>
        </w:tc>
        <w:tc>
          <w:tcPr>
            <w:tcW w:w="2040" w:type="dxa"/>
            <w:vMerge w:val="continue"/>
            <w:noWrap w:val="0"/>
            <w:vAlign w:val="center"/>
          </w:tcPr>
          <w:p w14:paraId="3AEF48D7">
            <w:pPr>
              <w:adjustRightInd w:val="0"/>
              <w:snapToGrid w:val="0"/>
              <w:jc w:val="center"/>
              <w:rPr>
                <w:rFonts w:hint="default" w:ascii="Times New Roman" w:hAnsi="Times New Roman" w:cs="Times New Roman"/>
                <w:color w:val="auto"/>
                <w:szCs w:val="21"/>
                <w:lang w:val="en-US" w:eastAsia="zh-CN"/>
              </w:rPr>
            </w:pPr>
          </w:p>
        </w:tc>
        <w:tc>
          <w:tcPr>
            <w:tcW w:w="1129" w:type="dxa"/>
            <w:noWrap w:val="0"/>
            <w:vAlign w:val="center"/>
          </w:tcPr>
          <w:p w14:paraId="182E44B4">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180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1264" w:type="dxa"/>
            <w:vMerge w:val="continue"/>
            <w:noWrap w:val="0"/>
            <w:vAlign w:val="center"/>
          </w:tcPr>
          <w:p w14:paraId="679269F0">
            <w:pPr>
              <w:adjustRightInd w:val="0"/>
              <w:snapToGrid w:val="0"/>
              <w:jc w:val="center"/>
              <w:rPr>
                <w:rFonts w:hint="default" w:ascii="Times New Roman" w:hAnsi="Times New Roman" w:cs="Times New Roman"/>
                <w:color w:val="auto"/>
                <w:szCs w:val="21"/>
                <w:lang w:val="en-US" w:eastAsia="zh-CN"/>
              </w:rPr>
            </w:pPr>
          </w:p>
        </w:tc>
      </w:tr>
      <w:tr w14:paraId="12021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723C72A2">
            <w:pPr>
              <w:adjustRightInd w:val="0"/>
              <w:snapToGrid w:val="0"/>
              <w:jc w:val="center"/>
              <w:rPr>
                <w:rFonts w:hint="default" w:ascii="Times New Roman" w:hAnsi="Times New Roman" w:cs="Times New Roman"/>
                <w:color w:val="auto"/>
                <w:szCs w:val="21"/>
                <w:lang w:val="en-US" w:eastAsia="zh-CN"/>
              </w:rPr>
            </w:pPr>
          </w:p>
        </w:tc>
        <w:tc>
          <w:tcPr>
            <w:tcW w:w="1568" w:type="dxa"/>
            <w:vMerge w:val="continue"/>
            <w:noWrap w:val="0"/>
            <w:vAlign w:val="center"/>
          </w:tcPr>
          <w:p w14:paraId="18D86F0E">
            <w:pPr>
              <w:adjustRightInd w:val="0"/>
              <w:snapToGrid w:val="0"/>
              <w:jc w:val="center"/>
              <w:rPr>
                <w:rFonts w:hint="default" w:ascii="Times New Roman" w:hAnsi="Times New Roman" w:cs="Times New Roman"/>
                <w:color w:val="auto"/>
                <w:szCs w:val="21"/>
                <w:lang w:val="en-US" w:eastAsia="zh-CN"/>
              </w:rPr>
            </w:pPr>
          </w:p>
        </w:tc>
        <w:tc>
          <w:tcPr>
            <w:tcW w:w="1267" w:type="dxa"/>
            <w:noWrap w:val="0"/>
            <w:vAlign w:val="center"/>
          </w:tcPr>
          <w:p w14:paraId="6A7B4D0F">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二氧化硫</w:t>
            </w:r>
          </w:p>
        </w:tc>
        <w:tc>
          <w:tcPr>
            <w:tcW w:w="2040" w:type="dxa"/>
            <w:vMerge w:val="continue"/>
            <w:noWrap w:val="0"/>
            <w:vAlign w:val="center"/>
          </w:tcPr>
          <w:p w14:paraId="40F364AF">
            <w:pPr>
              <w:adjustRightInd w:val="0"/>
              <w:snapToGrid w:val="0"/>
              <w:jc w:val="center"/>
              <w:rPr>
                <w:rFonts w:hint="default" w:ascii="Times New Roman" w:hAnsi="Times New Roman" w:cs="Times New Roman"/>
                <w:color w:val="auto"/>
                <w:szCs w:val="21"/>
                <w:lang w:val="en-US" w:eastAsia="zh-CN"/>
              </w:rPr>
            </w:pPr>
          </w:p>
        </w:tc>
        <w:tc>
          <w:tcPr>
            <w:tcW w:w="1129" w:type="dxa"/>
            <w:noWrap w:val="0"/>
            <w:vAlign w:val="center"/>
          </w:tcPr>
          <w:p w14:paraId="1B89601A">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80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1264" w:type="dxa"/>
            <w:vMerge w:val="continue"/>
            <w:noWrap w:val="0"/>
            <w:vAlign w:val="center"/>
          </w:tcPr>
          <w:p w14:paraId="092E2E0D">
            <w:pPr>
              <w:adjustRightInd w:val="0"/>
              <w:snapToGrid w:val="0"/>
              <w:jc w:val="center"/>
              <w:rPr>
                <w:rFonts w:hint="default" w:ascii="Times New Roman" w:hAnsi="Times New Roman" w:cs="Times New Roman"/>
                <w:color w:val="auto"/>
                <w:szCs w:val="21"/>
                <w:lang w:val="en-US" w:eastAsia="zh-CN"/>
              </w:rPr>
            </w:pPr>
          </w:p>
        </w:tc>
      </w:tr>
      <w:tr w14:paraId="596DB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1DF5A168">
            <w:pPr>
              <w:adjustRightInd w:val="0"/>
              <w:snapToGrid w:val="0"/>
              <w:jc w:val="center"/>
              <w:rPr>
                <w:rFonts w:hint="default" w:ascii="Times New Roman" w:hAnsi="Times New Roman" w:cs="Times New Roman"/>
                <w:color w:val="auto"/>
                <w:szCs w:val="21"/>
                <w:lang w:val="en-US" w:eastAsia="zh-CN"/>
              </w:rPr>
            </w:pPr>
          </w:p>
        </w:tc>
        <w:tc>
          <w:tcPr>
            <w:tcW w:w="1568" w:type="dxa"/>
            <w:vMerge w:val="continue"/>
            <w:noWrap w:val="0"/>
            <w:vAlign w:val="center"/>
          </w:tcPr>
          <w:p w14:paraId="45B096DE">
            <w:pPr>
              <w:adjustRightInd w:val="0"/>
              <w:snapToGrid w:val="0"/>
              <w:jc w:val="center"/>
              <w:rPr>
                <w:rFonts w:hint="default" w:ascii="Times New Roman" w:hAnsi="Times New Roman" w:cs="Times New Roman"/>
                <w:color w:val="auto"/>
                <w:szCs w:val="21"/>
                <w:lang w:val="en-US" w:eastAsia="zh-CN"/>
              </w:rPr>
            </w:pPr>
          </w:p>
        </w:tc>
        <w:tc>
          <w:tcPr>
            <w:tcW w:w="1267" w:type="dxa"/>
            <w:noWrap w:val="0"/>
            <w:vAlign w:val="center"/>
          </w:tcPr>
          <w:p w14:paraId="70082498">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林格曼黑度</w:t>
            </w:r>
          </w:p>
        </w:tc>
        <w:tc>
          <w:tcPr>
            <w:tcW w:w="2040" w:type="dxa"/>
            <w:vMerge w:val="continue"/>
            <w:noWrap w:val="0"/>
            <w:vAlign w:val="center"/>
          </w:tcPr>
          <w:p w14:paraId="24308861">
            <w:pPr>
              <w:adjustRightInd w:val="0"/>
              <w:snapToGrid w:val="0"/>
              <w:jc w:val="center"/>
              <w:rPr>
                <w:rFonts w:hint="default" w:ascii="Times New Roman" w:hAnsi="Times New Roman" w:cs="Times New Roman"/>
                <w:color w:val="auto"/>
                <w:szCs w:val="21"/>
                <w:lang w:val="en-US" w:eastAsia="zh-CN"/>
              </w:rPr>
            </w:pPr>
          </w:p>
        </w:tc>
        <w:tc>
          <w:tcPr>
            <w:tcW w:w="1129" w:type="dxa"/>
            <w:noWrap w:val="0"/>
            <w:vAlign w:val="center"/>
          </w:tcPr>
          <w:p w14:paraId="4EBF1DC2">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1级</w:t>
            </w:r>
          </w:p>
        </w:tc>
        <w:tc>
          <w:tcPr>
            <w:tcW w:w="1264" w:type="dxa"/>
            <w:vMerge w:val="continue"/>
            <w:noWrap w:val="0"/>
            <w:vAlign w:val="center"/>
          </w:tcPr>
          <w:p w14:paraId="5C83854D">
            <w:pPr>
              <w:adjustRightInd w:val="0"/>
              <w:snapToGrid w:val="0"/>
              <w:jc w:val="center"/>
              <w:rPr>
                <w:rFonts w:hint="default" w:ascii="Times New Roman" w:hAnsi="Times New Roman" w:cs="Times New Roman"/>
                <w:color w:val="auto"/>
                <w:szCs w:val="21"/>
                <w:lang w:val="en-US" w:eastAsia="zh-CN"/>
              </w:rPr>
            </w:pPr>
          </w:p>
        </w:tc>
      </w:tr>
      <w:tr w14:paraId="0E21A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24FC3F53">
            <w:pPr>
              <w:adjustRightInd w:val="0"/>
              <w:snapToGrid w:val="0"/>
              <w:jc w:val="center"/>
              <w:rPr>
                <w:rFonts w:hint="default" w:ascii="Times New Roman" w:hAnsi="Times New Roman" w:cs="Times New Roman"/>
                <w:color w:val="auto"/>
                <w:szCs w:val="21"/>
                <w:lang w:val="en-US" w:eastAsia="zh-CN"/>
              </w:rPr>
            </w:pPr>
          </w:p>
        </w:tc>
        <w:tc>
          <w:tcPr>
            <w:tcW w:w="1568" w:type="dxa"/>
            <w:vMerge w:val="continue"/>
            <w:noWrap w:val="0"/>
            <w:vAlign w:val="center"/>
          </w:tcPr>
          <w:p w14:paraId="38EB44F9">
            <w:pPr>
              <w:adjustRightInd w:val="0"/>
              <w:snapToGrid w:val="0"/>
              <w:jc w:val="center"/>
              <w:rPr>
                <w:rFonts w:hint="default" w:ascii="Times New Roman" w:hAnsi="Times New Roman" w:cs="Times New Roman"/>
                <w:color w:val="auto"/>
                <w:szCs w:val="21"/>
                <w:lang w:val="en-US" w:eastAsia="zh-CN"/>
              </w:rPr>
            </w:pPr>
          </w:p>
        </w:tc>
        <w:tc>
          <w:tcPr>
            <w:tcW w:w="1267" w:type="dxa"/>
            <w:noWrap w:val="0"/>
            <w:vAlign w:val="center"/>
          </w:tcPr>
          <w:p w14:paraId="2B052C5C">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基准氧含量</w:t>
            </w:r>
          </w:p>
        </w:tc>
        <w:tc>
          <w:tcPr>
            <w:tcW w:w="2040" w:type="dxa"/>
            <w:vMerge w:val="continue"/>
            <w:noWrap w:val="0"/>
            <w:vAlign w:val="center"/>
          </w:tcPr>
          <w:p w14:paraId="1A1E01D5">
            <w:pPr>
              <w:adjustRightInd w:val="0"/>
              <w:snapToGrid w:val="0"/>
              <w:jc w:val="center"/>
              <w:rPr>
                <w:rFonts w:hint="default" w:ascii="Times New Roman" w:hAnsi="Times New Roman" w:cs="Times New Roman"/>
                <w:color w:val="auto"/>
                <w:szCs w:val="21"/>
                <w:lang w:val="en-US" w:eastAsia="zh-CN"/>
              </w:rPr>
            </w:pPr>
          </w:p>
        </w:tc>
        <w:tc>
          <w:tcPr>
            <w:tcW w:w="1129" w:type="dxa"/>
            <w:noWrap w:val="0"/>
            <w:vAlign w:val="center"/>
          </w:tcPr>
          <w:p w14:paraId="70831984">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9%</w:t>
            </w:r>
          </w:p>
        </w:tc>
        <w:tc>
          <w:tcPr>
            <w:tcW w:w="1264" w:type="dxa"/>
            <w:vMerge w:val="continue"/>
            <w:noWrap w:val="0"/>
            <w:vAlign w:val="center"/>
          </w:tcPr>
          <w:p w14:paraId="261286C9">
            <w:pPr>
              <w:adjustRightInd w:val="0"/>
              <w:snapToGrid w:val="0"/>
              <w:jc w:val="center"/>
              <w:rPr>
                <w:rFonts w:hint="default" w:ascii="Times New Roman" w:hAnsi="Times New Roman" w:cs="Times New Roman"/>
                <w:color w:val="auto"/>
                <w:szCs w:val="21"/>
                <w:lang w:val="en-US" w:eastAsia="zh-CN"/>
              </w:rPr>
            </w:pPr>
          </w:p>
        </w:tc>
      </w:tr>
      <w:tr w14:paraId="08026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0E9D12E5">
            <w:pPr>
              <w:adjustRightInd w:val="0"/>
              <w:snapToGrid w:val="0"/>
              <w:jc w:val="center"/>
              <w:rPr>
                <w:rFonts w:hint="default" w:ascii="Times New Roman" w:hAnsi="Times New Roman" w:cs="Times New Roman"/>
                <w:color w:val="auto"/>
                <w:szCs w:val="21"/>
                <w:lang w:val="en-US" w:eastAsia="zh-CN"/>
              </w:rPr>
            </w:pPr>
          </w:p>
        </w:tc>
        <w:tc>
          <w:tcPr>
            <w:tcW w:w="1568" w:type="dxa"/>
            <w:noWrap w:val="0"/>
            <w:vAlign w:val="center"/>
          </w:tcPr>
          <w:p w14:paraId="3145EC7A">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厂界</w:t>
            </w:r>
          </w:p>
        </w:tc>
        <w:tc>
          <w:tcPr>
            <w:tcW w:w="1267" w:type="dxa"/>
            <w:noWrap w:val="0"/>
            <w:vAlign w:val="center"/>
          </w:tcPr>
          <w:p w14:paraId="7DF7A84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非甲烷总烃</w:t>
            </w:r>
          </w:p>
        </w:tc>
        <w:tc>
          <w:tcPr>
            <w:tcW w:w="2040" w:type="dxa"/>
            <w:noWrap w:val="0"/>
            <w:vAlign w:val="center"/>
          </w:tcPr>
          <w:p w14:paraId="3DAF0BE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1129" w:type="dxa"/>
            <w:noWrap w:val="0"/>
            <w:vAlign w:val="center"/>
          </w:tcPr>
          <w:p w14:paraId="79C5398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4.0</w:t>
            </w:r>
            <w:r>
              <w:rPr>
                <w:rFonts w:hint="default" w:ascii="Times New Roman" w:hAnsi="Times New Roman" w:cs="Times New Roman"/>
                <w:color w:val="auto"/>
                <w:sz w:val="21"/>
                <w:szCs w:val="21"/>
                <w:lang w:val="en-US" w:eastAsia="zh-CN"/>
              </w:rPr>
              <w:t>g/m</w:t>
            </w:r>
            <w:r>
              <w:rPr>
                <w:rFonts w:hint="default" w:ascii="Times New Roman" w:hAnsi="Times New Roman" w:cs="Times New Roman"/>
                <w:color w:val="auto"/>
                <w:sz w:val="21"/>
                <w:szCs w:val="21"/>
                <w:vertAlign w:val="superscript"/>
                <w:lang w:val="en-US" w:eastAsia="zh-CN"/>
              </w:rPr>
              <w:t>3</w:t>
            </w:r>
          </w:p>
        </w:tc>
        <w:tc>
          <w:tcPr>
            <w:tcW w:w="1264" w:type="dxa"/>
            <w:vMerge w:val="continue"/>
            <w:noWrap w:val="0"/>
            <w:vAlign w:val="center"/>
          </w:tcPr>
          <w:p w14:paraId="417B2BAC">
            <w:pPr>
              <w:adjustRightInd w:val="0"/>
              <w:snapToGrid w:val="0"/>
              <w:jc w:val="center"/>
              <w:rPr>
                <w:rFonts w:hint="default" w:ascii="Times New Roman" w:hAnsi="Times New Roman" w:cs="Times New Roman"/>
                <w:color w:val="auto"/>
                <w:szCs w:val="21"/>
                <w:lang w:val="en-US" w:eastAsia="zh-CN"/>
              </w:rPr>
            </w:pPr>
          </w:p>
        </w:tc>
      </w:tr>
      <w:tr w14:paraId="2DCA8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4CC4EE10">
            <w:pPr>
              <w:adjustRightInd w:val="0"/>
              <w:snapToGrid w:val="0"/>
              <w:jc w:val="center"/>
              <w:rPr>
                <w:rFonts w:hint="default" w:ascii="Times New Roman" w:hAnsi="Times New Roman" w:cs="Times New Roman"/>
                <w:color w:val="auto"/>
                <w:szCs w:val="21"/>
                <w:lang w:val="en-US" w:eastAsia="zh-CN"/>
              </w:rPr>
            </w:pPr>
          </w:p>
        </w:tc>
        <w:tc>
          <w:tcPr>
            <w:tcW w:w="1568" w:type="dxa"/>
            <w:vMerge w:val="restart"/>
            <w:noWrap w:val="0"/>
            <w:vAlign w:val="center"/>
          </w:tcPr>
          <w:p w14:paraId="08606831">
            <w:pPr>
              <w:adjustRightInd w:val="0"/>
              <w:snapToGrid w:val="0"/>
              <w:jc w:val="center"/>
              <w:rPr>
                <w:rFonts w:hint="default" w:cs="Times New Roman"/>
                <w:color w:val="auto"/>
                <w:szCs w:val="21"/>
                <w:lang w:val="en-US" w:eastAsia="zh-CN"/>
              </w:rPr>
            </w:pPr>
            <w:r>
              <w:rPr>
                <w:rFonts w:hint="eastAsia" w:cs="Times New Roman"/>
                <w:color w:val="auto"/>
                <w:szCs w:val="21"/>
                <w:lang w:val="en-US" w:eastAsia="zh-CN"/>
              </w:rPr>
              <w:t>厂区内</w:t>
            </w:r>
          </w:p>
        </w:tc>
        <w:tc>
          <w:tcPr>
            <w:tcW w:w="1267" w:type="dxa"/>
            <w:noWrap w:val="0"/>
            <w:vAlign w:val="center"/>
          </w:tcPr>
          <w:p w14:paraId="4504A250">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2040" w:type="dxa"/>
            <w:vMerge w:val="restart"/>
            <w:noWrap w:val="0"/>
            <w:vAlign w:val="center"/>
          </w:tcPr>
          <w:p w14:paraId="241B0984">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w:t>
            </w:r>
          </w:p>
        </w:tc>
        <w:tc>
          <w:tcPr>
            <w:tcW w:w="1129" w:type="dxa"/>
            <w:noWrap w:val="0"/>
            <w:vAlign w:val="center"/>
          </w:tcPr>
          <w:p w14:paraId="18A703F6">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6</w:t>
            </w:r>
            <w:r>
              <w:rPr>
                <w:rFonts w:hint="default" w:ascii="Times New Roman" w:hAnsi="Times New Roman" w:cs="Times New Roman"/>
                <w:color w:val="auto"/>
                <w:sz w:val="21"/>
                <w:szCs w:val="21"/>
                <w:lang w:val="en-US" w:eastAsia="zh-CN"/>
              </w:rPr>
              <w:t>g/m</w:t>
            </w:r>
            <w:r>
              <w:rPr>
                <w:rFonts w:hint="default" w:ascii="Times New Roman" w:hAnsi="Times New Roman" w:cs="Times New Roman"/>
                <w:color w:val="auto"/>
                <w:sz w:val="21"/>
                <w:szCs w:val="21"/>
                <w:vertAlign w:val="superscript"/>
                <w:lang w:val="en-US" w:eastAsia="zh-CN"/>
              </w:rPr>
              <w:t>3</w:t>
            </w:r>
            <w:r>
              <w:rPr>
                <w:rFonts w:hint="eastAsia" w:cs="Times New Roman"/>
                <w:color w:val="auto"/>
                <w:szCs w:val="21"/>
                <w:lang w:val="en-US" w:eastAsia="zh-CN"/>
              </w:rPr>
              <w:t>（监测点处1h平均浓度值）</w:t>
            </w:r>
          </w:p>
        </w:tc>
        <w:tc>
          <w:tcPr>
            <w:tcW w:w="1264" w:type="dxa"/>
            <w:vMerge w:val="continue"/>
            <w:noWrap w:val="0"/>
            <w:vAlign w:val="center"/>
          </w:tcPr>
          <w:p w14:paraId="455C47BD">
            <w:pPr>
              <w:adjustRightInd w:val="0"/>
              <w:snapToGrid w:val="0"/>
              <w:jc w:val="center"/>
              <w:rPr>
                <w:rFonts w:hint="default" w:ascii="Times New Roman" w:hAnsi="Times New Roman" w:cs="Times New Roman"/>
                <w:color w:val="auto"/>
                <w:szCs w:val="21"/>
                <w:lang w:val="en-US" w:eastAsia="zh-CN"/>
              </w:rPr>
            </w:pPr>
          </w:p>
        </w:tc>
      </w:tr>
      <w:tr w14:paraId="4D46F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373BF702">
            <w:pPr>
              <w:adjustRightInd w:val="0"/>
              <w:snapToGrid w:val="0"/>
              <w:jc w:val="center"/>
              <w:rPr>
                <w:rFonts w:hint="default" w:ascii="Times New Roman" w:hAnsi="Times New Roman" w:cs="Times New Roman"/>
                <w:color w:val="auto"/>
                <w:szCs w:val="21"/>
                <w:lang w:val="en-US" w:eastAsia="zh-CN"/>
              </w:rPr>
            </w:pPr>
          </w:p>
        </w:tc>
        <w:tc>
          <w:tcPr>
            <w:tcW w:w="1568" w:type="dxa"/>
            <w:vMerge w:val="continue"/>
            <w:noWrap w:val="0"/>
            <w:vAlign w:val="center"/>
          </w:tcPr>
          <w:p w14:paraId="36174C13">
            <w:pPr>
              <w:adjustRightInd w:val="0"/>
              <w:snapToGrid w:val="0"/>
              <w:jc w:val="center"/>
              <w:rPr>
                <w:rFonts w:hint="eastAsia" w:cs="Times New Roman"/>
                <w:color w:val="auto"/>
                <w:szCs w:val="21"/>
                <w:lang w:val="en-US" w:eastAsia="zh-CN"/>
              </w:rPr>
            </w:pPr>
          </w:p>
        </w:tc>
        <w:tc>
          <w:tcPr>
            <w:tcW w:w="1267" w:type="dxa"/>
            <w:noWrap w:val="0"/>
            <w:vAlign w:val="center"/>
          </w:tcPr>
          <w:p w14:paraId="263AB4A9">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2040" w:type="dxa"/>
            <w:vMerge w:val="continue"/>
            <w:noWrap w:val="0"/>
            <w:vAlign w:val="center"/>
          </w:tcPr>
          <w:p w14:paraId="325CE0EA">
            <w:pPr>
              <w:adjustRightInd w:val="0"/>
              <w:snapToGrid w:val="0"/>
              <w:jc w:val="center"/>
              <w:rPr>
                <w:rFonts w:hint="default" w:ascii="Times New Roman" w:hAnsi="Times New Roman" w:cs="Times New Roman"/>
                <w:color w:val="auto"/>
                <w:szCs w:val="21"/>
                <w:lang w:val="en-US" w:eastAsia="zh-CN"/>
              </w:rPr>
            </w:pPr>
          </w:p>
        </w:tc>
        <w:tc>
          <w:tcPr>
            <w:tcW w:w="1129" w:type="dxa"/>
            <w:noWrap w:val="0"/>
            <w:vAlign w:val="center"/>
          </w:tcPr>
          <w:p w14:paraId="197B0AA7">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20</w:t>
            </w:r>
            <w:r>
              <w:rPr>
                <w:rFonts w:hint="default" w:ascii="Times New Roman" w:hAnsi="Times New Roman" w:cs="Times New Roman"/>
                <w:color w:val="auto"/>
                <w:sz w:val="21"/>
                <w:szCs w:val="21"/>
                <w:lang w:val="en-US" w:eastAsia="zh-CN"/>
              </w:rPr>
              <w:t>g/m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vertAlign w:val="baseline"/>
                <w:lang w:val="en-US" w:eastAsia="zh-CN"/>
              </w:rPr>
              <w:t>（监测点处任意一次浓度值）</w:t>
            </w:r>
          </w:p>
        </w:tc>
        <w:tc>
          <w:tcPr>
            <w:tcW w:w="1264" w:type="dxa"/>
            <w:vMerge w:val="continue"/>
            <w:noWrap w:val="0"/>
            <w:vAlign w:val="center"/>
          </w:tcPr>
          <w:p w14:paraId="36EABD86">
            <w:pPr>
              <w:adjustRightInd w:val="0"/>
              <w:snapToGrid w:val="0"/>
              <w:jc w:val="center"/>
              <w:rPr>
                <w:rFonts w:hint="default" w:ascii="Times New Roman" w:hAnsi="Times New Roman" w:cs="Times New Roman"/>
                <w:color w:val="auto"/>
                <w:szCs w:val="21"/>
                <w:lang w:val="en-US" w:eastAsia="zh-CN"/>
              </w:rPr>
            </w:pPr>
          </w:p>
        </w:tc>
      </w:tr>
      <w:tr w14:paraId="1DFE3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8" w:type="dxa"/>
            <w:vMerge w:val="continue"/>
            <w:noWrap w:val="0"/>
            <w:vAlign w:val="center"/>
          </w:tcPr>
          <w:p w14:paraId="7451D7F7">
            <w:pPr>
              <w:adjustRightInd w:val="0"/>
              <w:snapToGrid w:val="0"/>
              <w:jc w:val="center"/>
              <w:rPr>
                <w:rFonts w:hint="default" w:ascii="Times New Roman" w:hAnsi="Times New Roman" w:cs="Times New Roman"/>
                <w:color w:val="auto"/>
                <w:szCs w:val="21"/>
                <w:lang w:val="en-US" w:eastAsia="zh-CN"/>
              </w:rPr>
            </w:pPr>
          </w:p>
        </w:tc>
        <w:tc>
          <w:tcPr>
            <w:tcW w:w="1568" w:type="dxa"/>
            <w:noWrap w:val="0"/>
            <w:vAlign w:val="center"/>
          </w:tcPr>
          <w:p w14:paraId="7E864C9A">
            <w:pPr>
              <w:adjustRightInd w:val="0"/>
              <w:snapToGrid w:val="0"/>
              <w:jc w:val="center"/>
              <w:rPr>
                <w:rFonts w:hint="default" w:cs="Times New Roman"/>
                <w:color w:val="auto"/>
                <w:szCs w:val="21"/>
                <w:lang w:val="en-US" w:eastAsia="zh-CN"/>
              </w:rPr>
            </w:pPr>
            <w:r>
              <w:rPr>
                <w:rFonts w:hint="eastAsia" w:ascii="Times New Roman" w:hAnsi="Times New Roman" w:eastAsia="宋体" w:cs="Times New Roman"/>
                <w:color w:val="auto"/>
                <w:lang w:val="en-US" w:eastAsia="zh-CN"/>
              </w:rPr>
              <w:t>车间内</w:t>
            </w:r>
          </w:p>
        </w:tc>
        <w:tc>
          <w:tcPr>
            <w:tcW w:w="1267" w:type="dxa"/>
            <w:noWrap w:val="0"/>
            <w:vAlign w:val="center"/>
          </w:tcPr>
          <w:p w14:paraId="78F5DE2C">
            <w:pPr>
              <w:adjustRightInd w:val="0"/>
              <w:snapToGrid w:val="0"/>
              <w:jc w:val="center"/>
              <w:rPr>
                <w:rFonts w:hint="default" w:cs="Times New Roman"/>
                <w:color w:val="auto"/>
                <w:szCs w:val="21"/>
                <w:lang w:val="en-US" w:eastAsia="zh-CN"/>
              </w:rPr>
            </w:pPr>
            <w:r>
              <w:rPr>
                <w:rFonts w:hint="eastAsia"/>
                <w:color w:val="auto"/>
                <w:lang w:eastAsia="zh-CN"/>
              </w:rPr>
              <w:t>总悬浮颗粒物</w:t>
            </w:r>
          </w:p>
        </w:tc>
        <w:tc>
          <w:tcPr>
            <w:tcW w:w="2040" w:type="dxa"/>
            <w:noWrap w:val="0"/>
            <w:vAlign w:val="center"/>
          </w:tcPr>
          <w:p w14:paraId="435C14F5">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w:t>
            </w:r>
          </w:p>
        </w:tc>
        <w:tc>
          <w:tcPr>
            <w:tcW w:w="1129" w:type="dxa"/>
            <w:noWrap w:val="0"/>
            <w:vAlign w:val="center"/>
          </w:tcPr>
          <w:p w14:paraId="54A44B0B">
            <w:pPr>
              <w:adjustRightInd w:val="0"/>
              <w:snapToGrid w:val="0"/>
              <w:jc w:val="center"/>
              <w:rPr>
                <w:rFonts w:hint="default" w:cs="Times New Roman"/>
                <w:color w:val="auto"/>
                <w:szCs w:val="21"/>
                <w:lang w:val="en-US" w:eastAsia="zh-CN"/>
              </w:rPr>
            </w:pPr>
            <w:r>
              <w:rPr>
                <w:rFonts w:hint="eastAsia" w:ascii="Times New Roman" w:hAnsi="Times New Roman" w:eastAsia="宋体" w:cs="Times New Roman"/>
                <w:color w:val="auto"/>
                <w:lang w:val="en-US" w:eastAsia="zh-CN"/>
              </w:rPr>
              <w:t>5.0</w:t>
            </w:r>
            <w:r>
              <w:rPr>
                <w:rFonts w:hint="default" w:ascii="Times New Roman" w:hAnsi="Times New Roman" w:eastAsia="宋体" w:cs="Times New Roman"/>
                <w:color w:val="auto"/>
                <w:lang w:val="en-US" w:eastAsia="zh-CN"/>
              </w:rPr>
              <w:t>g/m3</w:t>
            </w:r>
          </w:p>
        </w:tc>
        <w:tc>
          <w:tcPr>
            <w:tcW w:w="1264" w:type="dxa"/>
            <w:vMerge w:val="continue"/>
            <w:noWrap w:val="0"/>
            <w:vAlign w:val="center"/>
          </w:tcPr>
          <w:p w14:paraId="0B00EDDB">
            <w:pPr>
              <w:adjustRightInd w:val="0"/>
              <w:snapToGrid w:val="0"/>
              <w:jc w:val="center"/>
              <w:rPr>
                <w:rFonts w:hint="default" w:ascii="Times New Roman" w:hAnsi="Times New Roman" w:cs="Times New Roman"/>
                <w:color w:val="auto"/>
                <w:szCs w:val="21"/>
                <w:lang w:val="en-US" w:eastAsia="zh-CN"/>
              </w:rPr>
            </w:pPr>
          </w:p>
        </w:tc>
      </w:tr>
      <w:tr w14:paraId="17C89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restart"/>
            <w:noWrap w:val="0"/>
            <w:vAlign w:val="center"/>
          </w:tcPr>
          <w:p w14:paraId="19A2A27D">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568" w:type="dxa"/>
            <w:vMerge w:val="restart"/>
            <w:noWrap w:val="0"/>
            <w:vAlign w:val="center"/>
          </w:tcPr>
          <w:p w14:paraId="16F9D4B3">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kern w:val="0"/>
                <w:szCs w:val="21"/>
                <w:lang w:val="en-US" w:eastAsia="zh-CN"/>
              </w:rPr>
              <w:t>生活污水、初期雨水</w:t>
            </w:r>
          </w:p>
        </w:tc>
        <w:tc>
          <w:tcPr>
            <w:tcW w:w="1267" w:type="dxa"/>
            <w:shd w:val="clear" w:color="auto" w:fill="auto"/>
            <w:noWrap w:val="0"/>
            <w:vAlign w:val="center"/>
          </w:tcPr>
          <w:p w14:paraId="7CF8D67E">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color w:val="auto"/>
              </w:rPr>
              <w:t>p</w:t>
            </w:r>
            <w:r>
              <w:rPr>
                <w:rFonts w:hint="eastAsia"/>
                <w:color w:val="auto"/>
              </w:rPr>
              <w:t>H</w:t>
            </w:r>
          </w:p>
        </w:tc>
        <w:tc>
          <w:tcPr>
            <w:tcW w:w="2040" w:type="dxa"/>
            <w:vMerge w:val="restart"/>
            <w:noWrap w:val="0"/>
            <w:vAlign w:val="center"/>
          </w:tcPr>
          <w:p w14:paraId="5C7B2499">
            <w:pPr>
              <w:adjustRightInd w:val="0"/>
              <w:snapToGrid w:val="0"/>
              <w:jc w:val="center"/>
              <w:rPr>
                <w:rFonts w:hint="default" w:ascii="Times New Roman" w:hAnsi="Times New Roman" w:eastAsia="宋体" w:cs="Times New Roman"/>
                <w:color w:val="auto"/>
                <w:lang w:val="en-US" w:eastAsia="zh-CN"/>
              </w:rPr>
            </w:pPr>
            <w:r>
              <w:rPr>
                <w:rFonts w:hint="eastAsia" w:cs="Times New Roman"/>
                <w:color w:val="auto"/>
                <w:lang w:val="en-US" w:eastAsia="zh-CN"/>
              </w:rPr>
              <w:t>化粪池</w:t>
            </w:r>
          </w:p>
        </w:tc>
        <w:tc>
          <w:tcPr>
            <w:tcW w:w="1129" w:type="dxa"/>
            <w:shd w:val="clear" w:color="auto" w:fill="auto"/>
            <w:noWrap w:val="0"/>
            <w:vAlign w:val="center"/>
          </w:tcPr>
          <w:p w14:paraId="5527C742">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6-9</w:t>
            </w:r>
          </w:p>
        </w:tc>
        <w:tc>
          <w:tcPr>
            <w:tcW w:w="1264" w:type="dxa"/>
            <w:vMerge w:val="restart"/>
            <w:noWrap w:val="0"/>
            <w:vAlign w:val="center"/>
          </w:tcPr>
          <w:p w14:paraId="1DE27618">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szCs w:val="21"/>
              </w:rPr>
              <w:t>海门经济技术开发区污水处理厂接管标准</w:t>
            </w:r>
          </w:p>
        </w:tc>
      </w:tr>
      <w:tr w14:paraId="3E33B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6D0ECC81">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29863F2E">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2857031E">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COD</w:t>
            </w:r>
          </w:p>
        </w:tc>
        <w:tc>
          <w:tcPr>
            <w:tcW w:w="2040" w:type="dxa"/>
            <w:vMerge w:val="continue"/>
            <w:noWrap w:val="0"/>
            <w:vAlign w:val="center"/>
          </w:tcPr>
          <w:p w14:paraId="599BA92D">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5FD1165E">
            <w:pPr>
              <w:spacing w:line="240" w:lineRule="auto"/>
              <w:jc w:val="center"/>
              <w:rPr>
                <w:rFonts w:hint="default" w:ascii="Times New Roman" w:hAnsi="Times New Roman" w:eastAsia="宋体" w:cs="Times New Roman"/>
                <w:color w:val="auto"/>
                <w:kern w:val="2"/>
                <w:sz w:val="21"/>
                <w:szCs w:val="24"/>
                <w:lang w:val="en-US" w:eastAsia="zh-CN" w:bidi="ar-SA"/>
              </w:rPr>
            </w:pPr>
            <w:r>
              <w:rPr>
                <w:color w:val="auto"/>
              </w:rPr>
              <w:t>500mg/L</w:t>
            </w:r>
          </w:p>
        </w:tc>
        <w:tc>
          <w:tcPr>
            <w:tcW w:w="1264" w:type="dxa"/>
            <w:vMerge w:val="continue"/>
            <w:noWrap w:val="0"/>
            <w:vAlign w:val="center"/>
          </w:tcPr>
          <w:p w14:paraId="032998DB">
            <w:pPr>
              <w:adjustRightInd w:val="0"/>
              <w:snapToGrid w:val="0"/>
              <w:jc w:val="center"/>
              <w:rPr>
                <w:rFonts w:hint="default" w:ascii="Times New Roman" w:hAnsi="Times New Roman" w:cs="Times New Roman"/>
                <w:color w:val="auto"/>
                <w:sz w:val="21"/>
                <w:szCs w:val="21"/>
                <w:lang w:val="en-US" w:eastAsia="zh-CN"/>
              </w:rPr>
            </w:pPr>
          </w:p>
        </w:tc>
      </w:tr>
      <w:tr w14:paraId="50C2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4E076790">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7BAFF961">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608E9681">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SS</w:t>
            </w:r>
          </w:p>
        </w:tc>
        <w:tc>
          <w:tcPr>
            <w:tcW w:w="2040" w:type="dxa"/>
            <w:vMerge w:val="continue"/>
            <w:noWrap w:val="0"/>
            <w:vAlign w:val="center"/>
          </w:tcPr>
          <w:p w14:paraId="614AADB1">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76A20FEF">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4</w:t>
            </w:r>
            <w:r>
              <w:rPr>
                <w:color w:val="auto"/>
              </w:rPr>
              <w:t>00mg/L</w:t>
            </w:r>
          </w:p>
        </w:tc>
        <w:tc>
          <w:tcPr>
            <w:tcW w:w="1264" w:type="dxa"/>
            <w:vMerge w:val="continue"/>
            <w:noWrap w:val="0"/>
            <w:vAlign w:val="center"/>
          </w:tcPr>
          <w:p w14:paraId="7A1F8EE4">
            <w:pPr>
              <w:adjustRightInd w:val="0"/>
              <w:snapToGrid w:val="0"/>
              <w:jc w:val="center"/>
              <w:rPr>
                <w:rFonts w:hint="default" w:ascii="Times New Roman" w:hAnsi="Times New Roman" w:cs="Times New Roman"/>
                <w:color w:val="auto"/>
                <w:sz w:val="21"/>
                <w:szCs w:val="21"/>
                <w:lang w:val="en-US" w:eastAsia="zh-CN"/>
              </w:rPr>
            </w:pPr>
          </w:p>
        </w:tc>
      </w:tr>
      <w:tr w14:paraId="49BAE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43D15FFF">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6E39C0AF">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53213E6F">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NH</w:t>
            </w:r>
            <w:r>
              <w:rPr>
                <w:rFonts w:hint="eastAsia"/>
                <w:color w:val="auto"/>
                <w:vertAlign w:val="subscript"/>
              </w:rPr>
              <w:t>3</w:t>
            </w:r>
            <w:r>
              <w:rPr>
                <w:rFonts w:hint="eastAsia"/>
                <w:color w:val="auto"/>
              </w:rPr>
              <w:t>-N</w:t>
            </w:r>
          </w:p>
        </w:tc>
        <w:tc>
          <w:tcPr>
            <w:tcW w:w="2040" w:type="dxa"/>
            <w:vMerge w:val="continue"/>
            <w:noWrap w:val="0"/>
            <w:vAlign w:val="center"/>
          </w:tcPr>
          <w:p w14:paraId="252F43B4">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02E8AA8D">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45</w:t>
            </w:r>
            <w:r>
              <w:rPr>
                <w:color w:val="auto"/>
              </w:rPr>
              <w:t>mg/L</w:t>
            </w:r>
          </w:p>
        </w:tc>
        <w:tc>
          <w:tcPr>
            <w:tcW w:w="1264" w:type="dxa"/>
            <w:vMerge w:val="continue"/>
            <w:noWrap w:val="0"/>
            <w:vAlign w:val="center"/>
          </w:tcPr>
          <w:p w14:paraId="35A98646">
            <w:pPr>
              <w:adjustRightInd w:val="0"/>
              <w:snapToGrid w:val="0"/>
              <w:jc w:val="center"/>
              <w:rPr>
                <w:rFonts w:hint="default" w:ascii="Times New Roman" w:hAnsi="Times New Roman" w:cs="Times New Roman"/>
                <w:color w:val="auto"/>
                <w:sz w:val="21"/>
                <w:szCs w:val="21"/>
                <w:lang w:val="en-US" w:eastAsia="zh-CN"/>
              </w:rPr>
            </w:pPr>
          </w:p>
        </w:tc>
      </w:tr>
      <w:tr w14:paraId="72333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01E61C0B">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45A97C9C">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332C4698">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TP</w:t>
            </w:r>
          </w:p>
        </w:tc>
        <w:tc>
          <w:tcPr>
            <w:tcW w:w="2040" w:type="dxa"/>
            <w:vMerge w:val="continue"/>
            <w:noWrap w:val="0"/>
            <w:vAlign w:val="center"/>
          </w:tcPr>
          <w:p w14:paraId="3D749940">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08B40578">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8</w:t>
            </w:r>
            <w:r>
              <w:rPr>
                <w:color w:val="auto"/>
              </w:rPr>
              <w:t>mg/L</w:t>
            </w:r>
          </w:p>
        </w:tc>
        <w:tc>
          <w:tcPr>
            <w:tcW w:w="1264" w:type="dxa"/>
            <w:vMerge w:val="continue"/>
            <w:noWrap w:val="0"/>
            <w:vAlign w:val="center"/>
          </w:tcPr>
          <w:p w14:paraId="2FA40D47">
            <w:pPr>
              <w:adjustRightInd w:val="0"/>
              <w:snapToGrid w:val="0"/>
              <w:jc w:val="center"/>
              <w:rPr>
                <w:rFonts w:hint="default" w:ascii="Times New Roman" w:hAnsi="Times New Roman" w:cs="Times New Roman"/>
                <w:color w:val="auto"/>
                <w:sz w:val="21"/>
                <w:szCs w:val="21"/>
                <w:lang w:val="en-US" w:eastAsia="zh-CN"/>
              </w:rPr>
            </w:pPr>
          </w:p>
        </w:tc>
      </w:tr>
      <w:tr w14:paraId="4CFA2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5A565EDC">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290B2EC6">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530E0861">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TN</w:t>
            </w:r>
          </w:p>
        </w:tc>
        <w:tc>
          <w:tcPr>
            <w:tcW w:w="2040" w:type="dxa"/>
            <w:vMerge w:val="continue"/>
            <w:noWrap w:val="0"/>
            <w:vAlign w:val="center"/>
          </w:tcPr>
          <w:p w14:paraId="19AF552E">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38A49A96">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55</w:t>
            </w:r>
            <w:r>
              <w:rPr>
                <w:color w:val="auto"/>
              </w:rPr>
              <w:t>mg/L</w:t>
            </w:r>
          </w:p>
        </w:tc>
        <w:tc>
          <w:tcPr>
            <w:tcW w:w="1264" w:type="dxa"/>
            <w:vMerge w:val="continue"/>
            <w:noWrap w:val="0"/>
            <w:vAlign w:val="center"/>
          </w:tcPr>
          <w:p w14:paraId="0E89D823">
            <w:pPr>
              <w:adjustRightInd w:val="0"/>
              <w:snapToGrid w:val="0"/>
              <w:jc w:val="center"/>
              <w:rPr>
                <w:rFonts w:hint="default" w:ascii="Times New Roman" w:hAnsi="Times New Roman" w:cs="Times New Roman"/>
                <w:color w:val="auto"/>
                <w:sz w:val="21"/>
                <w:szCs w:val="21"/>
                <w:lang w:val="en-US" w:eastAsia="zh-CN"/>
              </w:rPr>
            </w:pPr>
          </w:p>
        </w:tc>
      </w:tr>
      <w:tr w14:paraId="3816A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14:paraId="09D40F10">
            <w:pPr>
              <w:adjustRightInd w:val="0"/>
              <w:snapToGrid w:val="0"/>
              <w:jc w:val="center"/>
              <w:rPr>
                <w:rFonts w:hint="default" w:ascii="Times New Roman" w:hAnsi="Times New Roman" w:cs="Times New Roman"/>
                <w:color w:val="auto"/>
                <w:sz w:val="21"/>
                <w:szCs w:val="21"/>
              </w:rPr>
            </w:pPr>
          </w:p>
        </w:tc>
        <w:tc>
          <w:tcPr>
            <w:tcW w:w="1568" w:type="dxa"/>
            <w:vMerge w:val="continue"/>
            <w:noWrap w:val="0"/>
            <w:vAlign w:val="center"/>
          </w:tcPr>
          <w:p w14:paraId="20675696">
            <w:pPr>
              <w:adjustRightInd w:val="0"/>
              <w:snapToGrid w:val="0"/>
              <w:jc w:val="center"/>
              <w:rPr>
                <w:rFonts w:hint="eastAsia" w:cs="Times New Roman"/>
                <w:color w:val="auto"/>
                <w:kern w:val="0"/>
                <w:szCs w:val="21"/>
                <w:lang w:val="en-US" w:eastAsia="zh-CN"/>
              </w:rPr>
            </w:pPr>
          </w:p>
        </w:tc>
        <w:tc>
          <w:tcPr>
            <w:tcW w:w="1267" w:type="dxa"/>
            <w:shd w:val="clear" w:color="auto" w:fill="auto"/>
            <w:noWrap w:val="0"/>
            <w:vAlign w:val="center"/>
          </w:tcPr>
          <w:p w14:paraId="59CD28FE">
            <w:pPr>
              <w:adjustRightInd w:val="0"/>
              <w:snapToGrid w:val="0"/>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rPr>
              <w:t>BOD</w:t>
            </w:r>
            <w:r>
              <w:rPr>
                <w:rFonts w:hint="eastAsia"/>
                <w:color w:val="auto"/>
                <w:vertAlign w:val="subscript"/>
              </w:rPr>
              <w:t>5</w:t>
            </w:r>
          </w:p>
        </w:tc>
        <w:tc>
          <w:tcPr>
            <w:tcW w:w="2040" w:type="dxa"/>
            <w:vMerge w:val="continue"/>
            <w:noWrap w:val="0"/>
            <w:vAlign w:val="center"/>
          </w:tcPr>
          <w:p w14:paraId="5E7A2964">
            <w:pPr>
              <w:adjustRightInd w:val="0"/>
              <w:snapToGrid w:val="0"/>
              <w:jc w:val="center"/>
              <w:rPr>
                <w:rFonts w:hint="default" w:ascii="Times New Roman" w:hAnsi="Times New Roman" w:cs="Times New Roman"/>
                <w:color w:val="auto"/>
                <w:lang w:val="en-US" w:eastAsia="zh-CN"/>
              </w:rPr>
            </w:pPr>
          </w:p>
        </w:tc>
        <w:tc>
          <w:tcPr>
            <w:tcW w:w="1129" w:type="dxa"/>
            <w:shd w:val="clear" w:color="auto" w:fill="auto"/>
            <w:noWrap w:val="0"/>
            <w:vAlign w:val="center"/>
          </w:tcPr>
          <w:p w14:paraId="7D2803CC">
            <w:pPr>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w:t>
            </w:r>
            <w:r>
              <w:rPr>
                <w:rFonts w:hint="eastAsia"/>
                <w:color w:val="auto"/>
              </w:rPr>
              <w:t>00</w:t>
            </w:r>
            <w:r>
              <w:rPr>
                <w:color w:val="auto"/>
              </w:rPr>
              <w:t>mg/L</w:t>
            </w:r>
          </w:p>
        </w:tc>
        <w:tc>
          <w:tcPr>
            <w:tcW w:w="1264" w:type="dxa"/>
            <w:vMerge w:val="continue"/>
            <w:noWrap w:val="0"/>
            <w:vAlign w:val="center"/>
          </w:tcPr>
          <w:p w14:paraId="0DC47AEF">
            <w:pPr>
              <w:adjustRightInd w:val="0"/>
              <w:snapToGrid w:val="0"/>
              <w:jc w:val="center"/>
              <w:rPr>
                <w:rFonts w:hint="default" w:ascii="Times New Roman" w:hAnsi="Times New Roman" w:cs="Times New Roman"/>
                <w:color w:val="auto"/>
                <w:sz w:val="21"/>
                <w:szCs w:val="21"/>
                <w:lang w:val="en-US" w:eastAsia="zh-CN"/>
              </w:rPr>
            </w:pPr>
          </w:p>
        </w:tc>
      </w:tr>
      <w:tr w14:paraId="0D19C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538" w:type="dxa"/>
            <w:noWrap w:val="0"/>
            <w:vAlign w:val="center"/>
          </w:tcPr>
          <w:p w14:paraId="3666FA38">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568" w:type="dxa"/>
            <w:noWrap w:val="0"/>
            <w:vAlign w:val="center"/>
          </w:tcPr>
          <w:p w14:paraId="1395EA3B">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highlight w:val="none"/>
              </w:rPr>
              <w:t>生产设备、风机等</w:t>
            </w:r>
          </w:p>
        </w:tc>
        <w:tc>
          <w:tcPr>
            <w:tcW w:w="1267" w:type="dxa"/>
            <w:noWrap w:val="0"/>
            <w:vAlign w:val="center"/>
          </w:tcPr>
          <w:p w14:paraId="61E0EFFB">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highlight w:val="none"/>
              </w:rPr>
              <w:t>Leq(A)</w:t>
            </w:r>
          </w:p>
        </w:tc>
        <w:tc>
          <w:tcPr>
            <w:tcW w:w="2040" w:type="dxa"/>
            <w:noWrap w:val="0"/>
            <w:vAlign w:val="center"/>
          </w:tcPr>
          <w:p w14:paraId="76A91F45">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highlight w:val="none"/>
              </w:rPr>
              <w:t>采取合理布局、选用低噪声设备、设备减振、加强管理等</w:t>
            </w:r>
          </w:p>
        </w:tc>
        <w:tc>
          <w:tcPr>
            <w:tcW w:w="1129" w:type="dxa"/>
            <w:noWrap w:val="0"/>
            <w:vAlign w:val="center"/>
          </w:tcPr>
          <w:p w14:paraId="202300E3">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昼间65</w:t>
            </w:r>
            <w:r>
              <w:rPr>
                <w:rFonts w:hint="default" w:ascii="Times New Roman" w:hAnsi="Times New Roman" w:eastAsia="宋体" w:cs="Times New Roman"/>
                <w:color w:val="auto"/>
                <w:kern w:val="0"/>
                <w:sz w:val="21"/>
                <w:szCs w:val="21"/>
                <w:lang w:val="en-US" w:eastAsia="zh-CN" w:bidi="ar"/>
              </w:rPr>
              <w:t>dB（A）</w:t>
            </w:r>
          </w:p>
        </w:tc>
        <w:tc>
          <w:tcPr>
            <w:tcW w:w="1264" w:type="dxa"/>
            <w:noWrap w:val="0"/>
            <w:vAlign w:val="center"/>
          </w:tcPr>
          <w:p w14:paraId="291424B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《工业企业厂界环境噪声排放标准》（GB12348-2008）中3类标准</w:t>
            </w:r>
          </w:p>
        </w:tc>
      </w:tr>
      <w:tr w14:paraId="07920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38" w:type="dxa"/>
            <w:noWrap w:val="0"/>
            <w:vAlign w:val="center"/>
          </w:tcPr>
          <w:p w14:paraId="7DBDEC21">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568" w:type="dxa"/>
            <w:noWrap w:val="0"/>
            <w:vAlign w:val="center"/>
          </w:tcPr>
          <w:p w14:paraId="2023F988">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67" w:type="dxa"/>
            <w:noWrap w:val="0"/>
            <w:vAlign w:val="center"/>
          </w:tcPr>
          <w:p w14:paraId="716D5A05">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040" w:type="dxa"/>
            <w:noWrap w:val="0"/>
            <w:vAlign w:val="center"/>
          </w:tcPr>
          <w:p w14:paraId="4E2133C7">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93" w:type="dxa"/>
            <w:gridSpan w:val="2"/>
            <w:noWrap w:val="0"/>
            <w:vAlign w:val="center"/>
          </w:tcPr>
          <w:p w14:paraId="57F7C4B0">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574FD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restart"/>
            <w:noWrap w:val="0"/>
            <w:vAlign w:val="center"/>
          </w:tcPr>
          <w:p w14:paraId="618695C4">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1568" w:type="dxa"/>
            <w:noWrap w:val="0"/>
            <w:vAlign w:val="center"/>
          </w:tcPr>
          <w:p w14:paraId="605E2796">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自动带锯</w:t>
            </w:r>
          </w:p>
        </w:tc>
        <w:tc>
          <w:tcPr>
            <w:tcW w:w="1267" w:type="dxa"/>
            <w:tcBorders>
              <w:bottom w:val="single" w:color="auto" w:sz="4" w:space="0"/>
            </w:tcBorders>
            <w:noWrap w:val="0"/>
            <w:vAlign w:val="center"/>
          </w:tcPr>
          <w:p w14:paraId="43CFF64E">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废边角料</w:t>
            </w:r>
          </w:p>
        </w:tc>
        <w:tc>
          <w:tcPr>
            <w:tcW w:w="2040" w:type="dxa"/>
            <w:vMerge w:val="restart"/>
            <w:noWrap w:val="0"/>
            <w:vAlign w:val="center"/>
          </w:tcPr>
          <w:p w14:paraId="67AF712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钢厂回收</w:t>
            </w:r>
          </w:p>
        </w:tc>
        <w:tc>
          <w:tcPr>
            <w:tcW w:w="2393" w:type="dxa"/>
            <w:gridSpan w:val="2"/>
            <w:vMerge w:val="restart"/>
            <w:noWrap w:val="0"/>
            <w:vAlign w:val="center"/>
          </w:tcPr>
          <w:p w14:paraId="2A601A50">
            <w:pPr>
              <w:pStyle w:val="21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《一般工业固体废物贮存和填埋污染控制标准》（GB 18599-2020）</w:t>
            </w:r>
          </w:p>
        </w:tc>
      </w:tr>
      <w:tr w14:paraId="58DAA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34522824">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63675CF8">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锻造</w:t>
            </w:r>
          </w:p>
        </w:tc>
        <w:tc>
          <w:tcPr>
            <w:tcW w:w="1267" w:type="dxa"/>
            <w:tcBorders>
              <w:bottom w:val="single" w:color="auto" w:sz="4" w:space="0"/>
            </w:tcBorders>
            <w:noWrap w:val="0"/>
            <w:vAlign w:val="center"/>
          </w:tcPr>
          <w:p w14:paraId="7A538AC8">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氧化皮</w:t>
            </w:r>
          </w:p>
        </w:tc>
        <w:tc>
          <w:tcPr>
            <w:tcW w:w="2040" w:type="dxa"/>
            <w:vMerge w:val="continue"/>
            <w:noWrap w:val="0"/>
            <w:vAlign w:val="center"/>
          </w:tcPr>
          <w:p w14:paraId="3D951DB7">
            <w:pPr>
              <w:jc w:val="center"/>
              <w:rPr>
                <w:rFonts w:hint="default" w:ascii="Times New Roman" w:hAnsi="Times New Roman" w:cs="Times New Roman"/>
                <w:color w:val="auto"/>
                <w:sz w:val="21"/>
                <w:szCs w:val="21"/>
                <w:lang w:val="en-US" w:eastAsia="zh-CN"/>
              </w:rPr>
            </w:pPr>
          </w:p>
        </w:tc>
        <w:tc>
          <w:tcPr>
            <w:tcW w:w="2393" w:type="dxa"/>
            <w:gridSpan w:val="2"/>
            <w:vMerge w:val="continue"/>
            <w:noWrap w:val="0"/>
            <w:vAlign w:val="center"/>
          </w:tcPr>
          <w:p w14:paraId="40A2A8AC">
            <w:pPr>
              <w:pStyle w:val="215"/>
              <w:rPr>
                <w:rFonts w:hint="default" w:ascii="Times New Roman" w:hAnsi="Times New Roman" w:cs="Times New Roman"/>
                <w:color w:val="auto"/>
                <w:sz w:val="21"/>
                <w:szCs w:val="21"/>
              </w:rPr>
            </w:pPr>
          </w:p>
        </w:tc>
      </w:tr>
      <w:tr w14:paraId="3356C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6E204971">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618CD1C3">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机加工</w:t>
            </w:r>
            <w:r>
              <w:rPr>
                <w:rFonts w:hint="eastAsia" w:ascii="Times New Roman" w:hAnsi="Times New Roman" w:eastAsia="宋体" w:cs="Times New Roman"/>
                <w:color w:val="auto"/>
                <w:lang w:val="en-US" w:eastAsia="zh-CN"/>
              </w:rPr>
              <w:t>、精加工</w:t>
            </w:r>
          </w:p>
        </w:tc>
        <w:tc>
          <w:tcPr>
            <w:tcW w:w="1267" w:type="dxa"/>
            <w:tcBorders>
              <w:bottom w:val="single" w:color="auto" w:sz="4" w:space="0"/>
            </w:tcBorders>
            <w:noWrap w:val="0"/>
            <w:vAlign w:val="center"/>
          </w:tcPr>
          <w:p w14:paraId="238F2597">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含油金属屑</w:t>
            </w:r>
          </w:p>
        </w:tc>
        <w:tc>
          <w:tcPr>
            <w:tcW w:w="2040" w:type="dxa"/>
            <w:vMerge w:val="restart"/>
            <w:noWrap w:val="0"/>
            <w:vAlign w:val="center"/>
          </w:tcPr>
          <w:p w14:paraId="33336C21">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委托有资质单位处置</w:t>
            </w:r>
          </w:p>
        </w:tc>
        <w:tc>
          <w:tcPr>
            <w:tcW w:w="2393" w:type="dxa"/>
            <w:gridSpan w:val="2"/>
            <w:vMerge w:val="restart"/>
            <w:noWrap w:val="0"/>
            <w:vAlign w:val="center"/>
          </w:tcPr>
          <w:p w14:paraId="3E597311">
            <w:pPr>
              <w:pStyle w:val="215"/>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《危险废物贮存污染控制标准》（GB18597-</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20</w:t>
            </w:r>
            <w:r>
              <w:rPr>
                <w:rFonts w:hint="eastAsia" w:ascii="Times New Roman" w:hAnsi="Times New Roman" w:cs="Times New Roman"/>
                <w:color w:val="auto"/>
                <w:kern w:val="0"/>
                <w:sz w:val="21"/>
                <w:szCs w:val="21"/>
                <w:lang w:val="en-US" w:eastAsia="zh-CN"/>
              </w:rPr>
              <w:t>23</w:t>
            </w:r>
            <w:r>
              <w:rPr>
                <w:rFonts w:hint="default" w:ascii="Times New Roman" w:hAnsi="Times New Roman" w:cs="Times New Roman"/>
                <w:color w:val="auto"/>
                <w:kern w:val="0"/>
                <w:sz w:val="21"/>
                <w:szCs w:val="21"/>
              </w:rPr>
              <w:t>）</w:t>
            </w:r>
          </w:p>
        </w:tc>
      </w:tr>
      <w:tr w14:paraId="56A7D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7AC836A2">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3C7648D1">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自动带锯、机加工</w:t>
            </w:r>
          </w:p>
        </w:tc>
        <w:tc>
          <w:tcPr>
            <w:tcW w:w="1267" w:type="dxa"/>
            <w:tcBorders>
              <w:bottom w:val="single" w:color="auto" w:sz="4" w:space="0"/>
            </w:tcBorders>
            <w:noWrap w:val="0"/>
            <w:vAlign w:val="center"/>
          </w:tcPr>
          <w:p w14:paraId="27554BD1">
            <w:pPr>
              <w:pStyle w:val="143"/>
              <w:adjustRightInd w:val="0"/>
              <w:snapToGrid w:val="0"/>
              <w:spacing w:line="240" w:lineRule="exact"/>
              <w:ind w:left="105" w:leftChars="5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废切削液</w:t>
            </w:r>
          </w:p>
        </w:tc>
        <w:tc>
          <w:tcPr>
            <w:tcW w:w="2040" w:type="dxa"/>
            <w:vMerge w:val="continue"/>
            <w:noWrap w:val="0"/>
            <w:vAlign w:val="center"/>
          </w:tcPr>
          <w:p w14:paraId="3CF73851">
            <w:pPr>
              <w:jc w:val="center"/>
              <w:rPr>
                <w:rFonts w:hint="default" w:ascii="Times New Roman" w:hAnsi="Times New Roman" w:eastAsia="宋体" w:cs="Times New Roman"/>
                <w:color w:val="auto"/>
                <w:sz w:val="21"/>
                <w:szCs w:val="21"/>
                <w:lang w:val="en-US" w:eastAsia="zh-CN"/>
              </w:rPr>
            </w:pPr>
          </w:p>
        </w:tc>
        <w:tc>
          <w:tcPr>
            <w:tcW w:w="2393" w:type="dxa"/>
            <w:gridSpan w:val="2"/>
            <w:vMerge w:val="continue"/>
            <w:noWrap w:val="0"/>
            <w:vAlign w:val="center"/>
          </w:tcPr>
          <w:p w14:paraId="1C125A6C">
            <w:pPr>
              <w:pStyle w:val="215"/>
              <w:rPr>
                <w:rFonts w:hint="default" w:ascii="Times New Roman" w:hAnsi="Times New Roman" w:cs="Times New Roman"/>
                <w:color w:val="auto"/>
                <w:sz w:val="21"/>
                <w:szCs w:val="21"/>
              </w:rPr>
            </w:pPr>
          </w:p>
        </w:tc>
      </w:tr>
      <w:tr w14:paraId="7523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1582C1C8">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25D0775E">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设备运行介质</w:t>
            </w:r>
          </w:p>
        </w:tc>
        <w:tc>
          <w:tcPr>
            <w:tcW w:w="1267" w:type="dxa"/>
            <w:tcBorders>
              <w:bottom w:val="single" w:color="auto" w:sz="4" w:space="0"/>
            </w:tcBorders>
            <w:noWrap w:val="0"/>
            <w:vAlign w:val="center"/>
          </w:tcPr>
          <w:p w14:paraId="2F74B7C9">
            <w:pPr>
              <w:pStyle w:val="143"/>
              <w:adjustRightInd w:val="0"/>
              <w:snapToGrid w:val="0"/>
              <w:spacing w:line="240" w:lineRule="exact"/>
              <w:ind w:left="105" w:leftChars="5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废液压油</w:t>
            </w:r>
          </w:p>
        </w:tc>
        <w:tc>
          <w:tcPr>
            <w:tcW w:w="2040" w:type="dxa"/>
            <w:vMerge w:val="continue"/>
            <w:noWrap w:val="0"/>
            <w:vAlign w:val="center"/>
          </w:tcPr>
          <w:p w14:paraId="3F944539">
            <w:pPr>
              <w:jc w:val="center"/>
              <w:rPr>
                <w:rFonts w:hint="eastAsia" w:cs="Times New Roman"/>
                <w:color w:val="auto"/>
                <w:sz w:val="21"/>
                <w:szCs w:val="21"/>
                <w:lang w:val="en-US" w:eastAsia="zh-CN"/>
              </w:rPr>
            </w:pPr>
          </w:p>
        </w:tc>
        <w:tc>
          <w:tcPr>
            <w:tcW w:w="2393" w:type="dxa"/>
            <w:gridSpan w:val="2"/>
            <w:vMerge w:val="continue"/>
            <w:noWrap w:val="0"/>
            <w:vAlign w:val="center"/>
          </w:tcPr>
          <w:p w14:paraId="2AFAC38F">
            <w:pPr>
              <w:pStyle w:val="215"/>
              <w:rPr>
                <w:rFonts w:hint="default" w:ascii="Times New Roman" w:hAnsi="Times New Roman" w:cs="Times New Roman"/>
                <w:color w:val="auto"/>
                <w:kern w:val="0"/>
                <w:sz w:val="21"/>
                <w:szCs w:val="21"/>
              </w:rPr>
            </w:pPr>
          </w:p>
        </w:tc>
      </w:tr>
      <w:tr w14:paraId="1DAF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4E67B84B">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6770DF5A">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设备维护保养</w:t>
            </w:r>
          </w:p>
        </w:tc>
        <w:tc>
          <w:tcPr>
            <w:tcW w:w="1267" w:type="dxa"/>
            <w:tcBorders>
              <w:bottom w:val="single" w:color="auto" w:sz="4" w:space="0"/>
            </w:tcBorders>
            <w:noWrap w:val="0"/>
            <w:vAlign w:val="center"/>
          </w:tcPr>
          <w:p w14:paraId="3C1CB9C3">
            <w:pPr>
              <w:pStyle w:val="143"/>
              <w:adjustRightInd w:val="0"/>
              <w:snapToGrid w:val="0"/>
              <w:spacing w:line="240" w:lineRule="exact"/>
              <w:ind w:left="105" w:leftChars="5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废润滑油</w:t>
            </w:r>
          </w:p>
        </w:tc>
        <w:tc>
          <w:tcPr>
            <w:tcW w:w="2040" w:type="dxa"/>
            <w:vMerge w:val="continue"/>
            <w:noWrap w:val="0"/>
            <w:vAlign w:val="center"/>
          </w:tcPr>
          <w:p w14:paraId="419E6363">
            <w:pPr>
              <w:jc w:val="center"/>
              <w:rPr>
                <w:rFonts w:hint="eastAsia" w:cs="Times New Roman"/>
                <w:color w:val="auto"/>
                <w:sz w:val="21"/>
                <w:szCs w:val="21"/>
                <w:lang w:val="en-US" w:eastAsia="zh-CN"/>
              </w:rPr>
            </w:pPr>
          </w:p>
        </w:tc>
        <w:tc>
          <w:tcPr>
            <w:tcW w:w="2393" w:type="dxa"/>
            <w:gridSpan w:val="2"/>
            <w:vMerge w:val="continue"/>
            <w:noWrap w:val="0"/>
            <w:vAlign w:val="center"/>
          </w:tcPr>
          <w:p w14:paraId="22C62072">
            <w:pPr>
              <w:pStyle w:val="215"/>
              <w:rPr>
                <w:rFonts w:hint="default" w:ascii="Times New Roman" w:hAnsi="Times New Roman" w:cs="Times New Roman"/>
                <w:color w:val="auto"/>
                <w:kern w:val="0"/>
                <w:sz w:val="21"/>
                <w:szCs w:val="21"/>
              </w:rPr>
            </w:pPr>
          </w:p>
        </w:tc>
      </w:tr>
      <w:tr w14:paraId="18FE5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0E3F6583">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57F3C278">
            <w:pPr>
              <w:pStyle w:val="143"/>
              <w:adjustRightInd w:val="0"/>
              <w:snapToGrid w:val="0"/>
              <w:spacing w:line="240" w:lineRule="exact"/>
              <w:ind w:left="105" w:leftChars="5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原材料</w:t>
            </w:r>
          </w:p>
        </w:tc>
        <w:tc>
          <w:tcPr>
            <w:tcW w:w="1267" w:type="dxa"/>
            <w:tcBorders>
              <w:bottom w:val="single" w:color="auto" w:sz="4" w:space="0"/>
            </w:tcBorders>
            <w:noWrap w:val="0"/>
            <w:vAlign w:val="center"/>
          </w:tcPr>
          <w:p w14:paraId="146A33AE">
            <w:pPr>
              <w:pStyle w:val="143"/>
              <w:adjustRightInd w:val="0"/>
              <w:snapToGrid w:val="0"/>
              <w:spacing w:line="240" w:lineRule="exact"/>
              <w:ind w:left="105" w:leftChars="5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废包装桶</w:t>
            </w:r>
          </w:p>
        </w:tc>
        <w:tc>
          <w:tcPr>
            <w:tcW w:w="2040" w:type="dxa"/>
            <w:vMerge w:val="continue"/>
            <w:noWrap w:val="0"/>
            <w:vAlign w:val="center"/>
          </w:tcPr>
          <w:p w14:paraId="449C9A32">
            <w:pPr>
              <w:jc w:val="center"/>
              <w:rPr>
                <w:rFonts w:hint="eastAsia" w:cs="Times New Roman"/>
                <w:color w:val="auto"/>
                <w:sz w:val="21"/>
                <w:szCs w:val="21"/>
                <w:lang w:val="en-US" w:eastAsia="zh-CN"/>
              </w:rPr>
            </w:pPr>
          </w:p>
        </w:tc>
        <w:tc>
          <w:tcPr>
            <w:tcW w:w="2393" w:type="dxa"/>
            <w:gridSpan w:val="2"/>
            <w:vMerge w:val="continue"/>
            <w:noWrap w:val="0"/>
            <w:vAlign w:val="center"/>
          </w:tcPr>
          <w:p w14:paraId="21BE5ECF">
            <w:pPr>
              <w:pStyle w:val="215"/>
              <w:rPr>
                <w:rFonts w:hint="default" w:ascii="Times New Roman" w:hAnsi="Times New Roman" w:cs="Times New Roman"/>
                <w:color w:val="auto"/>
                <w:kern w:val="0"/>
                <w:sz w:val="21"/>
                <w:szCs w:val="21"/>
              </w:rPr>
            </w:pPr>
          </w:p>
        </w:tc>
      </w:tr>
      <w:tr w14:paraId="5EDF7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38" w:type="dxa"/>
            <w:vMerge w:val="continue"/>
            <w:noWrap w:val="0"/>
            <w:vAlign w:val="center"/>
          </w:tcPr>
          <w:p w14:paraId="533A3063">
            <w:pPr>
              <w:adjustRightInd w:val="0"/>
              <w:snapToGrid w:val="0"/>
              <w:jc w:val="center"/>
              <w:rPr>
                <w:rFonts w:hint="default" w:ascii="Times New Roman" w:hAnsi="Times New Roman" w:cs="Times New Roman"/>
                <w:color w:val="auto"/>
                <w:sz w:val="21"/>
                <w:szCs w:val="21"/>
              </w:rPr>
            </w:pPr>
          </w:p>
        </w:tc>
        <w:tc>
          <w:tcPr>
            <w:tcW w:w="1568" w:type="dxa"/>
            <w:noWrap w:val="0"/>
            <w:vAlign w:val="center"/>
          </w:tcPr>
          <w:p w14:paraId="096CA651">
            <w:pPr>
              <w:pStyle w:val="143"/>
              <w:adjustRightInd w:val="0"/>
              <w:snapToGrid w:val="0"/>
              <w:spacing w:line="240" w:lineRule="exact"/>
              <w:ind w:left="105" w:leftChars="5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设备维护保养</w:t>
            </w:r>
          </w:p>
        </w:tc>
        <w:tc>
          <w:tcPr>
            <w:tcW w:w="1267" w:type="dxa"/>
            <w:tcBorders>
              <w:bottom w:val="single" w:color="auto" w:sz="4" w:space="0"/>
            </w:tcBorders>
            <w:noWrap w:val="0"/>
            <w:vAlign w:val="center"/>
          </w:tcPr>
          <w:p w14:paraId="53CA92FA">
            <w:pPr>
              <w:pStyle w:val="143"/>
              <w:adjustRightInd w:val="0"/>
              <w:snapToGrid w:val="0"/>
              <w:spacing w:line="240" w:lineRule="exact"/>
              <w:ind w:left="105" w:leftChars="5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含油抹布及手套</w:t>
            </w:r>
          </w:p>
        </w:tc>
        <w:tc>
          <w:tcPr>
            <w:tcW w:w="2040" w:type="dxa"/>
            <w:vMerge w:val="continue"/>
            <w:noWrap w:val="0"/>
            <w:vAlign w:val="center"/>
          </w:tcPr>
          <w:p w14:paraId="2497A5F8">
            <w:pPr>
              <w:jc w:val="center"/>
              <w:rPr>
                <w:rFonts w:hint="eastAsia" w:cs="Times New Roman"/>
                <w:color w:val="auto"/>
                <w:sz w:val="21"/>
                <w:szCs w:val="21"/>
                <w:lang w:val="en-US" w:eastAsia="zh-CN"/>
              </w:rPr>
            </w:pPr>
          </w:p>
        </w:tc>
        <w:tc>
          <w:tcPr>
            <w:tcW w:w="2393" w:type="dxa"/>
            <w:gridSpan w:val="2"/>
            <w:vMerge w:val="continue"/>
            <w:noWrap w:val="0"/>
            <w:vAlign w:val="center"/>
          </w:tcPr>
          <w:p w14:paraId="61E8FD7D">
            <w:pPr>
              <w:pStyle w:val="215"/>
              <w:rPr>
                <w:rFonts w:hint="default" w:ascii="Times New Roman" w:hAnsi="Times New Roman" w:cs="Times New Roman"/>
                <w:color w:val="auto"/>
                <w:kern w:val="0"/>
                <w:sz w:val="21"/>
                <w:szCs w:val="21"/>
              </w:rPr>
            </w:pPr>
          </w:p>
        </w:tc>
      </w:tr>
      <w:tr w14:paraId="61279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38" w:type="dxa"/>
            <w:noWrap w:val="0"/>
            <w:vAlign w:val="center"/>
          </w:tcPr>
          <w:p w14:paraId="2F78F011">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14:paraId="4988713F">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268" w:type="dxa"/>
            <w:gridSpan w:val="5"/>
            <w:noWrap w:val="0"/>
            <w:vAlign w:val="center"/>
          </w:tcPr>
          <w:p w14:paraId="51D427CE">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土壤、地下水</w:t>
            </w:r>
            <w:r>
              <w:rPr>
                <w:rFonts w:hint="default" w:ascii="Times New Roman" w:hAnsi="Times New Roman" w:cs="Times New Roman"/>
                <w:color w:val="auto"/>
                <w:szCs w:val="21"/>
                <w:lang w:val="en-US" w:eastAsia="zh-CN"/>
              </w:rPr>
              <w:t>分</w:t>
            </w:r>
            <w:r>
              <w:rPr>
                <w:rFonts w:hint="default" w:ascii="Times New Roman" w:hAnsi="Times New Roman" w:cs="Times New Roman"/>
                <w:color w:val="auto"/>
                <w:szCs w:val="21"/>
              </w:rPr>
              <w:t>区防控。主要包括污染区地面的防渗措施和泄漏、渗漏污染物收集措施，即在污染区地面进行防渗处理，防止洒落地面的污染物渗入地下，从而避免对地下水的污染。根据项目场地天然包气带防污性能、污染控制难易程度和污染物特性对项目进行分区防控</w:t>
            </w:r>
          </w:p>
        </w:tc>
      </w:tr>
      <w:tr w14:paraId="46676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38" w:type="dxa"/>
            <w:noWrap w:val="0"/>
            <w:vAlign w:val="center"/>
          </w:tcPr>
          <w:p w14:paraId="1E4C78F7">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268" w:type="dxa"/>
            <w:gridSpan w:val="5"/>
            <w:noWrap w:val="0"/>
            <w:vAlign w:val="center"/>
          </w:tcPr>
          <w:p w14:paraId="3580F9C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本项目不涉及</w:t>
            </w:r>
          </w:p>
        </w:tc>
      </w:tr>
      <w:tr w14:paraId="3A8E6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38" w:type="dxa"/>
            <w:noWrap w:val="0"/>
            <w:vAlign w:val="center"/>
          </w:tcPr>
          <w:p w14:paraId="5B18E05C">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14:paraId="5C4AED69">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268" w:type="dxa"/>
            <w:gridSpan w:val="5"/>
            <w:noWrap w:val="0"/>
            <w:vAlign w:val="center"/>
          </w:tcPr>
          <w:p w14:paraId="10B78720">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（1）运输、储存及生产过程中风险防范对策与措施</w:t>
            </w:r>
          </w:p>
          <w:p w14:paraId="0C302145">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a、厂区平面布置方面防范措施</w:t>
            </w:r>
          </w:p>
          <w:p w14:paraId="5B85051D">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严格按照防火规范进行平面布置，电气设备及仪表按防爆等级的不同选用不同的设备，设置明显的警示标志。</w:t>
            </w:r>
          </w:p>
          <w:p w14:paraId="344DEE3B">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b、化学品物料的储存和</w:t>
            </w:r>
            <w:r>
              <w:rPr>
                <w:rFonts w:hint="default" w:ascii="Times New Roman" w:hAnsi="Times New Roman" w:eastAsia="宋体" w:cs="Times New Roman"/>
                <w:color w:val="auto"/>
                <w:kern w:val="0"/>
                <w:sz w:val="21"/>
                <w:szCs w:val="21"/>
                <w:lang w:eastAsia="zh-CN"/>
              </w:rPr>
              <w:t>采取</w:t>
            </w:r>
            <w:r>
              <w:rPr>
                <w:rFonts w:hint="default" w:ascii="Times New Roman" w:hAnsi="Times New Roman" w:eastAsia="宋体" w:cs="Times New Roman"/>
                <w:color w:val="auto"/>
                <w:kern w:val="0"/>
                <w:sz w:val="21"/>
                <w:szCs w:val="21"/>
              </w:rPr>
              <w:t>风险防范措施</w:t>
            </w:r>
          </w:p>
          <w:p w14:paraId="1ECB7084">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①严格限制仓库中各类化学品物料的储存量，应尽量缩短物料储存周期，减少重大风险事故的隐患。</w:t>
            </w:r>
          </w:p>
          <w:p w14:paraId="72F806A0">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②设立规章制度，生产、仓储区域严禁吸烟与动火作业；</w:t>
            </w:r>
          </w:p>
          <w:p w14:paraId="1DC9C39B">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③配备种类与数量齐全的消防设备以防范火灾、爆炸等危险事故的发生；</w:t>
            </w:r>
          </w:p>
          <w:p w14:paraId="1405BAD8">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④易燃易爆化学品存放在防爆柜中；</w:t>
            </w:r>
          </w:p>
          <w:p w14:paraId="41C05883">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⑤对员工进行安全教育，培训其事故应急处理能力。</w:t>
            </w:r>
          </w:p>
          <w:p w14:paraId="1BB335E8">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c、危废暂存场所风险防范措施</w:t>
            </w:r>
          </w:p>
          <w:p w14:paraId="5C2CD3F7">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企业危废暂存场所按照《危险废物贮存污染控制标准》（GB 18597-2023）建设管理，设置防风、防雨、防晒、防渗等措施；存放废液的地方，需设耐腐蚀硬化地面和防泄漏托盘；在明显地点设有警示标志，输配电线、灯具、火灾事故照明和疏散指示标志均应符合安全要求。项目产生的危险固废进行科学的分类收集，不相容危险废物要分别存放或存放在不渗透间隔分开的区域内；必须定期对所贮存的危险废物包装容器及贮存设施进行检查，发现破损，应及时采取措施清理更换。对危险废物进行规范的贮存和运送，危险废物转交及运送过程中，严格执行《危险废物转移管理办法》（部令第23号）中的相关条款，确保危险废物安全转移运输。</w:t>
            </w:r>
          </w:p>
          <w:p w14:paraId="3F8E3B6F">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d、消防及火灾报警系统</w:t>
            </w:r>
          </w:p>
          <w:p w14:paraId="2AF569F1">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根据《建筑灭火器配置设计规范》（GB50140-2005）、《建筑防火通用规范》（GB 55037-2022）、《消防设施通用规范》（GB 55036-2022）和《建筑设计防火规范》（GB50016-2014）的规定，车间、公用工程、原辅料及危废存储区等场所应配置足量的抗溶泡沫、泡沫、干粉等灭火器，并保持完好状态。在车间、贮存场所等公用工程设施室内设置符合要求的消火栓。在厂区内应设自动灭火系统；工厂工艺技术尽量应用自动化、密闭化及远程化控制手段，在仪表控制系统尽量使用</w:t>
            </w:r>
            <w:r>
              <w:rPr>
                <w:rFonts w:hint="default" w:ascii="Times New Roman" w:hAnsi="Times New Roman" w:eastAsia="宋体" w:cs="Times New Roman"/>
                <w:color w:val="auto"/>
                <w:kern w:val="0"/>
                <w:sz w:val="21"/>
                <w:szCs w:val="21"/>
                <w:lang w:eastAsia="zh-CN"/>
              </w:rPr>
              <w:t>联锁</w:t>
            </w:r>
            <w:r>
              <w:rPr>
                <w:rFonts w:hint="default" w:ascii="Times New Roman" w:hAnsi="Times New Roman" w:eastAsia="宋体" w:cs="Times New Roman"/>
                <w:color w:val="auto"/>
                <w:kern w:val="0"/>
                <w:sz w:val="21"/>
                <w:szCs w:val="21"/>
              </w:rPr>
              <w:t>、声光、报警等事故应急系统。车间、原辅料及危废暂存场所</w:t>
            </w:r>
            <w:r>
              <w:rPr>
                <w:rFonts w:hint="default" w:ascii="Times New Roman" w:hAnsi="Times New Roman" w:eastAsia="宋体" w:cs="Times New Roman"/>
                <w:color w:val="auto"/>
                <w:kern w:val="0"/>
                <w:sz w:val="21"/>
                <w:szCs w:val="21"/>
                <w:lang w:eastAsia="zh-CN"/>
              </w:rPr>
              <w:t>等</w:t>
            </w:r>
            <w:r>
              <w:rPr>
                <w:rFonts w:hint="default" w:ascii="Times New Roman" w:hAnsi="Times New Roman" w:eastAsia="宋体" w:cs="Times New Roman"/>
                <w:color w:val="auto"/>
                <w:kern w:val="0"/>
                <w:sz w:val="21"/>
                <w:szCs w:val="21"/>
              </w:rPr>
              <w:t>的电气装置和照明设施应满足各危险场所的防爆要求，并设置应急电源和应急照明。</w:t>
            </w:r>
          </w:p>
          <w:p w14:paraId="1E0F4955">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e、管理方面防范措施</w:t>
            </w:r>
          </w:p>
          <w:p w14:paraId="48601E84">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①企业应加强对员工及新进厂员工的工艺操作规程、安全操作规程等的培训，并取得相应的合格证书或上岗证。设立规章制度，车间、仓储区域严禁吸烟与动火作业。</w:t>
            </w:r>
          </w:p>
          <w:p w14:paraId="16B7F965">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②企业加强对职工环保安全教育，专业培训和考核。使职工具有高度的安全责任心，熟练</w:t>
            </w:r>
            <w:r>
              <w:rPr>
                <w:rFonts w:hint="default" w:ascii="Times New Roman" w:hAnsi="Times New Roman" w:eastAsia="宋体" w:cs="Times New Roman"/>
                <w:color w:val="auto"/>
                <w:kern w:val="0"/>
                <w:sz w:val="21"/>
                <w:szCs w:val="21"/>
                <w:lang w:eastAsia="zh-CN"/>
              </w:rPr>
              <w:t>地</w:t>
            </w:r>
            <w:r>
              <w:rPr>
                <w:rFonts w:hint="default" w:ascii="Times New Roman" w:hAnsi="Times New Roman" w:eastAsia="宋体" w:cs="Times New Roman"/>
                <w:color w:val="auto"/>
                <w:kern w:val="0"/>
                <w:sz w:val="21"/>
                <w:szCs w:val="21"/>
              </w:rPr>
              <w:t>操作技能，增强事故情况应急处理能力。</w:t>
            </w:r>
          </w:p>
          <w:p w14:paraId="28F6A560">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③制定风险事故的应急方案并落实到人，一旦发生事故，就能迅速采取防范措施进行控制，把事故所造成的影响降低</w:t>
            </w:r>
            <w:r>
              <w:rPr>
                <w:rFonts w:hint="default" w:ascii="Times New Roman" w:hAnsi="Times New Roman" w:eastAsia="宋体" w:cs="Times New Roman"/>
                <w:color w:val="auto"/>
                <w:kern w:val="0"/>
                <w:sz w:val="21"/>
                <w:szCs w:val="21"/>
                <w:lang w:eastAsia="zh-CN"/>
              </w:rPr>
              <w:t>到最低程度</w:t>
            </w:r>
            <w:r>
              <w:rPr>
                <w:rFonts w:hint="default" w:ascii="Times New Roman" w:hAnsi="Times New Roman" w:eastAsia="宋体" w:cs="Times New Roman"/>
                <w:color w:val="auto"/>
                <w:kern w:val="0"/>
                <w:sz w:val="21"/>
                <w:szCs w:val="21"/>
              </w:rPr>
              <w:t>。</w:t>
            </w:r>
          </w:p>
          <w:p w14:paraId="6927D169">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④企业应针对其特点制定相对应安全生产应急操作规程，组织演练，并从中发现问题，并定期组织学习事故应急预案和演练，根据演习情况结合实际情况不断完善预案。</w:t>
            </w:r>
          </w:p>
          <w:p w14:paraId="193F53CF">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⑤发生火灾事故后，会产生大量的事故废水，这些废水必须进入单独的应急事故池收集以便后续处理。</w:t>
            </w:r>
          </w:p>
          <w:p w14:paraId="4B66C590">
            <w:pPr>
              <w:autoSpaceDE w:val="0"/>
              <w:autoSpaceDN w:val="0"/>
              <w:adjustRightInd w:val="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⑥本项目设置永久性采样口；每天检查过滤层前后压差计，压差超过500Pa时及时更换过滤网，并做好点检记录。</w:t>
            </w:r>
          </w:p>
          <w:p w14:paraId="3E1970CC">
            <w:pPr>
              <w:autoSpaceDE w:val="0"/>
              <w:autoSpaceDN w:val="0"/>
              <w:adjustRightInd w:val="0"/>
              <w:jc w:val="left"/>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rPr>
              <w:t>⑦废气治理措施与生产设备设置联动控制系统，保证治理工程先于生产废气的生产工艺设备开启，后于生产工艺设备停机。</w:t>
            </w:r>
          </w:p>
        </w:tc>
      </w:tr>
      <w:tr w14:paraId="79782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8" w:type="dxa"/>
            <w:noWrap w:val="0"/>
            <w:vAlign w:val="center"/>
          </w:tcPr>
          <w:p w14:paraId="4957BAC6">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14:paraId="7135BDB6">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268" w:type="dxa"/>
            <w:gridSpan w:val="5"/>
            <w:noWrap w:val="0"/>
            <w:vAlign w:val="center"/>
          </w:tcPr>
          <w:p w14:paraId="36D077BA">
            <w:pPr>
              <w:pStyle w:val="188"/>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（1）环境管理</w:t>
            </w:r>
          </w:p>
          <w:p w14:paraId="3EC7BBC6">
            <w:pPr>
              <w:pStyle w:val="188"/>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公司应设置环保专员岗位，其主要职责为：贯彻执行国家和地方的环境保护法规和标准；接受环保主管部门的检查监督，定期上报各项环境管理工作的执行情况；组织制定公司各部门的环境管理规章制度，并监督执行；负责公司环保设施的正常运转。</w:t>
            </w:r>
          </w:p>
          <w:p w14:paraId="5DDC9721">
            <w:pPr>
              <w:pStyle w:val="188"/>
              <w:jc w:val="left"/>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rPr>
              <w:t>主要产尘点位和设施安装高清视频监控设施，生产设施和治污设施应安装用电监控设施，生产车间门口和厂区内物料运输主干道路口等关键点位布设空气质量监测微站</w:t>
            </w:r>
            <w:r>
              <w:rPr>
                <w:rFonts w:hint="default" w:ascii="Times New Roman" w:hAnsi="Times New Roman" w:eastAsia="宋体" w:cs="Times New Roman"/>
                <w:color w:val="auto"/>
                <w:kern w:val="2"/>
                <w:sz w:val="21"/>
                <w:szCs w:val="21"/>
                <w:lang w:eastAsia="zh-CN"/>
              </w:rPr>
              <w:t>。</w:t>
            </w:r>
          </w:p>
          <w:p w14:paraId="11473CE0">
            <w:pPr>
              <w:pStyle w:val="188"/>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（2）排污许可证管理要求</w:t>
            </w:r>
          </w:p>
          <w:p w14:paraId="0BAAE698">
            <w:pPr>
              <w:pStyle w:val="188"/>
              <w:jc w:val="left"/>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rPr>
              <w:t>根据</w:t>
            </w:r>
            <w:r>
              <w:rPr>
                <w:rFonts w:hint="default" w:ascii="Times New Roman" w:hAnsi="Times New Roman" w:cs="Times New Roman"/>
                <w:color w:val="auto"/>
                <w:sz w:val="21"/>
                <w:szCs w:val="21"/>
                <w:lang w:val="en-US" w:eastAsia="zh-CN"/>
              </w:rPr>
              <w:t>《关于进一步优化建设项目排污总量指标管理提升环评审批效能的意见（试行）》</w:t>
            </w:r>
            <w:r>
              <w:rPr>
                <w:rFonts w:hint="eastAsia" w:ascii="Times New Roman" w:hAnsi="Times New Roman" w:cs="Times New Roman"/>
                <w:color w:val="auto"/>
                <w:sz w:val="21"/>
                <w:szCs w:val="21"/>
                <w:lang w:val="en-US" w:eastAsia="zh-CN"/>
              </w:rPr>
              <w:t>（通环办〔2023〕132号），并根据</w:t>
            </w:r>
            <w:r>
              <w:rPr>
                <w:rFonts w:hint="default" w:ascii="Times New Roman" w:hAnsi="Times New Roman" w:cs="Times New Roman"/>
                <w:color w:val="auto"/>
                <w:kern w:val="2"/>
                <w:sz w:val="21"/>
                <w:szCs w:val="21"/>
              </w:rPr>
              <w:t>《固定污染源排污许可分类管理名录》（2019年版），</w:t>
            </w:r>
            <w:r>
              <w:rPr>
                <w:rFonts w:hint="eastAsia" w:ascii="Times New Roman" w:hAnsi="Times New Roman" w:cs="Times New Roman"/>
                <w:color w:val="auto"/>
                <w:kern w:val="2"/>
                <w:sz w:val="21"/>
                <w:szCs w:val="21"/>
                <w:lang w:val="en-US" w:eastAsia="zh-CN"/>
              </w:rPr>
              <w:t>本项目属于排污许可登记管理</w:t>
            </w:r>
            <w:r>
              <w:rPr>
                <w:rFonts w:hint="default" w:ascii="Times New Roman" w:hAnsi="Times New Roman" w:eastAsia="宋体" w:cs="Times New Roman"/>
                <w:color w:val="auto"/>
                <w:sz w:val="21"/>
                <w:szCs w:val="21"/>
              </w:rPr>
              <w:t>。</w:t>
            </w:r>
          </w:p>
        </w:tc>
      </w:tr>
    </w:tbl>
    <w:p w14:paraId="735669E8">
      <w:pPr>
        <w:pStyle w:val="37"/>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r>
        <w:rPr>
          <w:rFonts w:ascii="Times New Roman" w:hAnsi="Times New Roman" w:eastAsia="黑体"/>
          <w:snapToGrid w:val="0"/>
          <w:color w:val="auto"/>
          <w:sz w:val="30"/>
          <w:szCs w:val="30"/>
        </w:rPr>
        <w:t>六、结论</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73B7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4CBC2473">
            <w:pPr>
              <w:autoSpaceDE w:val="0"/>
              <w:autoSpaceDN w:val="0"/>
              <w:adjustRightInd w:val="0"/>
              <w:spacing w:line="360" w:lineRule="auto"/>
              <w:ind w:firstLine="482" w:firstLineChars="200"/>
              <w:jc w:val="left"/>
              <w:rPr>
                <w:b/>
                <w:bCs/>
                <w:color w:val="auto"/>
                <w:kern w:val="0"/>
                <w:sz w:val="24"/>
                <w:szCs w:val="24"/>
              </w:rPr>
            </w:pPr>
            <w:r>
              <w:rPr>
                <w:b/>
                <w:bCs/>
                <w:color w:val="auto"/>
                <w:kern w:val="0"/>
                <w:sz w:val="24"/>
                <w:szCs w:val="24"/>
              </w:rPr>
              <w:t>综上所述，本项目采用本报告表的各项污染防治措施，各项污染物实现达标排放，且不会降低评价区域原有环境质量功能级别。实施过程中要严格执行“三同时”制度，在严格执行各项环保措施的前提下，从环境角度而言，该项目是可行的。</w:t>
            </w:r>
          </w:p>
          <w:p w14:paraId="02C54110">
            <w:pPr>
              <w:pStyle w:val="23"/>
              <w:rPr>
                <w:color w:val="auto"/>
                <w:szCs w:val="22"/>
              </w:rPr>
            </w:pPr>
          </w:p>
          <w:p w14:paraId="58B846DF">
            <w:pPr>
              <w:autoSpaceDE w:val="0"/>
              <w:autoSpaceDN w:val="0"/>
              <w:adjustRightInd w:val="0"/>
              <w:spacing w:line="360" w:lineRule="auto"/>
              <w:ind w:firstLine="480" w:firstLineChars="200"/>
              <w:jc w:val="left"/>
              <w:rPr>
                <w:color w:val="auto"/>
                <w:kern w:val="0"/>
                <w:sz w:val="24"/>
              </w:rPr>
            </w:pPr>
          </w:p>
          <w:p w14:paraId="695D5B6A">
            <w:pPr>
              <w:spacing w:line="360" w:lineRule="auto"/>
              <w:rPr>
                <w:color w:val="auto"/>
                <w:sz w:val="24"/>
              </w:rPr>
            </w:pPr>
          </w:p>
        </w:tc>
      </w:tr>
    </w:tbl>
    <w:p w14:paraId="4732FBAD">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0D59A80">
      <w:pPr>
        <w:pStyle w:val="37"/>
        <w:adjustRightInd w:val="0"/>
        <w:snapToGrid w:val="0"/>
        <w:spacing w:before="0" w:beforeAutospacing="0" w:after="0" w:afterAutospacing="0" w:line="240" w:lineRule="auto"/>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14:paraId="1DD4D6EE">
      <w:pPr>
        <w:pStyle w:val="3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Times New Roman" w:hAnsi="Times New Roman" w:eastAsia="方正小标宋_GBK"/>
          <w:snapToGrid w:val="0"/>
          <w:color w:val="auto"/>
          <w:sz w:val="38"/>
          <w:szCs w:val="38"/>
        </w:rPr>
      </w:pPr>
      <w:r>
        <w:rPr>
          <w:rFonts w:ascii="Times New Roman" w:hAnsi="Times New Roman" w:eastAsia="方正小标宋_GBK"/>
          <w:snapToGrid w:val="0"/>
          <w:color w:val="auto"/>
          <w:sz w:val="38"/>
          <w:szCs w:val="38"/>
        </w:rPr>
        <w:t>建设项目污染物排放量汇总表</w:t>
      </w:r>
    </w:p>
    <w:tbl>
      <w:tblPr>
        <w:tblStyle w:val="4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46"/>
        <w:gridCol w:w="971"/>
        <w:gridCol w:w="1559"/>
        <w:gridCol w:w="1418"/>
        <w:gridCol w:w="1701"/>
        <w:gridCol w:w="1559"/>
        <w:gridCol w:w="1761"/>
        <w:gridCol w:w="1641"/>
        <w:gridCol w:w="1144"/>
      </w:tblGrid>
      <w:tr w14:paraId="40A10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tcBorders>
              <w:tl2br w:val="single" w:color="auto" w:sz="4" w:space="0"/>
            </w:tcBorders>
            <w:noWrap w:val="0"/>
            <w:tcMar>
              <w:left w:w="28" w:type="dxa"/>
              <w:right w:w="28" w:type="dxa"/>
            </w:tcMar>
            <w:vAlign w:val="center"/>
          </w:tcPr>
          <w:p w14:paraId="4E6C4436">
            <w:pPr>
              <w:pStyle w:val="64"/>
              <w:spacing w:beforeLines="0" w:afterLines="0" w:line="240" w:lineRule="auto"/>
              <w:jc w:val="right"/>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项目</w:t>
            </w:r>
          </w:p>
          <w:p w14:paraId="1D164F58">
            <w:pPr>
              <w:pStyle w:val="64"/>
              <w:spacing w:beforeLines="0" w:afterLines="0" w:line="240" w:lineRule="auto"/>
              <w:jc w:val="left"/>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分类</w:t>
            </w:r>
          </w:p>
        </w:tc>
        <w:tc>
          <w:tcPr>
            <w:tcW w:w="1417" w:type="dxa"/>
            <w:gridSpan w:val="2"/>
            <w:noWrap w:val="0"/>
            <w:tcMar>
              <w:left w:w="28" w:type="dxa"/>
              <w:right w:w="28" w:type="dxa"/>
            </w:tcMar>
            <w:vAlign w:val="center"/>
          </w:tcPr>
          <w:p w14:paraId="729BDE51">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污染物名称</w:t>
            </w:r>
          </w:p>
        </w:tc>
        <w:tc>
          <w:tcPr>
            <w:tcW w:w="1559" w:type="dxa"/>
            <w:noWrap w:val="0"/>
            <w:tcMar>
              <w:left w:w="28" w:type="dxa"/>
              <w:right w:w="28" w:type="dxa"/>
            </w:tcMar>
            <w:vAlign w:val="center"/>
          </w:tcPr>
          <w:p w14:paraId="22A67E3B">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现有工程</w:t>
            </w:r>
          </w:p>
          <w:p w14:paraId="1B402B43">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排放量（固体废物产生量）</w:t>
            </w:r>
            <w:r>
              <w:rPr>
                <w:rFonts w:hint="default" w:ascii="Times New Roman" w:hAnsi="Times New Roman" w:eastAsia="宋体" w:cs="Times New Roman"/>
                <w:snapToGrid w:val="0"/>
                <w:color w:val="auto"/>
                <w:spacing w:val="-6"/>
                <w:kern w:val="21"/>
                <w:sz w:val="18"/>
                <w:szCs w:val="18"/>
                <w:lang w:val="en-US" w:eastAsia="zh-CN"/>
              </w:rPr>
              <w:fldChar w:fldCharType="begin"/>
            </w:r>
            <w:r>
              <w:rPr>
                <w:rFonts w:hint="default" w:ascii="Times New Roman" w:hAnsi="Times New Roman" w:eastAsia="宋体" w:cs="Times New Roman"/>
                <w:snapToGrid w:val="0"/>
                <w:color w:val="auto"/>
                <w:spacing w:val="-6"/>
                <w:kern w:val="21"/>
                <w:sz w:val="18"/>
                <w:szCs w:val="18"/>
                <w:lang w:val="en-US" w:eastAsia="zh-CN"/>
              </w:rPr>
              <w:instrText xml:space="preserve"> = 1 \* GB3 \* MERGEFORMAT </w:instrText>
            </w:r>
            <w:r>
              <w:rPr>
                <w:rFonts w:hint="default" w:ascii="Times New Roman" w:hAnsi="Times New Roman" w:eastAsia="宋体" w:cs="Times New Roman"/>
                <w:snapToGrid w:val="0"/>
                <w:color w:val="auto"/>
                <w:spacing w:val="-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①</w:t>
            </w:r>
            <w:r>
              <w:rPr>
                <w:rFonts w:hint="default" w:ascii="Times New Roman" w:hAnsi="Times New Roman" w:eastAsia="宋体" w:cs="Times New Roman"/>
                <w:snapToGrid w:val="0"/>
                <w:color w:val="auto"/>
                <w:spacing w:val="-6"/>
                <w:kern w:val="21"/>
                <w:sz w:val="18"/>
                <w:szCs w:val="18"/>
                <w:lang w:val="en-US" w:eastAsia="zh-CN"/>
              </w:rPr>
              <w:fldChar w:fldCharType="end"/>
            </w:r>
          </w:p>
        </w:tc>
        <w:tc>
          <w:tcPr>
            <w:tcW w:w="1418" w:type="dxa"/>
            <w:noWrap w:val="0"/>
            <w:tcMar>
              <w:left w:w="28" w:type="dxa"/>
              <w:right w:w="28" w:type="dxa"/>
            </w:tcMar>
            <w:vAlign w:val="center"/>
          </w:tcPr>
          <w:p w14:paraId="010D9794">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现有工程</w:t>
            </w:r>
          </w:p>
          <w:p w14:paraId="79E8E4D8">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许可排放量</w:t>
            </w:r>
          </w:p>
          <w:p w14:paraId="69FA81DD">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fldChar w:fldCharType="begin"/>
            </w:r>
            <w:r>
              <w:rPr>
                <w:rFonts w:hint="default" w:ascii="Times New Roman" w:hAnsi="Times New Roman" w:eastAsia="宋体" w:cs="Times New Roman"/>
                <w:snapToGrid w:val="0"/>
                <w:color w:val="auto"/>
                <w:spacing w:val="-6"/>
                <w:kern w:val="21"/>
                <w:sz w:val="18"/>
                <w:szCs w:val="18"/>
                <w:lang w:val="en-US" w:eastAsia="zh-CN"/>
              </w:rPr>
              <w:instrText xml:space="preserve"> = 2 \* GB3 \* MERGEFORMAT </w:instrText>
            </w:r>
            <w:r>
              <w:rPr>
                <w:rFonts w:hint="default" w:ascii="Times New Roman" w:hAnsi="Times New Roman" w:eastAsia="宋体" w:cs="Times New Roman"/>
                <w:snapToGrid w:val="0"/>
                <w:color w:val="auto"/>
                <w:spacing w:val="-6"/>
                <w:kern w:val="21"/>
                <w:sz w:val="18"/>
                <w:szCs w:val="18"/>
                <w:lang w:val="en-US" w:eastAsia="zh-CN"/>
              </w:rPr>
              <w:fldChar w:fldCharType="separate"/>
            </w:r>
            <w:r>
              <w:rPr>
                <w:rFonts w:hint="default" w:ascii="Times New Roman" w:hAnsi="Times New Roman" w:eastAsia="宋体" w:cs="Times New Roman"/>
                <w:snapToGrid w:val="0"/>
                <w:color w:val="auto"/>
                <w:spacing w:val="-6"/>
                <w:kern w:val="21"/>
                <w:sz w:val="18"/>
                <w:szCs w:val="18"/>
                <w:lang w:val="en-US" w:eastAsia="zh-CN"/>
              </w:rPr>
              <w:t>②</w:t>
            </w:r>
            <w:r>
              <w:rPr>
                <w:rFonts w:hint="default" w:ascii="Times New Roman" w:hAnsi="Times New Roman" w:eastAsia="宋体" w:cs="Times New Roman"/>
                <w:snapToGrid w:val="0"/>
                <w:color w:val="auto"/>
                <w:spacing w:val="-6"/>
                <w:kern w:val="21"/>
                <w:sz w:val="18"/>
                <w:szCs w:val="18"/>
                <w:lang w:val="en-US" w:eastAsia="zh-CN"/>
              </w:rPr>
              <w:fldChar w:fldCharType="end"/>
            </w:r>
          </w:p>
        </w:tc>
        <w:tc>
          <w:tcPr>
            <w:tcW w:w="1701" w:type="dxa"/>
            <w:noWrap w:val="0"/>
            <w:tcMar>
              <w:left w:w="28" w:type="dxa"/>
              <w:right w:w="28" w:type="dxa"/>
            </w:tcMar>
            <w:vAlign w:val="center"/>
          </w:tcPr>
          <w:p w14:paraId="3CD88609">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在建工程</w:t>
            </w:r>
          </w:p>
          <w:p w14:paraId="46691023">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排放量（固体废物产生量）</w:t>
            </w:r>
            <w:r>
              <w:rPr>
                <w:rFonts w:hint="default" w:ascii="Times New Roman" w:hAnsi="Times New Roman" w:eastAsia="宋体" w:cs="Times New Roman"/>
                <w:snapToGrid w:val="0"/>
                <w:color w:val="auto"/>
                <w:spacing w:val="-6"/>
                <w:kern w:val="21"/>
                <w:sz w:val="18"/>
                <w:szCs w:val="18"/>
                <w:lang w:val="en-US" w:eastAsia="zh-CN"/>
              </w:rPr>
              <w:fldChar w:fldCharType="begin"/>
            </w:r>
            <w:r>
              <w:rPr>
                <w:rFonts w:hint="default" w:ascii="Times New Roman" w:hAnsi="Times New Roman" w:eastAsia="宋体" w:cs="Times New Roman"/>
                <w:snapToGrid w:val="0"/>
                <w:color w:val="auto"/>
                <w:spacing w:val="-6"/>
                <w:kern w:val="21"/>
                <w:sz w:val="18"/>
                <w:szCs w:val="18"/>
                <w:lang w:val="en-US" w:eastAsia="zh-CN"/>
              </w:rPr>
              <w:instrText xml:space="preserve"> = 3 \* GB3 \* MERGEFORMAT </w:instrText>
            </w:r>
            <w:r>
              <w:rPr>
                <w:rFonts w:hint="default" w:ascii="Times New Roman" w:hAnsi="Times New Roman" w:eastAsia="宋体" w:cs="Times New Roman"/>
                <w:snapToGrid w:val="0"/>
                <w:color w:val="auto"/>
                <w:spacing w:val="-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③</w:t>
            </w:r>
            <w:r>
              <w:rPr>
                <w:rFonts w:hint="default" w:ascii="Times New Roman" w:hAnsi="Times New Roman" w:eastAsia="宋体" w:cs="Times New Roman"/>
                <w:snapToGrid w:val="0"/>
                <w:color w:val="auto"/>
                <w:spacing w:val="-6"/>
                <w:kern w:val="21"/>
                <w:sz w:val="18"/>
                <w:szCs w:val="18"/>
                <w:lang w:val="en-US" w:eastAsia="zh-CN"/>
              </w:rPr>
              <w:fldChar w:fldCharType="end"/>
            </w:r>
          </w:p>
        </w:tc>
        <w:tc>
          <w:tcPr>
            <w:tcW w:w="1559" w:type="dxa"/>
            <w:noWrap w:val="0"/>
            <w:tcMar>
              <w:left w:w="28" w:type="dxa"/>
              <w:right w:w="28" w:type="dxa"/>
            </w:tcMar>
            <w:vAlign w:val="center"/>
          </w:tcPr>
          <w:p w14:paraId="0342A4AC">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本项目</w:t>
            </w:r>
          </w:p>
          <w:p w14:paraId="33BBD511">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排放量（固体废物产生量）</w:t>
            </w:r>
            <w:r>
              <w:rPr>
                <w:rFonts w:hint="default" w:ascii="Times New Roman" w:hAnsi="Times New Roman" w:eastAsia="宋体" w:cs="Times New Roman"/>
                <w:snapToGrid w:val="0"/>
                <w:color w:val="auto"/>
                <w:spacing w:val="-6"/>
                <w:kern w:val="21"/>
                <w:sz w:val="18"/>
                <w:szCs w:val="18"/>
                <w:lang w:val="en-US" w:eastAsia="zh-CN"/>
              </w:rPr>
              <w:fldChar w:fldCharType="begin"/>
            </w:r>
            <w:r>
              <w:rPr>
                <w:rFonts w:hint="default" w:ascii="Times New Roman" w:hAnsi="Times New Roman" w:eastAsia="宋体" w:cs="Times New Roman"/>
                <w:snapToGrid w:val="0"/>
                <w:color w:val="auto"/>
                <w:spacing w:val="-6"/>
                <w:kern w:val="21"/>
                <w:sz w:val="18"/>
                <w:szCs w:val="18"/>
                <w:lang w:val="en-US" w:eastAsia="zh-CN"/>
              </w:rPr>
              <w:instrText xml:space="preserve"> = 4 \* GB3 \* MERGEFORMAT </w:instrText>
            </w:r>
            <w:r>
              <w:rPr>
                <w:rFonts w:hint="default" w:ascii="Times New Roman" w:hAnsi="Times New Roman" w:eastAsia="宋体" w:cs="Times New Roman"/>
                <w:snapToGrid w:val="0"/>
                <w:color w:val="auto"/>
                <w:spacing w:val="-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④</w:t>
            </w:r>
            <w:r>
              <w:rPr>
                <w:rFonts w:hint="default" w:ascii="Times New Roman" w:hAnsi="Times New Roman" w:eastAsia="宋体" w:cs="Times New Roman"/>
                <w:snapToGrid w:val="0"/>
                <w:color w:val="auto"/>
                <w:spacing w:val="-6"/>
                <w:kern w:val="21"/>
                <w:sz w:val="18"/>
                <w:szCs w:val="18"/>
                <w:lang w:val="en-US" w:eastAsia="zh-CN"/>
              </w:rPr>
              <w:fldChar w:fldCharType="end"/>
            </w:r>
          </w:p>
        </w:tc>
        <w:tc>
          <w:tcPr>
            <w:tcW w:w="1761" w:type="dxa"/>
            <w:noWrap w:val="0"/>
            <w:tcMar>
              <w:left w:w="28" w:type="dxa"/>
              <w:right w:w="28" w:type="dxa"/>
            </w:tcMar>
            <w:vAlign w:val="center"/>
          </w:tcPr>
          <w:p w14:paraId="7D7E4581">
            <w:pPr>
              <w:pStyle w:val="64"/>
              <w:spacing w:beforeLines="0" w:afterLines="0" w:line="240" w:lineRule="auto"/>
              <w:rPr>
                <w:rFonts w:hint="default" w:ascii="Times New Roman" w:hAnsi="Times New Roman" w:eastAsia="宋体" w:cs="Times New Roman"/>
                <w:snapToGrid w:val="0"/>
                <w:color w:val="auto"/>
                <w:spacing w:val="-16"/>
                <w:kern w:val="21"/>
                <w:sz w:val="18"/>
                <w:szCs w:val="18"/>
                <w:lang w:val="en-US" w:eastAsia="zh-CN"/>
              </w:rPr>
            </w:pPr>
            <w:r>
              <w:rPr>
                <w:rFonts w:hint="default" w:ascii="Times New Roman" w:hAnsi="Times New Roman" w:eastAsia="宋体" w:cs="Times New Roman"/>
                <w:snapToGrid w:val="0"/>
                <w:color w:val="auto"/>
                <w:spacing w:val="-16"/>
                <w:kern w:val="21"/>
                <w:sz w:val="18"/>
                <w:szCs w:val="18"/>
                <w:lang w:val="en-US" w:eastAsia="zh-CN"/>
              </w:rPr>
              <w:t>以新带老削减量</w:t>
            </w:r>
          </w:p>
          <w:p w14:paraId="5A1F38BD">
            <w:pPr>
              <w:pStyle w:val="64"/>
              <w:spacing w:beforeLines="0" w:afterLines="0" w:line="240" w:lineRule="auto"/>
              <w:rPr>
                <w:rFonts w:hint="default" w:ascii="Times New Roman" w:hAnsi="Times New Roman" w:eastAsia="宋体" w:cs="Times New Roman"/>
                <w:snapToGrid w:val="0"/>
                <w:color w:val="auto"/>
                <w:spacing w:val="-16"/>
                <w:kern w:val="21"/>
                <w:sz w:val="18"/>
                <w:szCs w:val="18"/>
                <w:lang w:val="en-US" w:eastAsia="zh-CN"/>
              </w:rPr>
            </w:pPr>
            <w:r>
              <w:rPr>
                <w:rFonts w:hint="default" w:ascii="Times New Roman" w:hAnsi="Times New Roman" w:eastAsia="宋体" w:cs="Times New Roman"/>
                <w:snapToGrid w:val="0"/>
                <w:color w:val="auto"/>
                <w:spacing w:val="-16"/>
                <w:kern w:val="21"/>
                <w:sz w:val="18"/>
                <w:szCs w:val="18"/>
                <w:lang w:val="en-US" w:eastAsia="zh-CN"/>
              </w:rPr>
              <w:t>（新建项目不填）</w:t>
            </w:r>
            <w:r>
              <w:rPr>
                <w:rFonts w:hint="default" w:ascii="Times New Roman" w:hAnsi="Times New Roman" w:eastAsia="宋体" w:cs="Times New Roman"/>
                <w:snapToGrid w:val="0"/>
                <w:color w:val="auto"/>
                <w:spacing w:val="-16"/>
                <w:kern w:val="21"/>
                <w:sz w:val="18"/>
                <w:szCs w:val="18"/>
                <w:lang w:val="en-US" w:eastAsia="zh-CN"/>
              </w:rPr>
              <w:fldChar w:fldCharType="begin"/>
            </w:r>
            <w:r>
              <w:rPr>
                <w:rFonts w:hint="default" w:ascii="Times New Roman" w:hAnsi="Times New Roman" w:eastAsia="宋体" w:cs="Times New Roman"/>
                <w:snapToGrid w:val="0"/>
                <w:color w:val="auto"/>
                <w:spacing w:val="-16"/>
                <w:kern w:val="21"/>
                <w:sz w:val="18"/>
                <w:szCs w:val="18"/>
                <w:lang w:val="en-US" w:eastAsia="zh-CN"/>
              </w:rPr>
              <w:instrText xml:space="preserve"> = 5 \* GB3 \* MERGEFORMAT </w:instrText>
            </w:r>
            <w:r>
              <w:rPr>
                <w:rFonts w:hint="default" w:ascii="Times New Roman" w:hAnsi="Times New Roman" w:eastAsia="宋体" w:cs="Times New Roman"/>
                <w:snapToGrid w:val="0"/>
                <w:color w:val="auto"/>
                <w:spacing w:val="-1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⑤</w:t>
            </w:r>
            <w:r>
              <w:rPr>
                <w:rFonts w:hint="default" w:ascii="Times New Roman" w:hAnsi="Times New Roman" w:eastAsia="宋体" w:cs="Times New Roman"/>
                <w:snapToGrid w:val="0"/>
                <w:color w:val="auto"/>
                <w:spacing w:val="-16"/>
                <w:kern w:val="21"/>
                <w:sz w:val="18"/>
                <w:szCs w:val="18"/>
                <w:lang w:val="en-US" w:eastAsia="zh-CN"/>
              </w:rPr>
              <w:fldChar w:fldCharType="end"/>
            </w:r>
          </w:p>
        </w:tc>
        <w:tc>
          <w:tcPr>
            <w:tcW w:w="1641" w:type="dxa"/>
            <w:noWrap w:val="0"/>
            <w:tcMar>
              <w:left w:w="28" w:type="dxa"/>
              <w:right w:w="28" w:type="dxa"/>
            </w:tcMar>
            <w:vAlign w:val="center"/>
          </w:tcPr>
          <w:p w14:paraId="03CF782B">
            <w:pPr>
              <w:pStyle w:val="64"/>
              <w:spacing w:beforeLines="0" w:afterLines="0" w:line="240" w:lineRule="auto"/>
              <w:rPr>
                <w:rFonts w:hint="default" w:ascii="Times New Roman" w:hAnsi="Times New Roman" w:eastAsia="宋体" w:cs="Times New Roman"/>
                <w:snapToGrid w:val="0"/>
                <w:color w:val="auto"/>
                <w:spacing w:val="-16"/>
                <w:kern w:val="21"/>
                <w:sz w:val="18"/>
                <w:szCs w:val="18"/>
                <w:lang w:val="en-US" w:eastAsia="zh-CN"/>
              </w:rPr>
            </w:pPr>
            <w:r>
              <w:rPr>
                <w:rFonts w:hint="default" w:ascii="Times New Roman" w:hAnsi="Times New Roman" w:eastAsia="宋体" w:cs="Times New Roman"/>
                <w:snapToGrid w:val="0"/>
                <w:color w:val="auto"/>
                <w:spacing w:val="-16"/>
                <w:kern w:val="21"/>
                <w:sz w:val="18"/>
                <w:szCs w:val="18"/>
                <w:lang w:val="en-US" w:eastAsia="zh-CN"/>
              </w:rPr>
              <w:t>本项目建成后</w:t>
            </w:r>
          </w:p>
          <w:p w14:paraId="7354211A">
            <w:pPr>
              <w:pStyle w:val="64"/>
              <w:spacing w:beforeLines="0" w:afterLines="0" w:line="240" w:lineRule="auto"/>
              <w:rPr>
                <w:rFonts w:hint="default" w:ascii="Times New Roman" w:hAnsi="Times New Roman" w:eastAsia="宋体" w:cs="Times New Roman"/>
                <w:snapToGrid w:val="0"/>
                <w:color w:val="auto"/>
                <w:spacing w:val="-16"/>
                <w:kern w:val="21"/>
                <w:sz w:val="18"/>
                <w:szCs w:val="18"/>
                <w:lang w:val="en-US" w:eastAsia="zh-CN"/>
              </w:rPr>
            </w:pPr>
            <w:r>
              <w:rPr>
                <w:rFonts w:hint="default" w:ascii="Times New Roman" w:hAnsi="Times New Roman" w:eastAsia="宋体" w:cs="Times New Roman"/>
                <w:snapToGrid w:val="0"/>
                <w:color w:val="auto"/>
                <w:spacing w:val="-16"/>
                <w:kern w:val="21"/>
                <w:sz w:val="18"/>
                <w:szCs w:val="18"/>
                <w:lang w:val="en-US" w:eastAsia="zh-CN"/>
              </w:rPr>
              <w:t>全厂排放量（固体废物产生量）</w:t>
            </w:r>
            <w:r>
              <w:rPr>
                <w:rFonts w:hint="default" w:ascii="Times New Roman" w:hAnsi="Times New Roman" w:eastAsia="宋体" w:cs="Times New Roman"/>
                <w:snapToGrid w:val="0"/>
                <w:color w:val="auto"/>
                <w:spacing w:val="-16"/>
                <w:kern w:val="21"/>
                <w:sz w:val="18"/>
                <w:szCs w:val="18"/>
                <w:lang w:val="en-US" w:eastAsia="zh-CN"/>
              </w:rPr>
              <w:fldChar w:fldCharType="begin"/>
            </w:r>
            <w:r>
              <w:rPr>
                <w:rFonts w:hint="default" w:ascii="Times New Roman" w:hAnsi="Times New Roman" w:eastAsia="宋体" w:cs="Times New Roman"/>
                <w:snapToGrid w:val="0"/>
                <w:color w:val="auto"/>
                <w:spacing w:val="-16"/>
                <w:kern w:val="21"/>
                <w:sz w:val="18"/>
                <w:szCs w:val="18"/>
                <w:lang w:val="en-US" w:eastAsia="zh-CN"/>
              </w:rPr>
              <w:instrText xml:space="preserve"> = 6 \* GB3 \* MERGEFORMAT </w:instrText>
            </w:r>
            <w:r>
              <w:rPr>
                <w:rFonts w:hint="default" w:ascii="Times New Roman" w:hAnsi="Times New Roman" w:eastAsia="宋体" w:cs="Times New Roman"/>
                <w:snapToGrid w:val="0"/>
                <w:color w:val="auto"/>
                <w:spacing w:val="-1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⑥</w:t>
            </w:r>
            <w:r>
              <w:rPr>
                <w:rFonts w:hint="default" w:ascii="Times New Roman" w:hAnsi="Times New Roman" w:eastAsia="宋体" w:cs="Times New Roman"/>
                <w:snapToGrid w:val="0"/>
                <w:color w:val="auto"/>
                <w:spacing w:val="-16"/>
                <w:kern w:val="21"/>
                <w:sz w:val="18"/>
                <w:szCs w:val="18"/>
                <w:lang w:val="en-US" w:eastAsia="zh-CN"/>
              </w:rPr>
              <w:fldChar w:fldCharType="end"/>
            </w:r>
          </w:p>
        </w:tc>
        <w:tc>
          <w:tcPr>
            <w:tcW w:w="1144" w:type="dxa"/>
            <w:noWrap w:val="0"/>
            <w:tcMar>
              <w:left w:w="28" w:type="dxa"/>
              <w:right w:w="28" w:type="dxa"/>
            </w:tcMar>
            <w:vAlign w:val="center"/>
          </w:tcPr>
          <w:p w14:paraId="5967ACE1">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t>变化量</w:t>
            </w:r>
          </w:p>
          <w:p w14:paraId="370A03E4">
            <w:pPr>
              <w:pStyle w:val="64"/>
              <w:spacing w:beforeLines="0" w:afterLines="0" w:line="240" w:lineRule="auto"/>
              <w:rPr>
                <w:rFonts w:hint="default" w:ascii="Times New Roman" w:hAnsi="Times New Roman" w:eastAsia="宋体" w:cs="Times New Roman"/>
                <w:snapToGrid w:val="0"/>
                <w:color w:val="auto"/>
                <w:spacing w:val="-6"/>
                <w:kern w:val="21"/>
                <w:sz w:val="18"/>
                <w:szCs w:val="18"/>
                <w:lang w:val="en-US" w:eastAsia="zh-CN"/>
              </w:rPr>
            </w:pPr>
            <w:r>
              <w:rPr>
                <w:rFonts w:hint="default" w:ascii="Times New Roman" w:hAnsi="Times New Roman" w:eastAsia="宋体" w:cs="Times New Roman"/>
                <w:snapToGrid w:val="0"/>
                <w:color w:val="auto"/>
                <w:spacing w:val="-6"/>
                <w:kern w:val="21"/>
                <w:sz w:val="18"/>
                <w:szCs w:val="18"/>
                <w:lang w:val="en-US" w:eastAsia="zh-CN"/>
              </w:rPr>
              <w:fldChar w:fldCharType="begin"/>
            </w:r>
            <w:r>
              <w:rPr>
                <w:rFonts w:hint="default" w:ascii="Times New Roman" w:hAnsi="Times New Roman" w:eastAsia="宋体" w:cs="Times New Roman"/>
                <w:snapToGrid w:val="0"/>
                <w:color w:val="auto"/>
                <w:spacing w:val="-6"/>
                <w:kern w:val="21"/>
                <w:sz w:val="18"/>
                <w:szCs w:val="18"/>
                <w:lang w:val="en-US" w:eastAsia="zh-CN"/>
              </w:rPr>
              <w:instrText xml:space="preserve"> = 7 \* GB3 \* MERGEFORMAT </w:instrText>
            </w:r>
            <w:r>
              <w:rPr>
                <w:rFonts w:hint="default" w:ascii="Times New Roman" w:hAnsi="Times New Roman" w:eastAsia="宋体" w:cs="Times New Roman"/>
                <w:snapToGrid w:val="0"/>
                <w:color w:val="auto"/>
                <w:spacing w:val="-6"/>
                <w:kern w:val="21"/>
                <w:sz w:val="18"/>
                <w:szCs w:val="18"/>
                <w:lang w:val="en-US" w:eastAsia="zh-CN"/>
              </w:rPr>
              <w:fldChar w:fldCharType="separate"/>
            </w:r>
            <w:r>
              <w:rPr>
                <w:rFonts w:hint="default" w:ascii="Times New Roman" w:hAnsi="Times New Roman" w:eastAsia="宋体" w:cs="Times New Roman"/>
                <w:color w:val="auto"/>
                <w:kern w:val="2"/>
                <w:sz w:val="18"/>
                <w:szCs w:val="18"/>
                <w:lang w:val="en-US" w:eastAsia="zh-CN"/>
              </w:rPr>
              <w:t>⑦</w:t>
            </w:r>
            <w:r>
              <w:rPr>
                <w:rFonts w:hint="default" w:ascii="Times New Roman" w:hAnsi="Times New Roman" w:eastAsia="宋体" w:cs="Times New Roman"/>
                <w:snapToGrid w:val="0"/>
                <w:color w:val="auto"/>
                <w:spacing w:val="-6"/>
                <w:kern w:val="21"/>
                <w:sz w:val="18"/>
                <w:szCs w:val="18"/>
                <w:lang w:val="en-US" w:eastAsia="zh-CN"/>
              </w:rPr>
              <w:fldChar w:fldCharType="end"/>
            </w:r>
          </w:p>
        </w:tc>
      </w:tr>
      <w:tr w14:paraId="13BFC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7AE1E466">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r>
              <w:rPr>
                <w:rFonts w:hint="default" w:ascii="Times New Roman" w:hAnsi="Times New Roman" w:eastAsia="宋体" w:cs="Times New Roman"/>
                <w:snapToGrid w:val="0"/>
                <w:color w:val="auto"/>
                <w:kern w:val="21"/>
                <w:sz w:val="18"/>
                <w:szCs w:val="18"/>
                <w:lang w:val="en-US" w:eastAsia="zh-CN"/>
              </w:rPr>
              <w:t>废气</w:t>
            </w:r>
          </w:p>
        </w:tc>
        <w:tc>
          <w:tcPr>
            <w:tcW w:w="446" w:type="dxa"/>
            <w:vMerge w:val="restart"/>
            <w:noWrap w:val="0"/>
            <w:vAlign w:val="center"/>
          </w:tcPr>
          <w:p w14:paraId="3F0585D8">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有组织</w:t>
            </w:r>
          </w:p>
        </w:tc>
        <w:tc>
          <w:tcPr>
            <w:tcW w:w="971" w:type="dxa"/>
            <w:noWrap w:val="0"/>
            <w:vAlign w:val="center"/>
          </w:tcPr>
          <w:p w14:paraId="75224DCE">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颗粒物</w:t>
            </w:r>
          </w:p>
        </w:tc>
        <w:tc>
          <w:tcPr>
            <w:tcW w:w="1559" w:type="dxa"/>
            <w:noWrap w:val="0"/>
            <w:vAlign w:val="center"/>
          </w:tcPr>
          <w:p w14:paraId="5A098C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c>
          <w:tcPr>
            <w:tcW w:w="1418" w:type="dxa"/>
            <w:noWrap w:val="0"/>
            <w:vAlign w:val="center"/>
          </w:tcPr>
          <w:p w14:paraId="3796DB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c>
          <w:tcPr>
            <w:tcW w:w="1701" w:type="dxa"/>
            <w:noWrap w:val="0"/>
            <w:vAlign w:val="center"/>
          </w:tcPr>
          <w:p w14:paraId="771FF6E4">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3932B9F1">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1761" w:type="dxa"/>
            <w:noWrap w:val="0"/>
            <w:vAlign w:val="center"/>
          </w:tcPr>
          <w:p w14:paraId="5ACECB8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c>
          <w:tcPr>
            <w:tcW w:w="1641" w:type="dxa"/>
            <w:noWrap w:val="0"/>
            <w:vAlign w:val="center"/>
          </w:tcPr>
          <w:p w14:paraId="722F76E0">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0.4004</w:t>
            </w:r>
          </w:p>
        </w:tc>
        <w:tc>
          <w:tcPr>
            <w:tcW w:w="1144" w:type="dxa"/>
            <w:noWrap w:val="0"/>
            <w:vAlign w:val="center"/>
          </w:tcPr>
          <w:p w14:paraId="2ECBB9EA">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-2.5996</w:t>
            </w:r>
          </w:p>
        </w:tc>
      </w:tr>
      <w:tr w14:paraId="2BCB1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D195326">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6A241C3C">
            <w:pPr>
              <w:adjustRightInd w:val="0"/>
              <w:snapToGrid w:val="0"/>
              <w:jc w:val="center"/>
              <w:textAlignment w:val="baseline"/>
              <w:rPr>
                <w:rFonts w:hint="eastAsia" w:cs="Times New Roman"/>
                <w:color w:val="auto"/>
                <w:sz w:val="21"/>
                <w:szCs w:val="21"/>
                <w:highlight w:val="none"/>
                <w:lang w:val="en-US" w:eastAsia="zh-CN"/>
              </w:rPr>
            </w:pPr>
          </w:p>
        </w:tc>
        <w:tc>
          <w:tcPr>
            <w:tcW w:w="971" w:type="dxa"/>
            <w:noWrap w:val="0"/>
            <w:vAlign w:val="center"/>
          </w:tcPr>
          <w:p w14:paraId="790EEBCD">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二氧化硫</w:t>
            </w:r>
          </w:p>
        </w:tc>
        <w:tc>
          <w:tcPr>
            <w:tcW w:w="1559" w:type="dxa"/>
            <w:noWrap w:val="0"/>
            <w:vAlign w:val="center"/>
          </w:tcPr>
          <w:p w14:paraId="3D00E74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2.9</w:t>
            </w:r>
          </w:p>
        </w:tc>
        <w:tc>
          <w:tcPr>
            <w:tcW w:w="1418" w:type="dxa"/>
            <w:noWrap w:val="0"/>
            <w:vAlign w:val="center"/>
          </w:tcPr>
          <w:p w14:paraId="45D0D4F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2.9</w:t>
            </w:r>
          </w:p>
        </w:tc>
        <w:tc>
          <w:tcPr>
            <w:tcW w:w="1701" w:type="dxa"/>
            <w:noWrap w:val="0"/>
            <w:vAlign w:val="center"/>
          </w:tcPr>
          <w:p w14:paraId="657B98BA">
            <w:pPr>
              <w:pStyle w:val="64"/>
              <w:spacing w:beforeLines="0" w:afterLines="0" w:line="240" w:lineRule="auto"/>
              <w:ind w:right="113" w:rightChars="0"/>
              <w:rPr>
                <w:rFonts w:hint="eastAsia" w:ascii="Times New Roman" w:hAnsi="Times New Roman" w:eastAsia="宋体" w:cs="Times New Roman"/>
                <w:snapToGrid w:val="0"/>
                <w:color w:val="auto"/>
                <w:kern w:val="21"/>
                <w:sz w:val="21"/>
                <w:szCs w:val="21"/>
                <w:lang w:val="en-US" w:eastAsia="zh-CN"/>
              </w:rPr>
            </w:pPr>
          </w:p>
        </w:tc>
        <w:tc>
          <w:tcPr>
            <w:tcW w:w="1559" w:type="dxa"/>
            <w:noWrap w:val="0"/>
            <w:vAlign w:val="center"/>
          </w:tcPr>
          <w:p w14:paraId="65F913E2">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1761" w:type="dxa"/>
            <w:noWrap w:val="0"/>
            <w:vAlign w:val="center"/>
          </w:tcPr>
          <w:p w14:paraId="5C04A3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2.9</w:t>
            </w:r>
          </w:p>
        </w:tc>
        <w:tc>
          <w:tcPr>
            <w:tcW w:w="1641" w:type="dxa"/>
            <w:noWrap w:val="0"/>
            <w:vAlign w:val="center"/>
          </w:tcPr>
          <w:p w14:paraId="211ADB9B">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0.28</w:t>
            </w:r>
          </w:p>
        </w:tc>
        <w:tc>
          <w:tcPr>
            <w:tcW w:w="1144" w:type="dxa"/>
            <w:noWrap w:val="0"/>
            <w:vAlign w:val="center"/>
          </w:tcPr>
          <w:p w14:paraId="24C872DA">
            <w:pPr>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-2.62</w:t>
            </w:r>
          </w:p>
        </w:tc>
      </w:tr>
      <w:tr w14:paraId="200A1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13455FD">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7060FB90">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5E1575B5">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氮氧化物</w:t>
            </w:r>
          </w:p>
        </w:tc>
        <w:tc>
          <w:tcPr>
            <w:tcW w:w="1559" w:type="dxa"/>
            <w:noWrap w:val="0"/>
            <w:vAlign w:val="center"/>
          </w:tcPr>
          <w:p w14:paraId="4D4B73C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418" w:type="dxa"/>
            <w:noWrap w:val="0"/>
            <w:vAlign w:val="center"/>
          </w:tcPr>
          <w:p w14:paraId="2A48A5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701" w:type="dxa"/>
            <w:noWrap w:val="0"/>
            <w:vAlign w:val="center"/>
          </w:tcPr>
          <w:p w14:paraId="6C158A4B">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638D0781">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1.309</w:t>
            </w:r>
          </w:p>
        </w:tc>
        <w:tc>
          <w:tcPr>
            <w:tcW w:w="1761" w:type="dxa"/>
            <w:noWrap w:val="0"/>
            <w:vAlign w:val="center"/>
          </w:tcPr>
          <w:p w14:paraId="515BAD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641" w:type="dxa"/>
            <w:noWrap w:val="0"/>
            <w:vAlign w:val="center"/>
          </w:tcPr>
          <w:p w14:paraId="21D36167">
            <w:pPr>
              <w:pStyle w:val="16"/>
              <w:spacing w:line="240" w:lineRule="auto"/>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1.309</w:t>
            </w:r>
          </w:p>
        </w:tc>
        <w:tc>
          <w:tcPr>
            <w:tcW w:w="1144" w:type="dxa"/>
            <w:noWrap w:val="0"/>
            <w:vAlign w:val="center"/>
          </w:tcPr>
          <w:p w14:paraId="5608CF7F">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+1.309</w:t>
            </w:r>
          </w:p>
        </w:tc>
      </w:tr>
      <w:tr w14:paraId="0EB9B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EF2AABE">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194440F8">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54695C1B">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油烟</w:t>
            </w:r>
          </w:p>
        </w:tc>
        <w:tc>
          <w:tcPr>
            <w:tcW w:w="1559" w:type="dxa"/>
            <w:noWrap w:val="0"/>
            <w:vAlign w:val="center"/>
          </w:tcPr>
          <w:p w14:paraId="1A61A20A">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0.005</w:t>
            </w:r>
          </w:p>
        </w:tc>
        <w:tc>
          <w:tcPr>
            <w:tcW w:w="1418" w:type="dxa"/>
            <w:noWrap w:val="0"/>
            <w:vAlign w:val="center"/>
          </w:tcPr>
          <w:p w14:paraId="4AD2C5CA">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0.005</w:t>
            </w:r>
          </w:p>
        </w:tc>
        <w:tc>
          <w:tcPr>
            <w:tcW w:w="1701" w:type="dxa"/>
            <w:noWrap w:val="0"/>
            <w:vAlign w:val="center"/>
          </w:tcPr>
          <w:p w14:paraId="16BA29CF">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0677BA7E">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761" w:type="dxa"/>
            <w:noWrap w:val="0"/>
            <w:vAlign w:val="center"/>
          </w:tcPr>
          <w:p w14:paraId="7FF77C8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641" w:type="dxa"/>
            <w:noWrap w:val="0"/>
            <w:vAlign w:val="center"/>
          </w:tcPr>
          <w:p w14:paraId="61B091A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144" w:type="dxa"/>
            <w:noWrap w:val="0"/>
            <w:vAlign w:val="center"/>
          </w:tcPr>
          <w:p w14:paraId="03D08B81">
            <w:pPr>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44AF4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28F2459">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noWrap w:val="0"/>
            <w:vAlign w:val="center"/>
          </w:tcPr>
          <w:p w14:paraId="500DC4B9">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c>
          <w:tcPr>
            <w:tcW w:w="971" w:type="dxa"/>
            <w:noWrap w:val="0"/>
            <w:vAlign w:val="center"/>
          </w:tcPr>
          <w:p w14:paraId="65BD5CA7">
            <w:pPr>
              <w:keepNext w:val="0"/>
              <w:keepLines w:val="0"/>
              <w:widowControl/>
              <w:suppressLineNumbers w:val="0"/>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非甲烷总烃</w:t>
            </w:r>
          </w:p>
        </w:tc>
        <w:tc>
          <w:tcPr>
            <w:tcW w:w="1559" w:type="dxa"/>
            <w:noWrap w:val="0"/>
            <w:vAlign w:val="center"/>
          </w:tcPr>
          <w:p w14:paraId="7BF0C66E">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418" w:type="dxa"/>
            <w:noWrap w:val="0"/>
            <w:vAlign w:val="center"/>
          </w:tcPr>
          <w:p w14:paraId="031D0D1B">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701" w:type="dxa"/>
            <w:noWrap w:val="0"/>
            <w:vAlign w:val="center"/>
          </w:tcPr>
          <w:p w14:paraId="6E550049">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p>
        </w:tc>
        <w:tc>
          <w:tcPr>
            <w:tcW w:w="1559" w:type="dxa"/>
            <w:noWrap w:val="0"/>
            <w:vAlign w:val="center"/>
          </w:tcPr>
          <w:p w14:paraId="54D3C108">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0.035</w:t>
            </w:r>
          </w:p>
        </w:tc>
        <w:tc>
          <w:tcPr>
            <w:tcW w:w="1761" w:type="dxa"/>
            <w:noWrap w:val="0"/>
            <w:vAlign w:val="center"/>
          </w:tcPr>
          <w:p w14:paraId="1367B0FC">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641" w:type="dxa"/>
            <w:noWrap w:val="0"/>
            <w:vAlign w:val="center"/>
          </w:tcPr>
          <w:p w14:paraId="04E23959">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0.035</w:t>
            </w:r>
          </w:p>
        </w:tc>
        <w:tc>
          <w:tcPr>
            <w:tcW w:w="1144" w:type="dxa"/>
            <w:noWrap w:val="0"/>
            <w:vAlign w:val="center"/>
          </w:tcPr>
          <w:p w14:paraId="2729330C">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+0.035</w:t>
            </w:r>
          </w:p>
        </w:tc>
      </w:tr>
      <w:tr w14:paraId="24B01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20B52744">
            <w:pPr>
              <w:pStyle w:val="64"/>
              <w:spacing w:beforeLines="0" w:afterLines="0"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废水</w:t>
            </w:r>
          </w:p>
        </w:tc>
        <w:tc>
          <w:tcPr>
            <w:tcW w:w="446" w:type="dxa"/>
            <w:vMerge w:val="restart"/>
            <w:noWrap w:val="0"/>
            <w:vAlign w:val="center"/>
          </w:tcPr>
          <w:p w14:paraId="382AB583">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生活污水</w:t>
            </w:r>
          </w:p>
        </w:tc>
        <w:tc>
          <w:tcPr>
            <w:tcW w:w="971" w:type="dxa"/>
            <w:noWrap w:val="0"/>
            <w:vAlign w:val="center"/>
          </w:tcPr>
          <w:p w14:paraId="5607F3F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废水量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eastAsia="zh-CN"/>
              </w:rPr>
              <w:t>）</w:t>
            </w:r>
          </w:p>
        </w:tc>
        <w:tc>
          <w:tcPr>
            <w:tcW w:w="1559" w:type="dxa"/>
            <w:noWrap w:val="0"/>
            <w:vAlign w:val="center"/>
          </w:tcPr>
          <w:p w14:paraId="71D02E9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1000</w:t>
            </w:r>
          </w:p>
        </w:tc>
        <w:tc>
          <w:tcPr>
            <w:tcW w:w="1418" w:type="dxa"/>
            <w:noWrap w:val="0"/>
            <w:vAlign w:val="center"/>
          </w:tcPr>
          <w:p w14:paraId="21D9394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1000</w:t>
            </w:r>
          </w:p>
        </w:tc>
        <w:tc>
          <w:tcPr>
            <w:tcW w:w="1701" w:type="dxa"/>
            <w:noWrap w:val="0"/>
            <w:vAlign w:val="center"/>
          </w:tcPr>
          <w:p w14:paraId="09EDF240">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4BE5D1D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761" w:type="dxa"/>
            <w:noWrap w:val="0"/>
            <w:vAlign w:val="center"/>
          </w:tcPr>
          <w:p w14:paraId="7FF8A28D">
            <w:pPr>
              <w:adjustRightInd w:val="0"/>
              <w:snapToGrid w:val="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sz w:val="21"/>
                <w:szCs w:val="21"/>
                <w:highlight w:val="none"/>
                <w:lang w:val="en-US" w:eastAsia="zh-CN"/>
              </w:rPr>
              <w:t>0</w:t>
            </w:r>
          </w:p>
        </w:tc>
        <w:tc>
          <w:tcPr>
            <w:tcW w:w="1641" w:type="dxa"/>
            <w:noWrap w:val="0"/>
            <w:vAlign w:val="center"/>
          </w:tcPr>
          <w:p w14:paraId="0AC8013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1000</w:t>
            </w:r>
          </w:p>
        </w:tc>
        <w:tc>
          <w:tcPr>
            <w:tcW w:w="1144" w:type="dxa"/>
            <w:noWrap w:val="0"/>
            <w:vAlign w:val="center"/>
          </w:tcPr>
          <w:p w14:paraId="49680AC1">
            <w:pPr>
              <w:adjustRightInd w:val="0"/>
              <w:snapToGrid w:val="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highlight w:val="none"/>
                <w:lang w:val="en-US" w:eastAsia="zh-CN"/>
              </w:rPr>
              <w:t>0</w:t>
            </w:r>
          </w:p>
        </w:tc>
      </w:tr>
      <w:tr w14:paraId="02155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1EEF4EE">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42CA1060">
            <w:pPr>
              <w:adjustRightInd w:val="0"/>
              <w:snapToGrid w:val="0"/>
              <w:jc w:val="center"/>
              <w:rPr>
                <w:rFonts w:hint="default" w:ascii="Times New Roman" w:hAnsi="Times New Roman" w:eastAsia="宋体" w:cs="Times New Roman"/>
                <w:color w:val="auto"/>
                <w:sz w:val="21"/>
                <w:szCs w:val="21"/>
                <w:lang w:eastAsia="zh-CN"/>
              </w:rPr>
            </w:pPr>
          </w:p>
        </w:tc>
        <w:tc>
          <w:tcPr>
            <w:tcW w:w="971" w:type="dxa"/>
            <w:noWrap w:val="0"/>
            <w:vAlign w:val="center"/>
          </w:tcPr>
          <w:p w14:paraId="1C164BB5">
            <w:pPr>
              <w:jc w:val="center"/>
              <w:rPr>
                <w:rFonts w:hint="default" w:ascii="Times New Roman" w:hAnsi="Times New Roman" w:eastAsia="宋体" w:cs="Times New Roman"/>
                <w:color w:val="auto"/>
                <w:kern w:val="2"/>
                <w:sz w:val="21"/>
                <w:szCs w:val="21"/>
                <w:lang w:val="en-US" w:eastAsia="zh-CN" w:bidi="ar-SA"/>
              </w:rPr>
            </w:pPr>
            <w:r>
              <w:rPr>
                <w:color w:val="auto"/>
                <w:sz w:val="21"/>
                <w:szCs w:val="21"/>
              </w:rPr>
              <w:t>COD</w:t>
            </w:r>
          </w:p>
        </w:tc>
        <w:tc>
          <w:tcPr>
            <w:tcW w:w="1559" w:type="dxa"/>
            <w:noWrap w:val="0"/>
            <w:vAlign w:val="center"/>
          </w:tcPr>
          <w:p w14:paraId="21B193D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w:t>
            </w:r>
          </w:p>
        </w:tc>
        <w:tc>
          <w:tcPr>
            <w:tcW w:w="1418" w:type="dxa"/>
            <w:noWrap w:val="0"/>
            <w:vAlign w:val="center"/>
          </w:tcPr>
          <w:p w14:paraId="75842C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w:t>
            </w:r>
          </w:p>
        </w:tc>
        <w:tc>
          <w:tcPr>
            <w:tcW w:w="1701" w:type="dxa"/>
            <w:noWrap w:val="0"/>
            <w:vAlign w:val="center"/>
          </w:tcPr>
          <w:p w14:paraId="3F99EFCA">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64A1D5C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0824A73A">
            <w:pPr>
              <w:adjustRightInd w:val="0"/>
              <w:snapToGrid w:val="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0</w:t>
            </w:r>
          </w:p>
        </w:tc>
        <w:tc>
          <w:tcPr>
            <w:tcW w:w="1641" w:type="dxa"/>
            <w:noWrap w:val="0"/>
            <w:vAlign w:val="center"/>
          </w:tcPr>
          <w:p w14:paraId="11B706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w:t>
            </w:r>
          </w:p>
        </w:tc>
        <w:tc>
          <w:tcPr>
            <w:tcW w:w="1144" w:type="dxa"/>
            <w:noWrap w:val="0"/>
            <w:vAlign w:val="center"/>
          </w:tcPr>
          <w:p w14:paraId="41A0EBF3">
            <w:pPr>
              <w:adjustRightInd w:val="0"/>
              <w:snapToGrid w:val="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r>
      <w:tr w14:paraId="01252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55BFB12">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27043F7B">
            <w:pPr>
              <w:adjustRightInd w:val="0"/>
              <w:snapToGrid w:val="0"/>
              <w:jc w:val="center"/>
              <w:rPr>
                <w:rFonts w:hint="default" w:ascii="Times New Roman" w:hAnsi="Times New Roman" w:eastAsia="宋体" w:cs="Times New Roman"/>
                <w:color w:val="auto"/>
                <w:sz w:val="21"/>
                <w:szCs w:val="21"/>
              </w:rPr>
            </w:pPr>
          </w:p>
        </w:tc>
        <w:tc>
          <w:tcPr>
            <w:tcW w:w="971" w:type="dxa"/>
            <w:noWrap w:val="0"/>
            <w:vAlign w:val="center"/>
          </w:tcPr>
          <w:p w14:paraId="33F413F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NH3-N</w:t>
            </w:r>
          </w:p>
        </w:tc>
        <w:tc>
          <w:tcPr>
            <w:tcW w:w="1559" w:type="dxa"/>
            <w:noWrap w:val="0"/>
            <w:vAlign w:val="center"/>
          </w:tcPr>
          <w:p w14:paraId="0EAD5B8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418" w:type="dxa"/>
            <w:noWrap w:val="0"/>
            <w:vAlign w:val="center"/>
          </w:tcPr>
          <w:p w14:paraId="4CD5E6B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701" w:type="dxa"/>
            <w:noWrap w:val="0"/>
            <w:vAlign w:val="center"/>
          </w:tcPr>
          <w:p w14:paraId="137CF25A">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2C2045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3CD9C25F">
            <w:pPr>
              <w:adjustRightInd w:val="0"/>
              <w:snapToGrid w:val="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sz w:val="21"/>
                <w:szCs w:val="21"/>
                <w:highlight w:val="none"/>
                <w:lang w:val="en-US" w:eastAsia="zh-CN"/>
              </w:rPr>
              <w:t>0</w:t>
            </w:r>
          </w:p>
        </w:tc>
        <w:tc>
          <w:tcPr>
            <w:tcW w:w="1641" w:type="dxa"/>
            <w:noWrap w:val="0"/>
            <w:vAlign w:val="center"/>
          </w:tcPr>
          <w:p w14:paraId="1F60F71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144" w:type="dxa"/>
            <w:noWrap w:val="0"/>
            <w:vAlign w:val="center"/>
          </w:tcPr>
          <w:p w14:paraId="5345AA4B">
            <w:pPr>
              <w:adjustRightInd w:val="0"/>
              <w:snapToGrid w:val="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highlight w:val="none"/>
                <w:lang w:val="en-US" w:eastAsia="zh-CN"/>
              </w:rPr>
              <w:t>0</w:t>
            </w:r>
          </w:p>
        </w:tc>
      </w:tr>
      <w:tr w14:paraId="2E991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37D29C4">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7EF0FFB6">
            <w:pPr>
              <w:adjustRightInd w:val="0"/>
              <w:snapToGrid w:val="0"/>
              <w:jc w:val="center"/>
              <w:rPr>
                <w:rFonts w:hint="default" w:ascii="Times New Roman" w:hAnsi="Times New Roman" w:eastAsia="宋体" w:cs="Times New Roman"/>
                <w:color w:val="auto"/>
                <w:sz w:val="21"/>
                <w:szCs w:val="21"/>
              </w:rPr>
            </w:pPr>
          </w:p>
        </w:tc>
        <w:tc>
          <w:tcPr>
            <w:tcW w:w="971" w:type="dxa"/>
            <w:noWrap w:val="0"/>
            <w:vAlign w:val="center"/>
          </w:tcPr>
          <w:p w14:paraId="0E3903C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SS</w:t>
            </w:r>
          </w:p>
        </w:tc>
        <w:tc>
          <w:tcPr>
            <w:tcW w:w="1559" w:type="dxa"/>
            <w:noWrap w:val="0"/>
            <w:vAlign w:val="center"/>
          </w:tcPr>
          <w:p w14:paraId="7897746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0.07</w:t>
            </w:r>
          </w:p>
        </w:tc>
        <w:tc>
          <w:tcPr>
            <w:tcW w:w="1418" w:type="dxa"/>
            <w:noWrap w:val="0"/>
            <w:vAlign w:val="center"/>
          </w:tcPr>
          <w:p w14:paraId="18E169F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0.07</w:t>
            </w:r>
          </w:p>
        </w:tc>
        <w:tc>
          <w:tcPr>
            <w:tcW w:w="1701" w:type="dxa"/>
            <w:noWrap w:val="0"/>
            <w:vAlign w:val="center"/>
          </w:tcPr>
          <w:p w14:paraId="0025E64F">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3AEFAE5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45AC240C">
            <w:pPr>
              <w:adjustRightInd w:val="0"/>
              <w:snapToGrid w:val="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0</w:t>
            </w:r>
          </w:p>
        </w:tc>
        <w:tc>
          <w:tcPr>
            <w:tcW w:w="1641" w:type="dxa"/>
            <w:noWrap w:val="0"/>
            <w:vAlign w:val="center"/>
          </w:tcPr>
          <w:p w14:paraId="62332AF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0.07</w:t>
            </w:r>
          </w:p>
        </w:tc>
        <w:tc>
          <w:tcPr>
            <w:tcW w:w="1144" w:type="dxa"/>
            <w:noWrap w:val="0"/>
            <w:vAlign w:val="center"/>
          </w:tcPr>
          <w:p w14:paraId="2F6A92D9">
            <w:pPr>
              <w:adjustRightInd w:val="0"/>
              <w:snapToGrid w:val="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r>
      <w:tr w14:paraId="54B25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8CE0714">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4BB8948E">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6F2B66D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TP</w:t>
            </w:r>
          </w:p>
        </w:tc>
        <w:tc>
          <w:tcPr>
            <w:tcW w:w="1559" w:type="dxa"/>
            <w:noWrap w:val="0"/>
            <w:vAlign w:val="center"/>
          </w:tcPr>
          <w:p w14:paraId="69590F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418" w:type="dxa"/>
            <w:noWrap w:val="0"/>
            <w:vAlign w:val="center"/>
          </w:tcPr>
          <w:p w14:paraId="273198E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701" w:type="dxa"/>
            <w:noWrap w:val="0"/>
            <w:vAlign w:val="center"/>
          </w:tcPr>
          <w:p w14:paraId="60B32E3B">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6D1062C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3AB2B9E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noWrap w:val="0"/>
            <w:vAlign w:val="center"/>
          </w:tcPr>
          <w:p w14:paraId="187882F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144" w:type="dxa"/>
            <w:noWrap w:val="0"/>
            <w:vAlign w:val="center"/>
          </w:tcPr>
          <w:p w14:paraId="63DD671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194C1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2B94C9C">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1DF3C96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3BBABAF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TN</w:t>
            </w:r>
          </w:p>
        </w:tc>
        <w:tc>
          <w:tcPr>
            <w:tcW w:w="1559" w:type="dxa"/>
            <w:noWrap w:val="0"/>
            <w:vAlign w:val="center"/>
          </w:tcPr>
          <w:p w14:paraId="2CA089B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418" w:type="dxa"/>
            <w:noWrap w:val="0"/>
            <w:vAlign w:val="center"/>
          </w:tcPr>
          <w:p w14:paraId="0C233C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701" w:type="dxa"/>
            <w:noWrap w:val="0"/>
            <w:vAlign w:val="center"/>
          </w:tcPr>
          <w:p w14:paraId="14BE5181">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1745D2F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19CAF34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noWrap w:val="0"/>
            <w:vAlign w:val="center"/>
          </w:tcPr>
          <w:p w14:paraId="0D18E20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144" w:type="dxa"/>
            <w:noWrap w:val="0"/>
            <w:vAlign w:val="center"/>
          </w:tcPr>
          <w:p w14:paraId="5DD6250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7E3D2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8B68685">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6D1DCC60">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60EC126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石油类</w:t>
            </w:r>
          </w:p>
        </w:tc>
        <w:tc>
          <w:tcPr>
            <w:tcW w:w="1559" w:type="dxa"/>
            <w:noWrap w:val="0"/>
            <w:vAlign w:val="center"/>
          </w:tcPr>
          <w:p w14:paraId="21AA12F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418" w:type="dxa"/>
            <w:noWrap w:val="0"/>
            <w:vAlign w:val="center"/>
          </w:tcPr>
          <w:p w14:paraId="2E72374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701" w:type="dxa"/>
            <w:noWrap w:val="0"/>
            <w:vAlign w:val="center"/>
          </w:tcPr>
          <w:p w14:paraId="778497C2">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167ADA9C">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61" w:type="dxa"/>
            <w:noWrap w:val="0"/>
            <w:vAlign w:val="center"/>
          </w:tcPr>
          <w:p w14:paraId="3261D99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noWrap w:val="0"/>
            <w:vAlign w:val="center"/>
          </w:tcPr>
          <w:p w14:paraId="63FE1C9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144" w:type="dxa"/>
            <w:noWrap w:val="0"/>
            <w:vAlign w:val="center"/>
          </w:tcPr>
          <w:p w14:paraId="38980FB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6261A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AC728B4">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restart"/>
            <w:noWrap w:val="0"/>
            <w:vAlign w:val="center"/>
          </w:tcPr>
          <w:p w14:paraId="5DF2277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初期雨水</w:t>
            </w:r>
          </w:p>
        </w:tc>
        <w:tc>
          <w:tcPr>
            <w:tcW w:w="971" w:type="dxa"/>
            <w:noWrap w:val="0"/>
            <w:vAlign w:val="center"/>
          </w:tcPr>
          <w:p w14:paraId="045E6FD7">
            <w:pPr>
              <w:jc w:val="center"/>
              <w:rPr>
                <w:rFonts w:hint="default" w:cs="Times New Roman"/>
                <w:color w:val="auto"/>
                <w:sz w:val="21"/>
                <w:szCs w:val="21"/>
                <w:lang w:val="en-US" w:eastAsia="zh-CN"/>
              </w:rPr>
            </w:pPr>
            <w:r>
              <w:rPr>
                <w:rFonts w:hint="eastAsia" w:cs="Times New Roman"/>
                <w:color w:val="auto"/>
                <w:sz w:val="21"/>
                <w:szCs w:val="21"/>
                <w:lang w:val="en-US" w:eastAsia="zh-CN"/>
              </w:rPr>
              <w:t>废水量</w:t>
            </w:r>
          </w:p>
        </w:tc>
        <w:tc>
          <w:tcPr>
            <w:tcW w:w="1559" w:type="dxa"/>
            <w:noWrap w:val="0"/>
            <w:vAlign w:val="center"/>
          </w:tcPr>
          <w:p w14:paraId="50FED681">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418" w:type="dxa"/>
            <w:noWrap w:val="0"/>
            <w:vAlign w:val="center"/>
          </w:tcPr>
          <w:p w14:paraId="45332B43">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01" w:type="dxa"/>
            <w:noWrap w:val="0"/>
            <w:vAlign w:val="center"/>
          </w:tcPr>
          <w:p w14:paraId="0B8EE3DC">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4A3F875D">
            <w:pPr>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c>
          <w:tcPr>
            <w:tcW w:w="1761" w:type="dxa"/>
            <w:noWrap w:val="0"/>
            <w:vAlign w:val="center"/>
          </w:tcPr>
          <w:p w14:paraId="107946CD">
            <w:pPr>
              <w:adjustRightInd w:val="0"/>
              <w:snapToGrid w:val="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shd w:val="clear" w:color="auto" w:fill="auto"/>
            <w:noWrap w:val="0"/>
            <w:vAlign w:val="center"/>
          </w:tcPr>
          <w:p w14:paraId="671021C4">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c>
          <w:tcPr>
            <w:tcW w:w="1144" w:type="dxa"/>
            <w:shd w:val="clear" w:color="auto" w:fill="auto"/>
            <w:noWrap w:val="0"/>
            <w:vAlign w:val="center"/>
          </w:tcPr>
          <w:p w14:paraId="6D268CE2">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+644</w:t>
            </w:r>
          </w:p>
        </w:tc>
      </w:tr>
      <w:tr w14:paraId="56FB1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109A348">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4C563560">
            <w:pPr>
              <w:adjustRightInd w:val="0"/>
              <w:snapToGrid w:val="0"/>
              <w:jc w:val="center"/>
              <w:rPr>
                <w:rFonts w:hint="eastAsia" w:cs="Times New Roman"/>
                <w:color w:val="auto"/>
                <w:sz w:val="21"/>
                <w:szCs w:val="21"/>
                <w:highlight w:val="none"/>
                <w:lang w:val="en-US" w:eastAsia="zh-CN"/>
              </w:rPr>
            </w:pPr>
          </w:p>
        </w:tc>
        <w:tc>
          <w:tcPr>
            <w:tcW w:w="971" w:type="dxa"/>
            <w:noWrap w:val="0"/>
            <w:vAlign w:val="center"/>
          </w:tcPr>
          <w:p w14:paraId="7A290A0A">
            <w:pPr>
              <w:jc w:val="center"/>
              <w:rPr>
                <w:rFonts w:hint="default" w:cs="Times New Roman"/>
                <w:color w:val="auto"/>
                <w:sz w:val="21"/>
                <w:szCs w:val="21"/>
                <w:lang w:val="en-US" w:eastAsia="zh-CN"/>
              </w:rPr>
            </w:pPr>
            <w:r>
              <w:rPr>
                <w:rFonts w:hint="eastAsia" w:cs="Times New Roman"/>
                <w:color w:val="auto"/>
                <w:sz w:val="21"/>
                <w:szCs w:val="21"/>
                <w:lang w:val="en-US" w:eastAsia="zh-CN"/>
              </w:rPr>
              <w:t>COD</w:t>
            </w:r>
          </w:p>
        </w:tc>
        <w:tc>
          <w:tcPr>
            <w:tcW w:w="1559" w:type="dxa"/>
            <w:noWrap w:val="0"/>
            <w:vAlign w:val="center"/>
          </w:tcPr>
          <w:p w14:paraId="0FB474A3">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418" w:type="dxa"/>
            <w:noWrap w:val="0"/>
            <w:vAlign w:val="center"/>
          </w:tcPr>
          <w:p w14:paraId="19D69923">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01" w:type="dxa"/>
            <w:noWrap w:val="0"/>
            <w:vAlign w:val="center"/>
          </w:tcPr>
          <w:p w14:paraId="0275C735">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19C080DF">
            <w:pPr>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0.0644</w:t>
            </w:r>
          </w:p>
        </w:tc>
        <w:tc>
          <w:tcPr>
            <w:tcW w:w="1761" w:type="dxa"/>
            <w:noWrap w:val="0"/>
            <w:vAlign w:val="center"/>
          </w:tcPr>
          <w:p w14:paraId="0BEA96B7">
            <w:pPr>
              <w:adjustRightInd w:val="0"/>
              <w:snapToGrid w:val="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shd w:val="clear" w:color="auto" w:fill="auto"/>
            <w:noWrap w:val="0"/>
            <w:vAlign w:val="center"/>
          </w:tcPr>
          <w:p w14:paraId="143BD26A">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0.0644</w:t>
            </w:r>
          </w:p>
        </w:tc>
        <w:tc>
          <w:tcPr>
            <w:tcW w:w="1144" w:type="dxa"/>
            <w:shd w:val="clear" w:color="auto" w:fill="auto"/>
            <w:noWrap w:val="0"/>
            <w:vAlign w:val="center"/>
          </w:tcPr>
          <w:p w14:paraId="6D0C3DA9">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+0.0644</w:t>
            </w:r>
          </w:p>
        </w:tc>
      </w:tr>
      <w:tr w14:paraId="147CF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BA689B0">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446" w:type="dxa"/>
            <w:vMerge w:val="continue"/>
            <w:noWrap w:val="0"/>
            <w:vAlign w:val="center"/>
          </w:tcPr>
          <w:p w14:paraId="66D1FAB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71" w:type="dxa"/>
            <w:noWrap w:val="0"/>
            <w:vAlign w:val="center"/>
          </w:tcPr>
          <w:p w14:paraId="6F0C6E0E">
            <w:pPr>
              <w:jc w:val="center"/>
              <w:rPr>
                <w:rFonts w:hint="default" w:cs="Times New Roman"/>
                <w:color w:val="auto"/>
                <w:sz w:val="21"/>
                <w:szCs w:val="21"/>
                <w:lang w:val="en-US" w:eastAsia="zh-CN"/>
              </w:rPr>
            </w:pPr>
            <w:r>
              <w:rPr>
                <w:rFonts w:hint="eastAsia" w:cs="Times New Roman"/>
                <w:color w:val="auto"/>
                <w:sz w:val="21"/>
                <w:szCs w:val="21"/>
                <w:lang w:val="en-US" w:eastAsia="zh-CN"/>
              </w:rPr>
              <w:t>SS</w:t>
            </w:r>
          </w:p>
        </w:tc>
        <w:tc>
          <w:tcPr>
            <w:tcW w:w="1559" w:type="dxa"/>
            <w:noWrap w:val="0"/>
            <w:vAlign w:val="center"/>
          </w:tcPr>
          <w:p w14:paraId="0F971DEA">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418" w:type="dxa"/>
            <w:noWrap w:val="0"/>
            <w:vAlign w:val="center"/>
          </w:tcPr>
          <w:p w14:paraId="2C7A4E6F">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1701" w:type="dxa"/>
            <w:noWrap w:val="0"/>
            <w:vAlign w:val="center"/>
          </w:tcPr>
          <w:p w14:paraId="4477CF2F">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73DDBB5F">
            <w:pPr>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0.05152</w:t>
            </w:r>
          </w:p>
        </w:tc>
        <w:tc>
          <w:tcPr>
            <w:tcW w:w="1761" w:type="dxa"/>
            <w:noWrap w:val="0"/>
            <w:vAlign w:val="center"/>
          </w:tcPr>
          <w:p w14:paraId="1470AE0D">
            <w:pPr>
              <w:adjustRightInd w:val="0"/>
              <w:snapToGrid w:val="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shd w:val="clear" w:color="auto" w:fill="auto"/>
            <w:noWrap w:val="0"/>
            <w:vAlign w:val="center"/>
          </w:tcPr>
          <w:p w14:paraId="01D70510">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0.05152</w:t>
            </w:r>
          </w:p>
        </w:tc>
        <w:tc>
          <w:tcPr>
            <w:tcW w:w="1144" w:type="dxa"/>
            <w:shd w:val="clear" w:color="auto" w:fill="auto"/>
            <w:noWrap w:val="0"/>
            <w:vAlign w:val="center"/>
          </w:tcPr>
          <w:p w14:paraId="2AB8590C">
            <w:pPr>
              <w:jc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+0.05152</w:t>
            </w:r>
          </w:p>
        </w:tc>
      </w:tr>
      <w:tr w14:paraId="047B2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6A0E5C18">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r>
              <w:rPr>
                <w:rFonts w:hint="default" w:ascii="Times New Roman" w:hAnsi="Times New Roman" w:eastAsia="宋体" w:cs="Times New Roman"/>
                <w:snapToGrid w:val="0"/>
                <w:color w:val="auto"/>
                <w:kern w:val="21"/>
                <w:sz w:val="18"/>
                <w:szCs w:val="18"/>
                <w:lang w:val="en-US" w:eastAsia="zh-CN"/>
              </w:rPr>
              <w:t>固体废物</w:t>
            </w:r>
          </w:p>
        </w:tc>
        <w:tc>
          <w:tcPr>
            <w:tcW w:w="1417" w:type="dxa"/>
            <w:gridSpan w:val="2"/>
            <w:noWrap w:val="0"/>
            <w:vAlign w:val="center"/>
          </w:tcPr>
          <w:p w14:paraId="170355A1">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氧化皮、废边角料</w:t>
            </w:r>
          </w:p>
        </w:tc>
        <w:tc>
          <w:tcPr>
            <w:tcW w:w="1559" w:type="dxa"/>
            <w:noWrap w:val="0"/>
            <w:vAlign w:val="center"/>
          </w:tcPr>
          <w:p w14:paraId="7F924D9B">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430</w:t>
            </w:r>
          </w:p>
        </w:tc>
        <w:tc>
          <w:tcPr>
            <w:tcW w:w="1418" w:type="dxa"/>
            <w:noWrap w:val="0"/>
            <w:vAlign w:val="center"/>
          </w:tcPr>
          <w:p w14:paraId="5B0541E8">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430</w:t>
            </w:r>
          </w:p>
        </w:tc>
        <w:tc>
          <w:tcPr>
            <w:tcW w:w="1701" w:type="dxa"/>
            <w:noWrap w:val="0"/>
            <w:vAlign w:val="center"/>
          </w:tcPr>
          <w:p w14:paraId="74E00CC3">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p>
        </w:tc>
        <w:tc>
          <w:tcPr>
            <w:tcW w:w="1559" w:type="dxa"/>
            <w:noWrap w:val="0"/>
            <w:vAlign w:val="center"/>
          </w:tcPr>
          <w:p w14:paraId="61E63783">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6412.5</w:t>
            </w:r>
          </w:p>
        </w:tc>
        <w:tc>
          <w:tcPr>
            <w:tcW w:w="1761" w:type="dxa"/>
            <w:noWrap w:val="0"/>
            <w:vAlign w:val="center"/>
          </w:tcPr>
          <w:p w14:paraId="505FD0DA">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430</w:t>
            </w:r>
          </w:p>
        </w:tc>
        <w:tc>
          <w:tcPr>
            <w:tcW w:w="1641" w:type="dxa"/>
            <w:noWrap w:val="0"/>
            <w:vAlign w:val="center"/>
          </w:tcPr>
          <w:p w14:paraId="09E86C2D">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6412.5</w:t>
            </w:r>
          </w:p>
        </w:tc>
        <w:tc>
          <w:tcPr>
            <w:tcW w:w="1144" w:type="dxa"/>
            <w:noWrap w:val="0"/>
            <w:vAlign w:val="center"/>
          </w:tcPr>
          <w:p w14:paraId="3669182B">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+5982.5</w:t>
            </w:r>
          </w:p>
        </w:tc>
      </w:tr>
      <w:tr w14:paraId="240AA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E548EA2">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3FED52D0">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含油金属屑</w:t>
            </w:r>
          </w:p>
        </w:tc>
        <w:tc>
          <w:tcPr>
            <w:tcW w:w="1559" w:type="dxa"/>
            <w:noWrap w:val="0"/>
            <w:vAlign w:val="center"/>
          </w:tcPr>
          <w:p w14:paraId="3374632F">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418" w:type="dxa"/>
            <w:noWrap w:val="0"/>
            <w:vAlign w:val="center"/>
          </w:tcPr>
          <w:p w14:paraId="7B7BA938">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701" w:type="dxa"/>
            <w:noWrap w:val="0"/>
            <w:vAlign w:val="center"/>
          </w:tcPr>
          <w:p w14:paraId="164BE2BB">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p>
        </w:tc>
        <w:tc>
          <w:tcPr>
            <w:tcW w:w="1559" w:type="dxa"/>
            <w:noWrap w:val="0"/>
            <w:vAlign w:val="center"/>
          </w:tcPr>
          <w:p w14:paraId="4683CB18">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337.5</w:t>
            </w:r>
          </w:p>
        </w:tc>
        <w:tc>
          <w:tcPr>
            <w:tcW w:w="1761" w:type="dxa"/>
            <w:noWrap w:val="0"/>
            <w:vAlign w:val="center"/>
          </w:tcPr>
          <w:p w14:paraId="4DB1D245">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p>
        </w:tc>
        <w:tc>
          <w:tcPr>
            <w:tcW w:w="1641" w:type="dxa"/>
            <w:noWrap w:val="0"/>
            <w:vAlign w:val="center"/>
          </w:tcPr>
          <w:p w14:paraId="224A0805">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337.5</w:t>
            </w:r>
          </w:p>
        </w:tc>
        <w:tc>
          <w:tcPr>
            <w:tcW w:w="1144" w:type="dxa"/>
            <w:noWrap w:val="0"/>
            <w:vAlign w:val="center"/>
          </w:tcPr>
          <w:p w14:paraId="03E216EC">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+337.5</w:t>
            </w:r>
          </w:p>
        </w:tc>
      </w:tr>
      <w:tr w14:paraId="5893F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2FB04EC">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3DD4513B">
            <w:pPr>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废机油（废润滑油）</w:t>
            </w:r>
          </w:p>
        </w:tc>
        <w:tc>
          <w:tcPr>
            <w:tcW w:w="1559" w:type="dxa"/>
            <w:noWrap w:val="0"/>
            <w:vAlign w:val="center"/>
          </w:tcPr>
          <w:p w14:paraId="6DF7C510">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0.5</w:t>
            </w:r>
          </w:p>
        </w:tc>
        <w:tc>
          <w:tcPr>
            <w:tcW w:w="1418" w:type="dxa"/>
            <w:noWrap w:val="0"/>
            <w:vAlign w:val="center"/>
          </w:tcPr>
          <w:p w14:paraId="7235742D">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0.5</w:t>
            </w:r>
          </w:p>
        </w:tc>
        <w:tc>
          <w:tcPr>
            <w:tcW w:w="1701" w:type="dxa"/>
            <w:noWrap w:val="0"/>
            <w:vAlign w:val="center"/>
          </w:tcPr>
          <w:p w14:paraId="7294C3A8">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2C78C71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0.7</w:t>
            </w:r>
          </w:p>
        </w:tc>
        <w:tc>
          <w:tcPr>
            <w:tcW w:w="1761" w:type="dxa"/>
            <w:noWrap w:val="0"/>
            <w:vAlign w:val="center"/>
          </w:tcPr>
          <w:p w14:paraId="4935AF24">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0.5</w:t>
            </w:r>
          </w:p>
        </w:tc>
        <w:tc>
          <w:tcPr>
            <w:tcW w:w="1641" w:type="dxa"/>
            <w:noWrap w:val="0"/>
            <w:vAlign w:val="center"/>
          </w:tcPr>
          <w:p w14:paraId="7AE0580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0.7</w:t>
            </w:r>
          </w:p>
        </w:tc>
        <w:tc>
          <w:tcPr>
            <w:tcW w:w="1144" w:type="dxa"/>
            <w:noWrap w:val="0"/>
            <w:vAlign w:val="center"/>
          </w:tcPr>
          <w:p w14:paraId="4453BE05">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r>
      <w:tr w14:paraId="0AD75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54BADD2">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5BF0FEA5">
            <w:pPr>
              <w:spacing w:line="2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c>
          <w:tcPr>
            <w:tcW w:w="1559" w:type="dxa"/>
            <w:noWrap w:val="0"/>
            <w:vAlign w:val="center"/>
          </w:tcPr>
          <w:p w14:paraId="667A12C3">
            <w:pPr>
              <w:snapToGrid w:val="0"/>
              <w:jc w:val="center"/>
              <w:rPr>
                <w:rFonts w:hint="default"/>
                <w:color w:val="auto"/>
                <w:lang w:val="en-US" w:eastAsia="zh-CN"/>
              </w:rPr>
            </w:pPr>
            <w:r>
              <w:rPr>
                <w:rFonts w:hint="eastAsia"/>
                <w:color w:val="auto"/>
                <w:lang w:val="en-US" w:eastAsia="zh-CN"/>
              </w:rPr>
              <w:t>0</w:t>
            </w:r>
          </w:p>
        </w:tc>
        <w:tc>
          <w:tcPr>
            <w:tcW w:w="1418" w:type="dxa"/>
            <w:noWrap w:val="0"/>
            <w:vAlign w:val="center"/>
          </w:tcPr>
          <w:p w14:paraId="5DE007E3">
            <w:pPr>
              <w:snapToGrid w:val="0"/>
              <w:jc w:val="center"/>
              <w:rPr>
                <w:rFonts w:hint="default"/>
                <w:color w:val="auto"/>
                <w:lang w:val="en-US" w:eastAsia="zh-CN"/>
              </w:rPr>
            </w:pPr>
            <w:r>
              <w:rPr>
                <w:rFonts w:hint="eastAsia"/>
                <w:color w:val="auto"/>
                <w:lang w:val="en-US" w:eastAsia="zh-CN"/>
              </w:rPr>
              <w:t>0</w:t>
            </w:r>
          </w:p>
        </w:tc>
        <w:tc>
          <w:tcPr>
            <w:tcW w:w="1701" w:type="dxa"/>
            <w:noWrap w:val="0"/>
            <w:vAlign w:val="center"/>
          </w:tcPr>
          <w:p w14:paraId="38DE88E8">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15507237">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0.25</w:t>
            </w:r>
          </w:p>
        </w:tc>
        <w:tc>
          <w:tcPr>
            <w:tcW w:w="1761" w:type="dxa"/>
            <w:noWrap w:val="0"/>
            <w:vAlign w:val="center"/>
          </w:tcPr>
          <w:p w14:paraId="6E6677AA">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641" w:type="dxa"/>
            <w:noWrap w:val="0"/>
            <w:vAlign w:val="center"/>
          </w:tcPr>
          <w:p w14:paraId="5F50B4E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0.25</w:t>
            </w:r>
          </w:p>
        </w:tc>
        <w:tc>
          <w:tcPr>
            <w:tcW w:w="1144" w:type="dxa"/>
            <w:noWrap w:val="0"/>
            <w:vAlign w:val="center"/>
          </w:tcPr>
          <w:p w14:paraId="3482AC5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+0.25</w:t>
            </w:r>
          </w:p>
        </w:tc>
      </w:tr>
      <w:tr w14:paraId="0641E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251B14ED">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4A3F6A56">
            <w:pPr>
              <w:spacing w:line="2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1559" w:type="dxa"/>
            <w:noWrap w:val="0"/>
            <w:vAlign w:val="center"/>
          </w:tcPr>
          <w:p w14:paraId="70365388">
            <w:pPr>
              <w:snapToGrid w:val="0"/>
              <w:jc w:val="center"/>
              <w:rPr>
                <w:rFonts w:hint="default"/>
                <w:color w:val="auto"/>
                <w:lang w:val="en-US" w:eastAsia="zh-CN"/>
              </w:rPr>
            </w:pPr>
            <w:r>
              <w:rPr>
                <w:rFonts w:hint="eastAsia"/>
                <w:color w:val="auto"/>
                <w:lang w:val="en-US" w:eastAsia="zh-CN"/>
              </w:rPr>
              <w:t>0</w:t>
            </w:r>
          </w:p>
        </w:tc>
        <w:tc>
          <w:tcPr>
            <w:tcW w:w="1418" w:type="dxa"/>
            <w:noWrap w:val="0"/>
            <w:vAlign w:val="center"/>
          </w:tcPr>
          <w:p w14:paraId="33F1C041">
            <w:pPr>
              <w:snapToGrid w:val="0"/>
              <w:jc w:val="center"/>
              <w:rPr>
                <w:rFonts w:hint="default"/>
                <w:color w:val="auto"/>
                <w:lang w:val="en-US" w:eastAsia="zh-CN"/>
              </w:rPr>
            </w:pPr>
            <w:r>
              <w:rPr>
                <w:rFonts w:hint="eastAsia"/>
                <w:color w:val="auto"/>
                <w:lang w:val="en-US" w:eastAsia="zh-CN"/>
              </w:rPr>
              <w:t>0</w:t>
            </w:r>
          </w:p>
        </w:tc>
        <w:tc>
          <w:tcPr>
            <w:tcW w:w="1701" w:type="dxa"/>
            <w:noWrap w:val="0"/>
            <w:vAlign w:val="center"/>
          </w:tcPr>
          <w:p w14:paraId="7E7D9E94">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0E5916CE">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1761" w:type="dxa"/>
            <w:noWrap w:val="0"/>
            <w:vAlign w:val="center"/>
          </w:tcPr>
          <w:p w14:paraId="090C08DB">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641" w:type="dxa"/>
            <w:noWrap w:val="0"/>
            <w:vAlign w:val="center"/>
          </w:tcPr>
          <w:p w14:paraId="3678C36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1144" w:type="dxa"/>
            <w:noWrap w:val="0"/>
            <w:vAlign w:val="center"/>
          </w:tcPr>
          <w:p w14:paraId="62F7847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r>
      <w:tr w14:paraId="1E51A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AB729B3">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51DAA923">
            <w:pPr>
              <w:spacing w:line="2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废包装桶</w:t>
            </w:r>
          </w:p>
        </w:tc>
        <w:tc>
          <w:tcPr>
            <w:tcW w:w="1559" w:type="dxa"/>
            <w:noWrap w:val="0"/>
            <w:vAlign w:val="center"/>
          </w:tcPr>
          <w:p w14:paraId="7F739844">
            <w:pPr>
              <w:snapToGrid w:val="0"/>
              <w:jc w:val="center"/>
              <w:rPr>
                <w:rFonts w:hint="default"/>
                <w:color w:val="auto"/>
                <w:lang w:val="en-US" w:eastAsia="zh-CN"/>
              </w:rPr>
            </w:pPr>
            <w:r>
              <w:rPr>
                <w:rFonts w:hint="eastAsia"/>
                <w:color w:val="auto"/>
                <w:lang w:val="en-US" w:eastAsia="zh-CN"/>
              </w:rPr>
              <w:t>0</w:t>
            </w:r>
          </w:p>
        </w:tc>
        <w:tc>
          <w:tcPr>
            <w:tcW w:w="1418" w:type="dxa"/>
            <w:noWrap w:val="0"/>
            <w:vAlign w:val="center"/>
          </w:tcPr>
          <w:p w14:paraId="67D1265A">
            <w:pPr>
              <w:snapToGrid w:val="0"/>
              <w:jc w:val="center"/>
              <w:rPr>
                <w:rFonts w:hint="default"/>
                <w:color w:val="auto"/>
                <w:lang w:val="en-US" w:eastAsia="zh-CN"/>
              </w:rPr>
            </w:pPr>
            <w:r>
              <w:rPr>
                <w:rFonts w:hint="eastAsia"/>
                <w:color w:val="auto"/>
                <w:lang w:val="en-US" w:eastAsia="zh-CN"/>
              </w:rPr>
              <w:t>0</w:t>
            </w:r>
          </w:p>
        </w:tc>
        <w:tc>
          <w:tcPr>
            <w:tcW w:w="1701" w:type="dxa"/>
            <w:noWrap w:val="0"/>
            <w:vAlign w:val="center"/>
          </w:tcPr>
          <w:p w14:paraId="21BDE074">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227FC763">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highlight w:val="none"/>
                <w:u w:val="none"/>
                <w:lang w:val="en-US" w:eastAsia="zh-CN" w:bidi="ar"/>
              </w:rPr>
              <w:t>0.5</w:t>
            </w:r>
          </w:p>
        </w:tc>
        <w:tc>
          <w:tcPr>
            <w:tcW w:w="1761" w:type="dxa"/>
            <w:noWrap w:val="0"/>
            <w:vAlign w:val="center"/>
          </w:tcPr>
          <w:p w14:paraId="2A4A8644">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641" w:type="dxa"/>
            <w:noWrap w:val="0"/>
            <w:vAlign w:val="center"/>
          </w:tcPr>
          <w:p w14:paraId="3345103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s="Times New Roman"/>
                <w:i w:val="0"/>
                <w:iCs w:val="0"/>
                <w:color w:val="auto"/>
                <w:kern w:val="0"/>
                <w:sz w:val="21"/>
                <w:szCs w:val="21"/>
                <w:highlight w:val="none"/>
                <w:u w:val="none"/>
                <w:lang w:val="en-US" w:eastAsia="zh-CN" w:bidi="ar"/>
              </w:rPr>
              <w:t>0.5</w:t>
            </w:r>
          </w:p>
        </w:tc>
        <w:tc>
          <w:tcPr>
            <w:tcW w:w="1144" w:type="dxa"/>
            <w:noWrap w:val="0"/>
            <w:vAlign w:val="center"/>
          </w:tcPr>
          <w:p w14:paraId="448EFF91">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s="Times New Roman"/>
                <w:i w:val="0"/>
                <w:iCs w:val="0"/>
                <w:color w:val="auto"/>
                <w:kern w:val="0"/>
                <w:sz w:val="21"/>
                <w:szCs w:val="21"/>
                <w:highlight w:val="none"/>
                <w:u w:val="none"/>
                <w:lang w:val="en-US" w:eastAsia="zh-CN" w:bidi="ar"/>
              </w:rPr>
              <w:t>+0.5</w:t>
            </w:r>
          </w:p>
        </w:tc>
      </w:tr>
      <w:tr w14:paraId="230F3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789D43E">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1D98B5A1">
            <w:pPr>
              <w:spacing w:line="2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含油抹布手套</w:t>
            </w:r>
          </w:p>
        </w:tc>
        <w:tc>
          <w:tcPr>
            <w:tcW w:w="1559" w:type="dxa"/>
            <w:noWrap w:val="0"/>
            <w:vAlign w:val="center"/>
          </w:tcPr>
          <w:p w14:paraId="04C58A1D">
            <w:pPr>
              <w:snapToGrid w:val="0"/>
              <w:jc w:val="center"/>
              <w:rPr>
                <w:rFonts w:hint="default"/>
                <w:color w:val="auto"/>
                <w:lang w:val="en-US" w:eastAsia="zh-CN"/>
              </w:rPr>
            </w:pPr>
            <w:r>
              <w:rPr>
                <w:rFonts w:hint="eastAsia"/>
                <w:color w:val="auto"/>
                <w:lang w:val="en-US" w:eastAsia="zh-CN"/>
              </w:rPr>
              <w:t>0</w:t>
            </w:r>
          </w:p>
        </w:tc>
        <w:tc>
          <w:tcPr>
            <w:tcW w:w="1418" w:type="dxa"/>
            <w:noWrap w:val="0"/>
            <w:vAlign w:val="center"/>
          </w:tcPr>
          <w:p w14:paraId="2DD15FFB">
            <w:pPr>
              <w:snapToGrid w:val="0"/>
              <w:jc w:val="center"/>
              <w:rPr>
                <w:rFonts w:hint="default"/>
                <w:color w:val="auto"/>
                <w:lang w:val="en-US" w:eastAsia="zh-CN"/>
              </w:rPr>
            </w:pPr>
            <w:r>
              <w:rPr>
                <w:rFonts w:hint="eastAsia"/>
                <w:color w:val="auto"/>
                <w:lang w:val="en-US" w:eastAsia="zh-CN"/>
              </w:rPr>
              <w:t>0</w:t>
            </w:r>
          </w:p>
        </w:tc>
        <w:tc>
          <w:tcPr>
            <w:tcW w:w="1701" w:type="dxa"/>
            <w:noWrap w:val="0"/>
            <w:vAlign w:val="center"/>
          </w:tcPr>
          <w:p w14:paraId="5C110E47">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6634816E">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w:t>
            </w:r>
          </w:p>
        </w:tc>
        <w:tc>
          <w:tcPr>
            <w:tcW w:w="1761" w:type="dxa"/>
            <w:noWrap w:val="0"/>
            <w:vAlign w:val="center"/>
          </w:tcPr>
          <w:p w14:paraId="0B82E315">
            <w:pPr>
              <w:snapToGrid w:val="0"/>
              <w:jc w:val="center"/>
              <w:rPr>
                <w:rFonts w:hint="default"/>
                <w:color w:val="auto"/>
                <w:lang w:val="en-US" w:eastAsia="zh-CN"/>
              </w:rPr>
            </w:pPr>
            <w:r>
              <w:rPr>
                <w:rFonts w:hint="eastAsia"/>
                <w:color w:val="auto"/>
                <w:lang w:val="en-US" w:eastAsia="zh-CN"/>
              </w:rPr>
              <w:t>0</w:t>
            </w:r>
          </w:p>
        </w:tc>
        <w:tc>
          <w:tcPr>
            <w:tcW w:w="1641" w:type="dxa"/>
            <w:noWrap w:val="0"/>
            <w:vAlign w:val="center"/>
          </w:tcPr>
          <w:p w14:paraId="40DFFB02">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w:t>
            </w:r>
          </w:p>
        </w:tc>
        <w:tc>
          <w:tcPr>
            <w:tcW w:w="1144" w:type="dxa"/>
            <w:noWrap w:val="0"/>
            <w:vAlign w:val="center"/>
          </w:tcPr>
          <w:p w14:paraId="739A7D84">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w:t>
            </w:r>
          </w:p>
        </w:tc>
      </w:tr>
      <w:tr w14:paraId="09CDE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F9D5DB5">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05D39236">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煤渣</w:t>
            </w:r>
          </w:p>
        </w:tc>
        <w:tc>
          <w:tcPr>
            <w:tcW w:w="1559" w:type="dxa"/>
            <w:noWrap w:val="0"/>
            <w:vAlign w:val="center"/>
          </w:tcPr>
          <w:p w14:paraId="6F630FB3">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600</w:t>
            </w:r>
          </w:p>
        </w:tc>
        <w:tc>
          <w:tcPr>
            <w:tcW w:w="1418" w:type="dxa"/>
            <w:noWrap w:val="0"/>
            <w:vAlign w:val="center"/>
          </w:tcPr>
          <w:p w14:paraId="5ADA7F5D">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600</w:t>
            </w:r>
          </w:p>
        </w:tc>
        <w:tc>
          <w:tcPr>
            <w:tcW w:w="1701" w:type="dxa"/>
            <w:noWrap w:val="0"/>
            <w:vAlign w:val="center"/>
          </w:tcPr>
          <w:p w14:paraId="5238A4DF">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1CC152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1761" w:type="dxa"/>
            <w:noWrap w:val="0"/>
            <w:vAlign w:val="center"/>
          </w:tcPr>
          <w:p w14:paraId="0E7FFC7D">
            <w:pPr>
              <w:adjustRightInd w:val="0"/>
              <w:snapToGrid w:val="0"/>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0</w:t>
            </w:r>
          </w:p>
        </w:tc>
        <w:tc>
          <w:tcPr>
            <w:tcW w:w="1641" w:type="dxa"/>
            <w:noWrap w:val="0"/>
            <w:vAlign w:val="center"/>
          </w:tcPr>
          <w:p w14:paraId="5BEFD37B">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144" w:type="dxa"/>
            <w:noWrap w:val="0"/>
            <w:vAlign w:val="center"/>
          </w:tcPr>
          <w:p w14:paraId="06D0EC77">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-600</w:t>
            </w:r>
          </w:p>
        </w:tc>
      </w:tr>
      <w:tr w14:paraId="2925A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2282B0B">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66080931">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泥渣</w:t>
            </w:r>
          </w:p>
        </w:tc>
        <w:tc>
          <w:tcPr>
            <w:tcW w:w="1559" w:type="dxa"/>
            <w:noWrap w:val="0"/>
            <w:vAlign w:val="center"/>
          </w:tcPr>
          <w:p w14:paraId="11391247">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27</w:t>
            </w:r>
          </w:p>
        </w:tc>
        <w:tc>
          <w:tcPr>
            <w:tcW w:w="1418" w:type="dxa"/>
            <w:noWrap w:val="0"/>
            <w:vAlign w:val="center"/>
          </w:tcPr>
          <w:p w14:paraId="0642A0A5">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27</w:t>
            </w:r>
          </w:p>
        </w:tc>
        <w:tc>
          <w:tcPr>
            <w:tcW w:w="1701" w:type="dxa"/>
            <w:noWrap w:val="0"/>
            <w:vAlign w:val="center"/>
          </w:tcPr>
          <w:p w14:paraId="00506676">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08CE97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1761" w:type="dxa"/>
            <w:noWrap w:val="0"/>
            <w:vAlign w:val="center"/>
          </w:tcPr>
          <w:p w14:paraId="166C6D5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noWrap w:val="0"/>
            <w:vAlign w:val="center"/>
          </w:tcPr>
          <w:p w14:paraId="630E44B8">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144" w:type="dxa"/>
            <w:noWrap w:val="0"/>
            <w:vAlign w:val="center"/>
          </w:tcPr>
          <w:p w14:paraId="7F8E3980">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-27</w:t>
            </w:r>
          </w:p>
        </w:tc>
      </w:tr>
      <w:tr w14:paraId="250CD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40F9C50">
            <w:pPr>
              <w:pStyle w:val="64"/>
              <w:spacing w:beforeLines="0" w:afterLines="0" w:line="240" w:lineRule="auto"/>
              <w:rPr>
                <w:rFonts w:hint="default" w:ascii="Times New Roman" w:hAnsi="Times New Roman" w:eastAsia="宋体" w:cs="Times New Roman"/>
                <w:snapToGrid w:val="0"/>
                <w:color w:val="auto"/>
                <w:kern w:val="21"/>
                <w:sz w:val="18"/>
                <w:szCs w:val="18"/>
                <w:lang w:val="en-US" w:eastAsia="zh-CN"/>
              </w:rPr>
            </w:pPr>
          </w:p>
        </w:tc>
        <w:tc>
          <w:tcPr>
            <w:tcW w:w="1417" w:type="dxa"/>
            <w:gridSpan w:val="2"/>
            <w:noWrap w:val="0"/>
            <w:vAlign w:val="center"/>
          </w:tcPr>
          <w:p w14:paraId="55A821E5">
            <w:pPr>
              <w:snapToGrid w:val="0"/>
              <w:jc w:val="center"/>
              <w:rPr>
                <w:rFonts w:hint="default" w:ascii="Times New Roman" w:hAnsi="Times New Roman" w:eastAsia="宋体" w:cs="Times New Roman"/>
                <w:color w:val="auto"/>
                <w:kern w:val="2"/>
                <w:sz w:val="21"/>
                <w:szCs w:val="24"/>
                <w:lang w:val="en-US" w:eastAsia="zh-CN" w:bidi="ar-SA"/>
              </w:rPr>
            </w:pPr>
            <w:r>
              <w:rPr>
                <w:color w:val="auto"/>
              </w:rPr>
              <w:t>生活垃圾</w:t>
            </w:r>
          </w:p>
        </w:tc>
        <w:tc>
          <w:tcPr>
            <w:tcW w:w="1559" w:type="dxa"/>
            <w:noWrap w:val="0"/>
            <w:vAlign w:val="center"/>
          </w:tcPr>
          <w:p w14:paraId="31ED3A13">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12.5</w:t>
            </w:r>
          </w:p>
        </w:tc>
        <w:tc>
          <w:tcPr>
            <w:tcW w:w="1418" w:type="dxa"/>
            <w:noWrap w:val="0"/>
            <w:vAlign w:val="center"/>
          </w:tcPr>
          <w:p w14:paraId="00ACFA46">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12.5</w:t>
            </w:r>
          </w:p>
        </w:tc>
        <w:tc>
          <w:tcPr>
            <w:tcW w:w="1701" w:type="dxa"/>
            <w:noWrap w:val="0"/>
            <w:vAlign w:val="center"/>
          </w:tcPr>
          <w:p w14:paraId="3CAAE23C">
            <w:pPr>
              <w:pStyle w:val="64"/>
              <w:spacing w:beforeLines="0" w:afterLines="0" w:line="240" w:lineRule="auto"/>
              <w:ind w:right="113" w:rightChars="0"/>
              <w:rPr>
                <w:rFonts w:hint="default" w:ascii="Times New Roman" w:hAnsi="Times New Roman" w:eastAsia="宋体" w:cs="Times New Roman"/>
                <w:snapToGrid w:val="0"/>
                <w:color w:val="auto"/>
                <w:kern w:val="21"/>
                <w:sz w:val="21"/>
                <w:szCs w:val="21"/>
                <w:lang w:val="en-US" w:eastAsia="zh-CN"/>
              </w:rPr>
            </w:pPr>
          </w:p>
        </w:tc>
        <w:tc>
          <w:tcPr>
            <w:tcW w:w="1559" w:type="dxa"/>
            <w:noWrap w:val="0"/>
            <w:vAlign w:val="center"/>
          </w:tcPr>
          <w:p w14:paraId="07096E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1761" w:type="dxa"/>
            <w:noWrap w:val="0"/>
            <w:vAlign w:val="center"/>
          </w:tcPr>
          <w:p w14:paraId="6493058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41" w:type="dxa"/>
            <w:noWrap w:val="0"/>
            <w:vAlign w:val="center"/>
          </w:tcPr>
          <w:p w14:paraId="022EECF2">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12.5</w:t>
            </w:r>
          </w:p>
        </w:tc>
        <w:tc>
          <w:tcPr>
            <w:tcW w:w="1144" w:type="dxa"/>
            <w:noWrap w:val="0"/>
            <w:vAlign w:val="center"/>
          </w:tcPr>
          <w:p w14:paraId="1D3C3149">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w:t>
            </w:r>
          </w:p>
        </w:tc>
      </w:tr>
    </w:tbl>
    <w:p w14:paraId="4218D9D7">
      <w:pPr>
        <w:pStyle w:val="64"/>
        <w:spacing w:before="192" w:beforeLines="80" w:after="24"/>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p>
    <w:p w14:paraId="5919F792">
      <w:pPr>
        <w:rPr>
          <w:color w:val="auto"/>
        </w:rPr>
      </w:pPr>
    </w:p>
    <w:p w14:paraId="014794AE">
      <w:pPr>
        <w:pStyle w:val="37"/>
        <w:adjustRightInd w:val="0"/>
        <w:snapToGrid w:val="0"/>
        <w:spacing w:before="648" w:beforeLines="270" w:beforeAutospacing="0" w:after="648" w:afterLines="270" w:afterAutospacing="0"/>
        <w:jc w:val="center"/>
        <w:outlineLvl w:val="0"/>
        <w:rPr>
          <w:rFonts w:eastAsia="黑体"/>
          <w:color w:val="auto"/>
        </w:rPr>
      </w:pP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6ECD">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8DC6">
    <w:pPr>
      <w:pStyle w:val="25"/>
      <w:framePr w:wrap="around" w:vAnchor="text" w:hAnchor="margin" w:xAlign="center" w:y="1"/>
      <w:rPr>
        <w:rStyle w:val="47"/>
      </w:rPr>
    </w:pPr>
    <w:r>
      <w:fldChar w:fldCharType="begin"/>
    </w:r>
    <w:r>
      <w:rPr>
        <w:rStyle w:val="47"/>
      </w:rPr>
      <w:instrText xml:space="preserve">PAGE  </w:instrText>
    </w:r>
    <w:r>
      <w:fldChar w:fldCharType="end"/>
    </w:r>
  </w:p>
  <w:p w14:paraId="4A44692E">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7529">
    <w:pPr>
      <w:pStyle w:val="25"/>
      <w:framePr w:wrap="around" w:vAnchor="text" w:hAnchor="margin" w:xAlign="outside" w:y="1"/>
      <w:rPr>
        <w:rStyle w:val="47"/>
        <w:rFonts w:ascii="宋体" w:hAnsi="宋体"/>
        <w:sz w:val="28"/>
        <w:szCs w:val="28"/>
      </w:rPr>
    </w:pPr>
    <w:r>
      <w:rPr>
        <w:rStyle w:val="47"/>
        <w:rFonts w:hint="eastAsia" w:ascii="宋体" w:hAnsi="宋体"/>
        <w:sz w:val="28"/>
        <w:szCs w:val="28"/>
      </w:rPr>
      <w:t>—</w:t>
    </w:r>
    <w:r>
      <w:rPr>
        <w:rStyle w:val="47"/>
        <w:rFonts w:hint="eastAsia" w:ascii="宋体" w:hAnsi="宋体"/>
        <w:sz w:val="20"/>
      </w:rPr>
      <w:t xml:space="preserve">  </w:t>
    </w:r>
    <w:r>
      <w:rPr>
        <w:rFonts w:ascii="宋体" w:hAnsi="宋体"/>
        <w:sz w:val="26"/>
        <w:szCs w:val="26"/>
      </w:rPr>
      <w:fldChar w:fldCharType="begin"/>
    </w:r>
    <w:r>
      <w:rPr>
        <w:rStyle w:val="47"/>
        <w:rFonts w:ascii="宋体" w:hAnsi="宋体"/>
        <w:sz w:val="26"/>
        <w:szCs w:val="26"/>
      </w:rPr>
      <w:instrText xml:space="preserve">PAGE  </w:instrText>
    </w:r>
    <w:r>
      <w:rPr>
        <w:rFonts w:ascii="宋体" w:hAnsi="宋体"/>
        <w:sz w:val="26"/>
        <w:szCs w:val="26"/>
      </w:rPr>
      <w:fldChar w:fldCharType="separate"/>
    </w:r>
    <w:r>
      <w:rPr>
        <w:rStyle w:val="47"/>
        <w:rFonts w:ascii="宋体" w:hAnsi="宋体"/>
        <w:sz w:val="26"/>
        <w:szCs w:val="26"/>
      </w:rPr>
      <w:t>11</w:t>
    </w:r>
    <w:r>
      <w:rPr>
        <w:rFonts w:ascii="宋体" w:hAnsi="宋体"/>
        <w:sz w:val="26"/>
        <w:szCs w:val="26"/>
      </w:rPr>
      <w:fldChar w:fldCharType="end"/>
    </w:r>
    <w:r>
      <w:rPr>
        <w:rStyle w:val="47"/>
        <w:rFonts w:hint="eastAsia" w:ascii="宋体" w:hAnsi="宋体"/>
        <w:sz w:val="20"/>
      </w:rPr>
      <w:t xml:space="preserve">  </w:t>
    </w:r>
    <w:r>
      <w:rPr>
        <w:rStyle w:val="47"/>
        <w:rFonts w:hint="eastAsia" w:ascii="宋体" w:hAnsi="宋体"/>
        <w:sz w:val="28"/>
        <w:szCs w:val="28"/>
      </w:rPr>
      <w:t>—</w:t>
    </w:r>
  </w:p>
  <w:p w14:paraId="584BE475">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2744">
    <w:pPr>
      <w:pStyle w:val="25"/>
      <w:framePr w:wrap="around" w:vAnchor="text" w:hAnchor="margin" w:xAlign="outside" w:y="1"/>
      <w:rPr>
        <w:rStyle w:val="47"/>
        <w:rFonts w:ascii="宋体" w:hAnsi="宋体"/>
        <w:sz w:val="28"/>
        <w:szCs w:val="28"/>
      </w:rPr>
    </w:pPr>
    <w:r>
      <w:rPr>
        <w:rStyle w:val="47"/>
        <w:rFonts w:hint="eastAsia" w:ascii="宋体" w:hAnsi="宋体"/>
        <w:sz w:val="28"/>
        <w:szCs w:val="28"/>
      </w:rPr>
      <w:t>—</w:t>
    </w:r>
    <w:r>
      <w:rPr>
        <w:rStyle w:val="47"/>
        <w:rFonts w:hint="eastAsia" w:ascii="宋体" w:hAnsi="宋体"/>
        <w:sz w:val="20"/>
      </w:rPr>
      <w:t xml:space="preserve">  </w:t>
    </w:r>
    <w:r>
      <w:rPr>
        <w:rFonts w:ascii="宋体" w:hAnsi="宋体"/>
        <w:sz w:val="26"/>
        <w:szCs w:val="26"/>
      </w:rPr>
      <w:fldChar w:fldCharType="begin"/>
    </w:r>
    <w:r>
      <w:rPr>
        <w:rStyle w:val="47"/>
        <w:rFonts w:ascii="宋体" w:hAnsi="宋体"/>
        <w:sz w:val="26"/>
        <w:szCs w:val="26"/>
      </w:rPr>
      <w:instrText xml:space="preserve">PAGE  </w:instrText>
    </w:r>
    <w:r>
      <w:rPr>
        <w:rFonts w:ascii="宋体" w:hAnsi="宋体"/>
        <w:sz w:val="26"/>
        <w:szCs w:val="26"/>
      </w:rPr>
      <w:fldChar w:fldCharType="separate"/>
    </w:r>
    <w:r>
      <w:rPr>
        <w:rStyle w:val="47"/>
        <w:rFonts w:ascii="宋体" w:hAnsi="宋体"/>
        <w:sz w:val="26"/>
        <w:szCs w:val="26"/>
      </w:rPr>
      <w:t>42</w:t>
    </w:r>
    <w:r>
      <w:rPr>
        <w:rFonts w:ascii="宋体" w:hAnsi="宋体"/>
        <w:sz w:val="26"/>
        <w:szCs w:val="26"/>
      </w:rPr>
      <w:fldChar w:fldCharType="end"/>
    </w:r>
    <w:r>
      <w:rPr>
        <w:rStyle w:val="47"/>
        <w:rFonts w:hint="eastAsia" w:ascii="宋体" w:hAnsi="宋体"/>
        <w:sz w:val="20"/>
      </w:rPr>
      <w:t xml:space="preserve">  </w:t>
    </w:r>
    <w:r>
      <w:rPr>
        <w:rStyle w:val="47"/>
        <w:rFonts w:hint="eastAsia" w:ascii="宋体" w:hAnsi="宋体"/>
        <w:sz w:val="28"/>
        <w:szCs w:val="28"/>
      </w:rPr>
      <w:t>—</w:t>
    </w:r>
  </w:p>
  <w:p w14:paraId="77FFD840">
    <w:pPr>
      <w:pStyle w:val="2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1FCB9"/>
    <w:multiLevelType w:val="singleLevel"/>
    <w:tmpl w:val="B2A1FCB9"/>
    <w:lvl w:ilvl="0" w:tentative="0">
      <w:start w:val="1"/>
      <w:numFmt w:val="decimal"/>
      <w:suff w:val="nothing"/>
      <w:lvlText w:val="（%1）"/>
      <w:lvlJc w:val="left"/>
    </w:lvl>
  </w:abstractNum>
  <w:abstractNum w:abstractNumId="1">
    <w:nsid w:val="E4196849"/>
    <w:multiLevelType w:val="singleLevel"/>
    <w:tmpl w:val="E4196849"/>
    <w:lvl w:ilvl="0" w:tentative="0">
      <w:start w:val="1"/>
      <w:numFmt w:val="decimal"/>
      <w:suff w:val="nothing"/>
      <w:lvlText w:val="（%1）"/>
      <w:lvlJc w:val="left"/>
    </w:lvl>
  </w:abstractNum>
  <w:abstractNum w:abstractNumId="2">
    <w:nsid w:val="EB8313EF"/>
    <w:multiLevelType w:val="singleLevel"/>
    <w:tmpl w:val="EB8313EF"/>
    <w:lvl w:ilvl="0" w:tentative="0">
      <w:start w:val="1"/>
      <w:numFmt w:val="decimal"/>
      <w:lvlText w:val="(%1)"/>
      <w:lvlJc w:val="left"/>
      <w:pPr>
        <w:tabs>
          <w:tab w:val="left" w:pos="312"/>
        </w:tabs>
      </w:pPr>
    </w:lvl>
  </w:abstractNum>
  <w:abstractNum w:abstractNumId="3">
    <w:nsid w:val="3CF59092"/>
    <w:multiLevelType w:val="singleLevel"/>
    <w:tmpl w:val="3CF59092"/>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4">
    <w:nsid w:val="5043E0C3"/>
    <w:multiLevelType w:val="singleLevel"/>
    <w:tmpl w:val="5043E0C3"/>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WM3Nzk3ZmQ3ZDM5YjVkOTZjNDhjMTJmYzcyYmQifQ=="/>
  </w:docVars>
  <w:rsids>
    <w:rsidRoot w:val="00A14947"/>
    <w:rsid w:val="000037A9"/>
    <w:rsid w:val="000060B3"/>
    <w:rsid w:val="00017170"/>
    <w:rsid w:val="00023A38"/>
    <w:rsid w:val="0002680D"/>
    <w:rsid w:val="000274AB"/>
    <w:rsid w:val="0003488D"/>
    <w:rsid w:val="00035D56"/>
    <w:rsid w:val="0004364B"/>
    <w:rsid w:val="00047337"/>
    <w:rsid w:val="000547D5"/>
    <w:rsid w:val="00057CDD"/>
    <w:rsid w:val="00061B1F"/>
    <w:rsid w:val="000733C4"/>
    <w:rsid w:val="00074783"/>
    <w:rsid w:val="0008070B"/>
    <w:rsid w:val="000810AC"/>
    <w:rsid w:val="00081A02"/>
    <w:rsid w:val="00082231"/>
    <w:rsid w:val="000841E1"/>
    <w:rsid w:val="00087FE4"/>
    <w:rsid w:val="000901AE"/>
    <w:rsid w:val="000903B8"/>
    <w:rsid w:val="00092D38"/>
    <w:rsid w:val="0009377B"/>
    <w:rsid w:val="00094D11"/>
    <w:rsid w:val="000A10BC"/>
    <w:rsid w:val="000A20C9"/>
    <w:rsid w:val="000A2267"/>
    <w:rsid w:val="000B058F"/>
    <w:rsid w:val="000B0B26"/>
    <w:rsid w:val="000B34AE"/>
    <w:rsid w:val="000B4467"/>
    <w:rsid w:val="000B4DB9"/>
    <w:rsid w:val="000B6DD3"/>
    <w:rsid w:val="000C09AC"/>
    <w:rsid w:val="000C767F"/>
    <w:rsid w:val="000D2528"/>
    <w:rsid w:val="000D5A44"/>
    <w:rsid w:val="000E3ED2"/>
    <w:rsid w:val="000F64B2"/>
    <w:rsid w:val="001017C2"/>
    <w:rsid w:val="00103681"/>
    <w:rsid w:val="00104361"/>
    <w:rsid w:val="0011622F"/>
    <w:rsid w:val="0011656D"/>
    <w:rsid w:val="00120A3B"/>
    <w:rsid w:val="00121445"/>
    <w:rsid w:val="00121C41"/>
    <w:rsid w:val="001220A8"/>
    <w:rsid w:val="00126273"/>
    <w:rsid w:val="00131F42"/>
    <w:rsid w:val="001357F1"/>
    <w:rsid w:val="00140FA8"/>
    <w:rsid w:val="00142FEB"/>
    <w:rsid w:val="00143A2D"/>
    <w:rsid w:val="00145A41"/>
    <w:rsid w:val="00146B11"/>
    <w:rsid w:val="00151675"/>
    <w:rsid w:val="00152321"/>
    <w:rsid w:val="00154F67"/>
    <w:rsid w:val="00157435"/>
    <w:rsid w:val="00160DE2"/>
    <w:rsid w:val="0016470F"/>
    <w:rsid w:val="0017420E"/>
    <w:rsid w:val="0017504D"/>
    <w:rsid w:val="0017671A"/>
    <w:rsid w:val="00177422"/>
    <w:rsid w:val="00184590"/>
    <w:rsid w:val="001861EC"/>
    <w:rsid w:val="001870D1"/>
    <w:rsid w:val="0018781E"/>
    <w:rsid w:val="0019262D"/>
    <w:rsid w:val="001945F6"/>
    <w:rsid w:val="001A1B35"/>
    <w:rsid w:val="001A344C"/>
    <w:rsid w:val="001A48A2"/>
    <w:rsid w:val="001A6F61"/>
    <w:rsid w:val="001A7BF0"/>
    <w:rsid w:val="001B72B8"/>
    <w:rsid w:val="001C573E"/>
    <w:rsid w:val="001C69B3"/>
    <w:rsid w:val="001C7924"/>
    <w:rsid w:val="001D1ED4"/>
    <w:rsid w:val="001D5595"/>
    <w:rsid w:val="001D7874"/>
    <w:rsid w:val="001D7F22"/>
    <w:rsid w:val="001E1E2A"/>
    <w:rsid w:val="001E443B"/>
    <w:rsid w:val="001F0F17"/>
    <w:rsid w:val="001F3347"/>
    <w:rsid w:val="001F69E4"/>
    <w:rsid w:val="002125B4"/>
    <w:rsid w:val="00213C38"/>
    <w:rsid w:val="002155B8"/>
    <w:rsid w:val="00224839"/>
    <w:rsid w:val="002249B2"/>
    <w:rsid w:val="00226574"/>
    <w:rsid w:val="0022729D"/>
    <w:rsid w:val="002278EC"/>
    <w:rsid w:val="0023280E"/>
    <w:rsid w:val="002340A6"/>
    <w:rsid w:val="002377D1"/>
    <w:rsid w:val="00240E06"/>
    <w:rsid w:val="00240E50"/>
    <w:rsid w:val="002417C7"/>
    <w:rsid w:val="002422F6"/>
    <w:rsid w:val="00247C65"/>
    <w:rsid w:val="002506BC"/>
    <w:rsid w:val="00254345"/>
    <w:rsid w:val="002563A9"/>
    <w:rsid w:val="0026045C"/>
    <w:rsid w:val="002633EC"/>
    <w:rsid w:val="002638C2"/>
    <w:rsid w:val="00264557"/>
    <w:rsid w:val="00265EC5"/>
    <w:rsid w:val="0027170E"/>
    <w:rsid w:val="00272F58"/>
    <w:rsid w:val="002805AB"/>
    <w:rsid w:val="00284204"/>
    <w:rsid w:val="002861F7"/>
    <w:rsid w:val="002865F8"/>
    <w:rsid w:val="00291773"/>
    <w:rsid w:val="002922B0"/>
    <w:rsid w:val="002A168C"/>
    <w:rsid w:val="002A3DC7"/>
    <w:rsid w:val="002B28F2"/>
    <w:rsid w:val="002B49E2"/>
    <w:rsid w:val="002B7B00"/>
    <w:rsid w:val="002B7C44"/>
    <w:rsid w:val="002C2B17"/>
    <w:rsid w:val="002C2FD7"/>
    <w:rsid w:val="002C4FF9"/>
    <w:rsid w:val="002D3DD0"/>
    <w:rsid w:val="002E1F3A"/>
    <w:rsid w:val="002E298A"/>
    <w:rsid w:val="002E2BEB"/>
    <w:rsid w:val="002E495D"/>
    <w:rsid w:val="002E5735"/>
    <w:rsid w:val="002F796B"/>
    <w:rsid w:val="00301978"/>
    <w:rsid w:val="00301AED"/>
    <w:rsid w:val="0030332C"/>
    <w:rsid w:val="003051C2"/>
    <w:rsid w:val="00306540"/>
    <w:rsid w:val="0030723D"/>
    <w:rsid w:val="00312296"/>
    <w:rsid w:val="0031332F"/>
    <w:rsid w:val="00314F0E"/>
    <w:rsid w:val="00321D8E"/>
    <w:rsid w:val="00324FFD"/>
    <w:rsid w:val="00325928"/>
    <w:rsid w:val="0033110B"/>
    <w:rsid w:val="00332863"/>
    <w:rsid w:val="003328D7"/>
    <w:rsid w:val="0033684D"/>
    <w:rsid w:val="00337B42"/>
    <w:rsid w:val="00340CC0"/>
    <w:rsid w:val="00341B42"/>
    <w:rsid w:val="003432A2"/>
    <w:rsid w:val="0034348F"/>
    <w:rsid w:val="003525E6"/>
    <w:rsid w:val="00356653"/>
    <w:rsid w:val="0035743F"/>
    <w:rsid w:val="00357BE2"/>
    <w:rsid w:val="00357F85"/>
    <w:rsid w:val="0036170C"/>
    <w:rsid w:val="00365D0E"/>
    <w:rsid w:val="00366E0F"/>
    <w:rsid w:val="003745EA"/>
    <w:rsid w:val="00381A72"/>
    <w:rsid w:val="00381C91"/>
    <w:rsid w:val="0038238B"/>
    <w:rsid w:val="003828BB"/>
    <w:rsid w:val="00384676"/>
    <w:rsid w:val="00385F77"/>
    <w:rsid w:val="00390857"/>
    <w:rsid w:val="00392ABA"/>
    <w:rsid w:val="003A0CA1"/>
    <w:rsid w:val="003A4BF3"/>
    <w:rsid w:val="003A6969"/>
    <w:rsid w:val="003A6C2F"/>
    <w:rsid w:val="003B1C92"/>
    <w:rsid w:val="003B420D"/>
    <w:rsid w:val="003C64B9"/>
    <w:rsid w:val="003C6C16"/>
    <w:rsid w:val="003D151A"/>
    <w:rsid w:val="003D66BB"/>
    <w:rsid w:val="003D794D"/>
    <w:rsid w:val="003E3058"/>
    <w:rsid w:val="003E3255"/>
    <w:rsid w:val="003E3931"/>
    <w:rsid w:val="003E76A9"/>
    <w:rsid w:val="003F0809"/>
    <w:rsid w:val="003F209B"/>
    <w:rsid w:val="003F6A8C"/>
    <w:rsid w:val="003F755C"/>
    <w:rsid w:val="004000AC"/>
    <w:rsid w:val="0040167F"/>
    <w:rsid w:val="00406F01"/>
    <w:rsid w:val="004161EE"/>
    <w:rsid w:val="00416D50"/>
    <w:rsid w:val="00416FD5"/>
    <w:rsid w:val="00417772"/>
    <w:rsid w:val="00420E6A"/>
    <w:rsid w:val="004237B6"/>
    <w:rsid w:val="004257B9"/>
    <w:rsid w:val="00425A9E"/>
    <w:rsid w:val="00426D6B"/>
    <w:rsid w:val="00431E6C"/>
    <w:rsid w:val="00433CE7"/>
    <w:rsid w:val="004352D1"/>
    <w:rsid w:val="00450883"/>
    <w:rsid w:val="00452738"/>
    <w:rsid w:val="00456091"/>
    <w:rsid w:val="00457A92"/>
    <w:rsid w:val="00466321"/>
    <w:rsid w:val="00467D7A"/>
    <w:rsid w:val="00484B9B"/>
    <w:rsid w:val="004855F6"/>
    <w:rsid w:val="00485DBB"/>
    <w:rsid w:val="00486327"/>
    <w:rsid w:val="0048661E"/>
    <w:rsid w:val="00494670"/>
    <w:rsid w:val="004A3823"/>
    <w:rsid w:val="004A3DFF"/>
    <w:rsid w:val="004B08CD"/>
    <w:rsid w:val="004B69FC"/>
    <w:rsid w:val="004D00C1"/>
    <w:rsid w:val="004E297E"/>
    <w:rsid w:val="004E3652"/>
    <w:rsid w:val="004E6946"/>
    <w:rsid w:val="004F1AD8"/>
    <w:rsid w:val="004F3EFD"/>
    <w:rsid w:val="00500D26"/>
    <w:rsid w:val="0050208A"/>
    <w:rsid w:val="005039CB"/>
    <w:rsid w:val="0050558F"/>
    <w:rsid w:val="00506286"/>
    <w:rsid w:val="00506557"/>
    <w:rsid w:val="00510813"/>
    <w:rsid w:val="00511990"/>
    <w:rsid w:val="00511DE0"/>
    <w:rsid w:val="00514870"/>
    <w:rsid w:val="00514B9B"/>
    <w:rsid w:val="00517293"/>
    <w:rsid w:val="00517F02"/>
    <w:rsid w:val="00524303"/>
    <w:rsid w:val="005258A2"/>
    <w:rsid w:val="005401AE"/>
    <w:rsid w:val="00542E07"/>
    <w:rsid w:val="00545424"/>
    <w:rsid w:val="0054659D"/>
    <w:rsid w:val="00546A62"/>
    <w:rsid w:val="005528D4"/>
    <w:rsid w:val="00554A7B"/>
    <w:rsid w:val="0055572C"/>
    <w:rsid w:val="00557D7E"/>
    <w:rsid w:val="005607B5"/>
    <w:rsid w:val="0056106A"/>
    <w:rsid w:val="00561C00"/>
    <w:rsid w:val="00562862"/>
    <w:rsid w:val="00564BB1"/>
    <w:rsid w:val="00565892"/>
    <w:rsid w:val="005720AE"/>
    <w:rsid w:val="00574D68"/>
    <w:rsid w:val="00575922"/>
    <w:rsid w:val="00577718"/>
    <w:rsid w:val="00580646"/>
    <w:rsid w:val="00580C8E"/>
    <w:rsid w:val="00587706"/>
    <w:rsid w:val="0059445E"/>
    <w:rsid w:val="00594D77"/>
    <w:rsid w:val="005969E4"/>
    <w:rsid w:val="005A0149"/>
    <w:rsid w:val="005A06B7"/>
    <w:rsid w:val="005A1759"/>
    <w:rsid w:val="005A39DA"/>
    <w:rsid w:val="005A68A7"/>
    <w:rsid w:val="005B3802"/>
    <w:rsid w:val="005B3F7C"/>
    <w:rsid w:val="005B5F51"/>
    <w:rsid w:val="005C3DCB"/>
    <w:rsid w:val="005C4B5D"/>
    <w:rsid w:val="005C77E4"/>
    <w:rsid w:val="005D36AB"/>
    <w:rsid w:val="005D4D06"/>
    <w:rsid w:val="005D5BC6"/>
    <w:rsid w:val="005E5804"/>
    <w:rsid w:val="005F22F4"/>
    <w:rsid w:val="00602817"/>
    <w:rsid w:val="00603468"/>
    <w:rsid w:val="00610029"/>
    <w:rsid w:val="006105A8"/>
    <w:rsid w:val="006135B6"/>
    <w:rsid w:val="00617CC3"/>
    <w:rsid w:val="006200B6"/>
    <w:rsid w:val="00621470"/>
    <w:rsid w:val="0063077E"/>
    <w:rsid w:val="006377A6"/>
    <w:rsid w:val="00637A3D"/>
    <w:rsid w:val="006411EF"/>
    <w:rsid w:val="00641BF0"/>
    <w:rsid w:val="006438DC"/>
    <w:rsid w:val="00643F2C"/>
    <w:rsid w:val="0064672A"/>
    <w:rsid w:val="00647C36"/>
    <w:rsid w:val="006537CA"/>
    <w:rsid w:val="00653EE3"/>
    <w:rsid w:val="006570E1"/>
    <w:rsid w:val="00665379"/>
    <w:rsid w:val="006665EB"/>
    <w:rsid w:val="006748B8"/>
    <w:rsid w:val="00674C82"/>
    <w:rsid w:val="006775C3"/>
    <w:rsid w:val="00680698"/>
    <w:rsid w:val="006818F0"/>
    <w:rsid w:val="00690096"/>
    <w:rsid w:val="006923F1"/>
    <w:rsid w:val="0069290A"/>
    <w:rsid w:val="0069775A"/>
    <w:rsid w:val="00697813"/>
    <w:rsid w:val="006A3EE8"/>
    <w:rsid w:val="006A72BF"/>
    <w:rsid w:val="006A7EC2"/>
    <w:rsid w:val="006B03F2"/>
    <w:rsid w:val="006B37DC"/>
    <w:rsid w:val="006B4F68"/>
    <w:rsid w:val="006B6404"/>
    <w:rsid w:val="006B72BF"/>
    <w:rsid w:val="006C0592"/>
    <w:rsid w:val="006C272E"/>
    <w:rsid w:val="006C5479"/>
    <w:rsid w:val="006C6D2B"/>
    <w:rsid w:val="006D13B5"/>
    <w:rsid w:val="006D469A"/>
    <w:rsid w:val="006D7A41"/>
    <w:rsid w:val="006E12FF"/>
    <w:rsid w:val="006E607E"/>
    <w:rsid w:val="006E6D51"/>
    <w:rsid w:val="006E7AA4"/>
    <w:rsid w:val="006F47B0"/>
    <w:rsid w:val="0070093B"/>
    <w:rsid w:val="00706536"/>
    <w:rsid w:val="00706C5D"/>
    <w:rsid w:val="00715981"/>
    <w:rsid w:val="00732791"/>
    <w:rsid w:val="00732922"/>
    <w:rsid w:val="007349CA"/>
    <w:rsid w:val="00741BCD"/>
    <w:rsid w:val="007460E1"/>
    <w:rsid w:val="0075162E"/>
    <w:rsid w:val="00754034"/>
    <w:rsid w:val="00756556"/>
    <w:rsid w:val="007618C4"/>
    <w:rsid w:val="00763499"/>
    <w:rsid w:val="00767980"/>
    <w:rsid w:val="00770B19"/>
    <w:rsid w:val="0077463F"/>
    <w:rsid w:val="00776956"/>
    <w:rsid w:val="0078025C"/>
    <w:rsid w:val="007836EA"/>
    <w:rsid w:val="00784CDA"/>
    <w:rsid w:val="00784FEB"/>
    <w:rsid w:val="007906C4"/>
    <w:rsid w:val="00791D06"/>
    <w:rsid w:val="00792B14"/>
    <w:rsid w:val="007940EA"/>
    <w:rsid w:val="007967E8"/>
    <w:rsid w:val="00797B1E"/>
    <w:rsid w:val="007A14FE"/>
    <w:rsid w:val="007A2170"/>
    <w:rsid w:val="007A22BF"/>
    <w:rsid w:val="007A3323"/>
    <w:rsid w:val="007B70EF"/>
    <w:rsid w:val="007B72B8"/>
    <w:rsid w:val="007B7A58"/>
    <w:rsid w:val="007C21B5"/>
    <w:rsid w:val="007C39B6"/>
    <w:rsid w:val="007C51C1"/>
    <w:rsid w:val="007C7137"/>
    <w:rsid w:val="007E03B3"/>
    <w:rsid w:val="007E215C"/>
    <w:rsid w:val="007E3AAC"/>
    <w:rsid w:val="007E4BD2"/>
    <w:rsid w:val="007F0E02"/>
    <w:rsid w:val="007F10DC"/>
    <w:rsid w:val="007F7C9E"/>
    <w:rsid w:val="00801393"/>
    <w:rsid w:val="00802465"/>
    <w:rsid w:val="00802F88"/>
    <w:rsid w:val="00810B24"/>
    <w:rsid w:val="0081293E"/>
    <w:rsid w:val="00814A82"/>
    <w:rsid w:val="00815465"/>
    <w:rsid w:val="00817E9A"/>
    <w:rsid w:val="00826637"/>
    <w:rsid w:val="008306BD"/>
    <w:rsid w:val="00830F67"/>
    <w:rsid w:val="00831A80"/>
    <w:rsid w:val="00833743"/>
    <w:rsid w:val="008340A4"/>
    <w:rsid w:val="00835215"/>
    <w:rsid w:val="00835AA5"/>
    <w:rsid w:val="00840833"/>
    <w:rsid w:val="00844D3E"/>
    <w:rsid w:val="00846B53"/>
    <w:rsid w:val="008526CD"/>
    <w:rsid w:val="0087135F"/>
    <w:rsid w:val="00872D94"/>
    <w:rsid w:val="00873482"/>
    <w:rsid w:val="00880364"/>
    <w:rsid w:val="008857CC"/>
    <w:rsid w:val="00891592"/>
    <w:rsid w:val="00891C83"/>
    <w:rsid w:val="00891E9E"/>
    <w:rsid w:val="008A2F68"/>
    <w:rsid w:val="008B4FA6"/>
    <w:rsid w:val="008B5282"/>
    <w:rsid w:val="008B7C17"/>
    <w:rsid w:val="008C2D01"/>
    <w:rsid w:val="008C40E6"/>
    <w:rsid w:val="008D0F7A"/>
    <w:rsid w:val="008D506A"/>
    <w:rsid w:val="008D57F3"/>
    <w:rsid w:val="008D68E4"/>
    <w:rsid w:val="008E034E"/>
    <w:rsid w:val="008E0506"/>
    <w:rsid w:val="008E0CFF"/>
    <w:rsid w:val="008E1B01"/>
    <w:rsid w:val="008E40A3"/>
    <w:rsid w:val="008E5D6B"/>
    <w:rsid w:val="008E76F0"/>
    <w:rsid w:val="008F15FE"/>
    <w:rsid w:val="008F2D29"/>
    <w:rsid w:val="008F5187"/>
    <w:rsid w:val="008F60D8"/>
    <w:rsid w:val="00902727"/>
    <w:rsid w:val="0090312B"/>
    <w:rsid w:val="009051BF"/>
    <w:rsid w:val="009062A8"/>
    <w:rsid w:val="0091736D"/>
    <w:rsid w:val="0093037A"/>
    <w:rsid w:val="0093615E"/>
    <w:rsid w:val="0093673C"/>
    <w:rsid w:val="00936ACA"/>
    <w:rsid w:val="0094154D"/>
    <w:rsid w:val="0095155F"/>
    <w:rsid w:val="00954429"/>
    <w:rsid w:val="00955F21"/>
    <w:rsid w:val="009563CE"/>
    <w:rsid w:val="00956DE6"/>
    <w:rsid w:val="009601C7"/>
    <w:rsid w:val="009606AA"/>
    <w:rsid w:val="00964E3F"/>
    <w:rsid w:val="00974EAF"/>
    <w:rsid w:val="00976328"/>
    <w:rsid w:val="0097680D"/>
    <w:rsid w:val="00982438"/>
    <w:rsid w:val="0098404C"/>
    <w:rsid w:val="00985283"/>
    <w:rsid w:val="00985A6C"/>
    <w:rsid w:val="00995992"/>
    <w:rsid w:val="009968EE"/>
    <w:rsid w:val="00997AA8"/>
    <w:rsid w:val="009A03E5"/>
    <w:rsid w:val="009A075E"/>
    <w:rsid w:val="009A0F3B"/>
    <w:rsid w:val="009A1BB4"/>
    <w:rsid w:val="009A2628"/>
    <w:rsid w:val="009A3200"/>
    <w:rsid w:val="009A3895"/>
    <w:rsid w:val="009A7EA8"/>
    <w:rsid w:val="009B0897"/>
    <w:rsid w:val="009B7BD9"/>
    <w:rsid w:val="009C43BB"/>
    <w:rsid w:val="009C7DD5"/>
    <w:rsid w:val="009E227D"/>
    <w:rsid w:val="009E22FA"/>
    <w:rsid w:val="009E5019"/>
    <w:rsid w:val="009F6ACA"/>
    <w:rsid w:val="00A04F1B"/>
    <w:rsid w:val="00A0501B"/>
    <w:rsid w:val="00A11D51"/>
    <w:rsid w:val="00A12746"/>
    <w:rsid w:val="00A14947"/>
    <w:rsid w:val="00A14D02"/>
    <w:rsid w:val="00A2027E"/>
    <w:rsid w:val="00A32A83"/>
    <w:rsid w:val="00A36166"/>
    <w:rsid w:val="00A368DB"/>
    <w:rsid w:val="00A3698A"/>
    <w:rsid w:val="00A4131D"/>
    <w:rsid w:val="00A423AA"/>
    <w:rsid w:val="00A44B31"/>
    <w:rsid w:val="00A51280"/>
    <w:rsid w:val="00A53EC6"/>
    <w:rsid w:val="00A54D8F"/>
    <w:rsid w:val="00A55C0F"/>
    <w:rsid w:val="00A56B8A"/>
    <w:rsid w:val="00A67F19"/>
    <w:rsid w:val="00A80308"/>
    <w:rsid w:val="00A85774"/>
    <w:rsid w:val="00A86706"/>
    <w:rsid w:val="00A8713F"/>
    <w:rsid w:val="00A90BA1"/>
    <w:rsid w:val="00A97A9A"/>
    <w:rsid w:val="00AA0671"/>
    <w:rsid w:val="00AA2531"/>
    <w:rsid w:val="00AA4D68"/>
    <w:rsid w:val="00AB1E09"/>
    <w:rsid w:val="00AB5330"/>
    <w:rsid w:val="00AB7747"/>
    <w:rsid w:val="00AC14CE"/>
    <w:rsid w:val="00AC2A56"/>
    <w:rsid w:val="00AC3628"/>
    <w:rsid w:val="00AD055E"/>
    <w:rsid w:val="00AD47A7"/>
    <w:rsid w:val="00AD7196"/>
    <w:rsid w:val="00AE02CD"/>
    <w:rsid w:val="00AE6F35"/>
    <w:rsid w:val="00AF0CBF"/>
    <w:rsid w:val="00AF257F"/>
    <w:rsid w:val="00AF33CF"/>
    <w:rsid w:val="00AF4D50"/>
    <w:rsid w:val="00AF6179"/>
    <w:rsid w:val="00B017B7"/>
    <w:rsid w:val="00B01DE6"/>
    <w:rsid w:val="00B03CAA"/>
    <w:rsid w:val="00B0555D"/>
    <w:rsid w:val="00B077BD"/>
    <w:rsid w:val="00B10DDC"/>
    <w:rsid w:val="00B1199D"/>
    <w:rsid w:val="00B1295A"/>
    <w:rsid w:val="00B15F50"/>
    <w:rsid w:val="00B20A45"/>
    <w:rsid w:val="00B22C5C"/>
    <w:rsid w:val="00B24F30"/>
    <w:rsid w:val="00B26A17"/>
    <w:rsid w:val="00B31ABF"/>
    <w:rsid w:val="00B33BE3"/>
    <w:rsid w:val="00B47B12"/>
    <w:rsid w:val="00B52683"/>
    <w:rsid w:val="00B53B5D"/>
    <w:rsid w:val="00B57CCA"/>
    <w:rsid w:val="00B6055E"/>
    <w:rsid w:val="00B6317D"/>
    <w:rsid w:val="00B65CA1"/>
    <w:rsid w:val="00B70080"/>
    <w:rsid w:val="00B7723F"/>
    <w:rsid w:val="00B775D6"/>
    <w:rsid w:val="00B802BA"/>
    <w:rsid w:val="00B80534"/>
    <w:rsid w:val="00B8433C"/>
    <w:rsid w:val="00B85F48"/>
    <w:rsid w:val="00B87491"/>
    <w:rsid w:val="00B954FB"/>
    <w:rsid w:val="00B95BEB"/>
    <w:rsid w:val="00BA29E9"/>
    <w:rsid w:val="00BA6D85"/>
    <w:rsid w:val="00BA7142"/>
    <w:rsid w:val="00BB237C"/>
    <w:rsid w:val="00BB41A3"/>
    <w:rsid w:val="00BC32DC"/>
    <w:rsid w:val="00BC35B6"/>
    <w:rsid w:val="00BC59F8"/>
    <w:rsid w:val="00BD1B51"/>
    <w:rsid w:val="00BD44A4"/>
    <w:rsid w:val="00BD4596"/>
    <w:rsid w:val="00BD641A"/>
    <w:rsid w:val="00BE1405"/>
    <w:rsid w:val="00BE204F"/>
    <w:rsid w:val="00BE312D"/>
    <w:rsid w:val="00BF1C20"/>
    <w:rsid w:val="00BF4C4F"/>
    <w:rsid w:val="00BF4D3A"/>
    <w:rsid w:val="00C0138A"/>
    <w:rsid w:val="00C03BC1"/>
    <w:rsid w:val="00C046C3"/>
    <w:rsid w:val="00C100CC"/>
    <w:rsid w:val="00C10578"/>
    <w:rsid w:val="00C135BC"/>
    <w:rsid w:val="00C15C95"/>
    <w:rsid w:val="00C23F39"/>
    <w:rsid w:val="00C2496B"/>
    <w:rsid w:val="00C2596A"/>
    <w:rsid w:val="00C27537"/>
    <w:rsid w:val="00C328FE"/>
    <w:rsid w:val="00C33507"/>
    <w:rsid w:val="00C42914"/>
    <w:rsid w:val="00C4409D"/>
    <w:rsid w:val="00C44E72"/>
    <w:rsid w:val="00C45A06"/>
    <w:rsid w:val="00C475D4"/>
    <w:rsid w:val="00C47E5B"/>
    <w:rsid w:val="00C55249"/>
    <w:rsid w:val="00C61D75"/>
    <w:rsid w:val="00C61E4B"/>
    <w:rsid w:val="00C64BFF"/>
    <w:rsid w:val="00C64D25"/>
    <w:rsid w:val="00C65D0C"/>
    <w:rsid w:val="00C704E9"/>
    <w:rsid w:val="00C74FFB"/>
    <w:rsid w:val="00C756EA"/>
    <w:rsid w:val="00C763C9"/>
    <w:rsid w:val="00C7766A"/>
    <w:rsid w:val="00C80057"/>
    <w:rsid w:val="00C82232"/>
    <w:rsid w:val="00C82913"/>
    <w:rsid w:val="00C95714"/>
    <w:rsid w:val="00C972B1"/>
    <w:rsid w:val="00CA2CCE"/>
    <w:rsid w:val="00CA43FD"/>
    <w:rsid w:val="00CA7EF8"/>
    <w:rsid w:val="00CB64D4"/>
    <w:rsid w:val="00CC489B"/>
    <w:rsid w:val="00CC6175"/>
    <w:rsid w:val="00CC7FAB"/>
    <w:rsid w:val="00CD2BCD"/>
    <w:rsid w:val="00CD3A4C"/>
    <w:rsid w:val="00CE10E9"/>
    <w:rsid w:val="00CE2910"/>
    <w:rsid w:val="00CE536B"/>
    <w:rsid w:val="00CE5393"/>
    <w:rsid w:val="00CF10EF"/>
    <w:rsid w:val="00CF1E2C"/>
    <w:rsid w:val="00CF36BE"/>
    <w:rsid w:val="00CF3A41"/>
    <w:rsid w:val="00CF6000"/>
    <w:rsid w:val="00CF6198"/>
    <w:rsid w:val="00D003F3"/>
    <w:rsid w:val="00D0364F"/>
    <w:rsid w:val="00D06834"/>
    <w:rsid w:val="00D07099"/>
    <w:rsid w:val="00D120FC"/>
    <w:rsid w:val="00D1491B"/>
    <w:rsid w:val="00D22141"/>
    <w:rsid w:val="00D245CF"/>
    <w:rsid w:val="00D24E7A"/>
    <w:rsid w:val="00D308ED"/>
    <w:rsid w:val="00D33A8D"/>
    <w:rsid w:val="00D36D86"/>
    <w:rsid w:val="00D428AA"/>
    <w:rsid w:val="00D44C80"/>
    <w:rsid w:val="00D45136"/>
    <w:rsid w:val="00D50A34"/>
    <w:rsid w:val="00D52F41"/>
    <w:rsid w:val="00D53EFA"/>
    <w:rsid w:val="00D658BC"/>
    <w:rsid w:val="00D65BF1"/>
    <w:rsid w:val="00D72A77"/>
    <w:rsid w:val="00D813B5"/>
    <w:rsid w:val="00D90478"/>
    <w:rsid w:val="00D906FF"/>
    <w:rsid w:val="00D91491"/>
    <w:rsid w:val="00D9286A"/>
    <w:rsid w:val="00D92F3C"/>
    <w:rsid w:val="00D94A7C"/>
    <w:rsid w:val="00D95896"/>
    <w:rsid w:val="00DA70A2"/>
    <w:rsid w:val="00DA755E"/>
    <w:rsid w:val="00DB2983"/>
    <w:rsid w:val="00DB4509"/>
    <w:rsid w:val="00DC1257"/>
    <w:rsid w:val="00DC3DC0"/>
    <w:rsid w:val="00DC5B2B"/>
    <w:rsid w:val="00DD318D"/>
    <w:rsid w:val="00DE760F"/>
    <w:rsid w:val="00DF2E12"/>
    <w:rsid w:val="00DF514A"/>
    <w:rsid w:val="00DF6690"/>
    <w:rsid w:val="00DF6804"/>
    <w:rsid w:val="00E010A4"/>
    <w:rsid w:val="00E02C3A"/>
    <w:rsid w:val="00E0358D"/>
    <w:rsid w:val="00E04323"/>
    <w:rsid w:val="00E068E1"/>
    <w:rsid w:val="00E070A2"/>
    <w:rsid w:val="00E100A7"/>
    <w:rsid w:val="00E174E9"/>
    <w:rsid w:val="00E179BA"/>
    <w:rsid w:val="00E17E10"/>
    <w:rsid w:val="00E23EC1"/>
    <w:rsid w:val="00E2656A"/>
    <w:rsid w:val="00E36C8A"/>
    <w:rsid w:val="00E37473"/>
    <w:rsid w:val="00E412D0"/>
    <w:rsid w:val="00E42FE7"/>
    <w:rsid w:val="00E4474E"/>
    <w:rsid w:val="00E45FE6"/>
    <w:rsid w:val="00E463BA"/>
    <w:rsid w:val="00E4658A"/>
    <w:rsid w:val="00E56322"/>
    <w:rsid w:val="00E60982"/>
    <w:rsid w:val="00E62C62"/>
    <w:rsid w:val="00E654C1"/>
    <w:rsid w:val="00E65D97"/>
    <w:rsid w:val="00E66BB4"/>
    <w:rsid w:val="00E66D45"/>
    <w:rsid w:val="00E71580"/>
    <w:rsid w:val="00E72A5A"/>
    <w:rsid w:val="00E73354"/>
    <w:rsid w:val="00E86274"/>
    <w:rsid w:val="00E910EB"/>
    <w:rsid w:val="00E91130"/>
    <w:rsid w:val="00E9242D"/>
    <w:rsid w:val="00EA266D"/>
    <w:rsid w:val="00EA587E"/>
    <w:rsid w:val="00EA781A"/>
    <w:rsid w:val="00EB045C"/>
    <w:rsid w:val="00EB243C"/>
    <w:rsid w:val="00EB5255"/>
    <w:rsid w:val="00EB56C6"/>
    <w:rsid w:val="00EB5C47"/>
    <w:rsid w:val="00ED0639"/>
    <w:rsid w:val="00ED2F71"/>
    <w:rsid w:val="00EE76E2"/>
    <w:rsid w:val="00EE775E"/>
    <w:rsid w:val="00EF1EAC"/>
    <w:rsid w:val="00EF4755"/>
    <w:rsid w:val="00EF59A4"/>
    <w:rsid w:val="00EF7135"/>
    <w:rsid w:val="00F027DB"/>
    <w:rsid w:val="00F05FE6"/>
    <w:rsid w:val="00F06440"/>
    <w:rsid w:val="00F067A4"/>
    <w:rsid w:val="00F0737D"/>
    <w:rsid w:val="00F13737"/>
    <w:rsid w:val="00F14A7A"/>
    <w:rsid w:val="00F201CF"/>
    <w:rsid w:val="00F22985"/>
    <w:rsid w:val="00F25208"/>
    <w:rsid w:val="00F306F5"/>
    <w:rsid w:val="00F31565"/>
    <w:rsid w:val="00F3383E"/>
    <w:rsid w:val="00F465A7"/>
    <w:rsid w:val="00F50B7C"/>
    <w:rsid w:val="00F550E6"/>
    <w:rsid w:val="00F55238"/>
    <w:rsid w:val="00F64924"/>
    <w:rsid w:val="00F66B1A"/>
    <w:rsid w:val="00F67A7D"/>
    <w:rsid w:val="00F7036F"/>
    <w:rsid w:val="00F73BCE"/>
    <w:rsid w:val="00F74345"/>
    <w:rsid w:val="00F80A0A"/>
    <w:rsid w:val="00F82B19"/>
    <w:rsid w:val="00F9212D"/>
    <w:rsid w:val="00F965DA"/>
    <w:rsid w:val="00FA406A"/>
    <w:rsid w:val="00FA5B3F"/>
    <w:rsid w:val="00FB179D"/>
    <w:rsid w:val="00FB503A"/>
    <w:rsid w:val="00FB516C"/>
    <w:rsid w:val="00FB5D83"/>
    <w:rsid w:val="00FC3AC6"/>
    <w:rsid w:val="00FC53D0"/>
    <w:rsid w:val="00FC76D8"/>
    <w:rsid w:val="00FD0236"/>
    <w:rsid w:val="00FD18F4"/>
    <w:rsid w:val="00FD1AEA"/>
    <w:rsid w:val="00FD405E"/>
    <w:rsid w:val="00FD54DB"/>
    <w:rsid w:val="00FD619F"/>
    <w:rsid w:val="00FE3B9C"/>
    <w:rsid w:val="00FE3E3B"/>
    <w:rsid w:val="00FE6E2D"/>
    <w:rsid w:val="00FF008B"/>
    <w:rsid w:val="00FF0E93"/>
    <w:rsid w:val="00FF0F1F"/>
    <w:rsid w:val="00FF2B67"/>
    <w:rsid w:val="00FF462F"/>
    <w:rsid w:val="01290F7E"/>
    <w:rsid w:val="01545A05"/>
    <w:rsid w:val="01592C06"/>
    <w:rsid w:val="015D1E09"/>
    <w:rsid w:val="017A2B60"/>
    <w:rsid w:val="018D02C4"/>
    <w:rsid w:val="01BC3922"/>
    <w:rsid w:val="01C012ED"/>
    <w:rsid w:val="0246079A"/>
    <w:rsid w:val="02674143"/>
    <w:rsid w:val="02697903"/>
    <w:rsid w:val="02B349AE"/>
    <w:rsid w:val="02C12698"/>
    <w:rsid w:val="02CB0AFA"/>
    <w:rsid w:val="02EC1ABE"/>
    <w:rsid w:val="02F3287A"/>
    <w:rsid w:val="02F96569"/>
    <w:rsid w:val="031636E2"/>
    <w:rsid w:val="031A3CAC"/>
    <w:rsid w:val="03600692"/>
    <w:rsid w:val="039241CF"/>
    <w:rsid w:val="03B4325E"/>
    <w:rsid w:val="03BC616E"/>
    <w:rsid w:val="03EA7B21"/>
    <w:rsid w:val="03EE3285"/>
    <w:rsid w:val="03F97FF8"/>
    <w:rsid w:val="041537FA"/>
    <w:rsid w:val="04175B53"/>
    <w:rsid w:val="04516136"/>
    <w:rsid w:val="04695C6C"/>
    <w:rsid w:val="04714B20"/>
    <w:rsid w:val="04747E1B"/>
    <w:rsid w:val="04953F2D"/>
    <w:rsid w:val="049D0AFA"/>
    <w:rsid w:val="04A976A3"/>
    <w:rsid w:val="04F83E96"/>
    <w:rsid w:val="051649B9"/>
    <w:rsid w:val="051C2CDE"/>
    <w:rsid w:val="055D640B"/>
    <w:rsid w:val="056D7096"/>
    <w:rsid w:val="058523FD"/>
    <w:rsid w:val="05B93C5C"/>
    <w:rsid w:val="05D20889"/>
    <w:rsid w:val="05F73D59"/>
    <w:rsid w:val="05F83EAE"/>
    <w:rsid w:val="06031956"/>
    <w:rsid w:val="061B34C6"/>
    <w:rsid w:val="06215BFF"/>
    <w:rsid w:val="0629769E"/>
    <w:rsid w:val="063B6046"/>
    <w:rsid w:val="063E7D85"/>
    <w:rsid w:val="065926E8"/>
    <w:rsid w:val="066A7A0C"/>
    <w:rsid w:val="066F3425"/>
    <w:rsid w:val="06930D7E"/>
    <w:rsid w:val="06D11E9A"/>
    <w:rsid w:val="06D46DA4"/>
    <w:rsid w:val="06FE3851"/>
    <w:rsid w:val="07104668"/>
    <w:rsid w:val="07293586"/>
    <w:rsid w:val="07295285"/>
    <w:rsid w:val="073A546B"/>
    <w:rsid w:val="073E2DFE"/>
    <w:rsid w:val="07636392"/>
    <w:rsid w:val="076575D7"/>
    <w:rsid w:val="076A31BD"/>
    <w:rsid w:val="07770C56"/>
    <w:rsid w:val="078C0AEF"/>
    <w:rsid w:val="07A91771"/>
    <w:rsid w:val="07D07C59"/>
    <w:rsid w:val="07DA7D29"/>
    <w:rsid w:val="08252925"/>
    <w:rsid w:val="08501963"/>
    <w:rsid w:val="08815043"/>
    <w:rsid w:val="08900AD5"/>
    <w:rsid w:val="08AE0636"/>
    <w:rsid w:val="08C33F08"/>
    <w:rsid w:val="08D631A4"/>
    <w:rsid w:val="09173EE8"/>
    <w:rsid w:val="091C6883"/>
    <w:rsid w:val="092217DD"/>
    <w:rsid w:val="09352159"/>
    <w:rsid w:val="093A7294"/>
    <w:rsid w:val="095C2D9E"/>
    <w:rsid w:val="09942BFD"/>
    <w:rsid w:val="09957132"/>
    <w:rsid w:val="09A908B8"/>
    <w:rsid w:val="09BC2025"/>
    <w:rsid w:val="09D14BB0"/>
    <w:rsid w:val="09DD0DB8"/>
    <w:rsid w:val="09F2400E"/>
    <w:rsid w:val="0A023896"/>
    <w:rsid w:val="0A2249E7"/>
    <w:rsid w:val="0A263993"/>
    <w:rsid w:val="0A2C39C3"/>
    <w:rsid w:val="0A2D3AC2"/>
    <w:rsid w:val="0A385944"/>
    <w:rsid w:val="0A7E7112"/>
    <w:rsid w:val="0AA56AD0"/>
    <w:rsid w:val="0AA755DF"/>
    <w:rsid w:val="0AD11E75"/>
    <w:rsid w:val="0AE84F26"/>
    <w:rsid w:val="0AEC3FB1"/>
    <w:rsid w:val="0AF8035B"/>
    <w:rsid w:val="0B120D44"/>
    <w:rsid w:val="0B3901CB"/>
    <w:rsid w:val="0B541986"/>
    <w:rsid w:val="0B626F71"/>
    <w:rsid w:val="0BB562F7"/>
    <w:rsid w:val="0BB67507"/>
    <w:rsid w:val="0BD07366"/>
    <w:rsid w:val="0BD27BF6"/>
    <w:rsid w:val="0C0544CC"/>
    <w:rsid w:val="0C1006EF"/>
    <w:rsid w:val="0C2414CF"/>
    <w:rsid w:val="0C3B3C7D"/>
    <w:rsid w:val="0C563E96"/>
    <w:rsid w:val="0C5873F1"/>
    <w:rsid w:val="0C7D4B5F"/>
    <w:rsid w:val="0CAB2EAE"/>
    <w:rsid w:val="0CE75516"/>
    <w:rsid w:val="0D2343D0"/>
    <w:rsid w:val="0D383963"/>
    <w:rsid w:val="0D575B30"/>
    <w:rsid w:val="0D610CBB"/>
    <w:rsid w:val="0D621C7D"/>
    <w:rsid w:val="0D747F96"/>
    <w:rsid w:val="0D7808A1"/>
    <w:rsid w:val="0D7A67F4"/>
    <w:rsid w:val="0DAD5F76"/>
    <w:rsid w:val="0DD45E9F"/>
    <w:rsid w:val="0DE20FC7"/>
    <w:rsid w:val="0DEE2E6C"/>
    <w:rsid w:val="0E0407B3"/>
    <w:rsid w:val="0E095684"/>
    <w:rsid w:val="0E545A42"/>
    <w:rsid w:val="0E6733AD"/>
    <w:rsid w:val="0E707BF7"/>
    <w:rsid w:val="0E73034D"/>
    <w:rsid w:val="0E744138"/>
    <w:rsid w:val="0E7640AB"/>
    <w:rsid w:val="0EA60D02"/>
    <w:rsid w:val="0EAD3776"/>
    <w:rsid w:val="0EF05C0D"/>
    <w:rsid w:val="0EFE3398"/>
    <w:rsid w:val="0F13775A"/>
    <w:rsid w:val="0F1B5337"/>
    <w:rsid w:val="0F247442"/>
    <w:rsid w:val="0F487F6D"/>
    <w:rsid w:val="0F5F45FE"/>
    <w:rsid w:val="0F816B64"/>
    <w:rsid w:val="0F9A112B"/>
    <w:rsid w:val="0FAC1B25"/>
    <w:rsid w:val="0FBA737B"/>
    <w:rsid w:val="0FC1217B"/>
    <w:rsid w:val="0FDB7019"/>
    <w:rsid w:val="0FE047E6"/>
    <w:rsid w:val="10170F29"/>
    <w:rsid w:val="101C64B1"/>
    <w:rsid w:val="1025474F"/>
    <w:rsid w:val="105A17F1"/>
    <w:rsid w:val="106477BA"/>
    <w:rsid w:val="10664B17"/>
    <w:rsid w:val="106D2F64"/>
    <w:rsid w:val="10966B3B"/>
    <w:rsid w:val="1097590F"/>
    <w:rsid w:val="10B63710"/>
    <w:rsid w:val="10CD70FB"/>
    <w:rsid w:val="10EC43E8"/>
    <w:rsid w:val="10F10820"/>
    <w:rsid w:val="11036B00"/>
    <w:rsid w:val="111157A5"/>
    <w:rsid w:val="111C2F7A"/>
    <w:rsid w:val="11273055"/>
    <w:rsid w:val="112847B9"/>
    <w:rsid w:val="11347154"/>
    <w:rsid w:val="11534665"/>
    <w:rsid w:val="115861BD"/>
    <w:rsid w:val="11665CA1"/>
    <w:rsid w:val="117B772E"/>
    <w:rsid w:val="11867748"/>
    <w:rsid w:val="119239EF"/>
    <w:rsid w:val="11A025A1"/>
    <w:rsid w:val="11A1472F"/>
    <w:rsid w:val="11A337EE"/>
    <w:rsid w:val="11BB73DB"/>
    <w:rsid w:val="11CD7CA8"/>
    <w:rsid w:val="11D95F87"/>
    <w:rsid w:val="12187C39"/>
    <w:rsid w:val="121E4518"/>
    <w:rsid w:val="12482B82"/>
    <w:rsid w:val="12523EAB"/>
    <w:rsid w:val="12694785"/>
    <w:rsid w:val="12A77003"/>
    <w:rsid w:val="12AB2D39"/>
    <w:rsid w:val="12BD0125"/>
    <w:rsid w:val="12BD0AF8"/>
    <w:rsid w:val="12D76485"/>
    <w:rsid w:val="12EE7BD5"/>
    <w:rsid w:val="1304103A"/>
    <w:rsid w:val="134F0E18"/>
    <w:rsid w:val="13510560"/>
    <w:rsid w:val="1393060F"/>
    <w:rsid w:val="13951726"/>
    <w:rsid w:val="13C84C6D"/>
    <w:rsid w:val="13CE5C19"/>
    <w:rsid w:val="13D523D8"/>
    <w:rsid w:val="13D93088"/>
    <w:rsid w:val="13DA6291"/>
    <w:rsid w:val="13F82B68"/>
    <w:rsid w:val="142B47A0"/>
    <w:rsid w:val="14396509"/>
    <w:rsid w:val="143F3093"/>
    <w:rsid w:val="143F60A1"/>
    <w:rsid w:val="14413CEF"/>
    <w:rsid w:val="1445756D"/>
    <w:rsid w:val="14464D13"/>
    <w:rsid w:val="14A002A8"/>
    <w:rsid w:val="14DD2C3C"/>
    <w:rsid w:val="14E45CB2"/>
    <w:rsid w:val="1529040D"/>
    <w:rsid w:val="15507BD6"/>
    <w:rsid w:val="156D4363"/>
    <w:rsid w:val="15CE28A3"/>
    <w:rsid w:val="16087E1D"/>
    <w:rsid w:val="162C35B1"/>
    <w:rsid w:val="163E57AE"/>
    <w:rsid w:val="16623B6C"/>
    <w:rsid w:val="16774218"/>
    <w:rsid w:val="168129A1"/>
    <w:rsid w:val="1681654F"/>
    <w:rsid w:val="16B62B5F"/>
    <w:rsid w:val="16BF792A"/>
    <w:rsid w:val="17031A7F"/>
    <w:rsid w:val="1729786F"/>
    <w:rsid w:val="17321EED"/>
    <w:rsid w:val="173B5D7C"/>
    <w:rsid w:val="173C738E"/>
    <w:rsid w:val="17412CEB"/>
    <w:rsid w:val="175F5E22"/>
    <w:rsid w:val="17701D14"/>
    <w:rsid w:val="17735226"/>
    <w:rsid w:val="178707C2"/>
    <w:rsid w:val="17BC2843"/>
    <w:rsid w:val="17C0574B"/>
    <w:rsid w:val="17C4696E"/>
    <w:rsid w:val="17C86F64"/>
    <w:rsid w:val="17EA5CDD"/>
    <w:rsid w:val="18287866"/>
    <w:rsid w:val="18770500"/>
    <w:rsid w:val="187C0905"/>
    <w:rsid w:val="189125F0"/>
    <w:rsid w:val="189F624C"/>
    <w:rsid w:val="18C46273"/>
    <w:rsid w:val="18D72D4C"/>
    <w:rsid w:val="18EC73BA"/>
    <w:rsid w:val="1902028E"/>
    <w:rsid w:val="190604FA"/>
    <w:rsid w:val="19182EA0"/>
    <w:rsid w:val="19371627"/>
    <w:rsid w:val="193C265A"/>
    <w:rsid w:val="193C5D99"/>
    <w:rsid w:val="194A4F18"/>
    <w:rsid w:val="195206C2"/>
    <w:rsid w:val="1967739D"/>
    <w:rsid w:val="198E212C"/>
    <w:rsid w:val="198F1EEC"/>
    <w:rsid w:val="19914F2C"/>
    <w:rsid w:val="19A05EE2"/>
    <w:rsid w:val="19BB7D7E"/>
    <w:rsid w:val="19BE215E"/>
    <w:rsid w:val="19EE7791"/>
    <w:rsid w:val="19F45B80"/>
    <w:rsid w:val="1A1A32CA"/>
    <w:rsid w:val="1A1C66C0"/>
    <w:rsid w:val="1A1F25BF"/>
    <w:rsid w:val="1A4007C7"/>
    <w:rsid w:val="1A42393B"/>
    <w:rsid w:val="1A494ADF"/>
    <w:rsid w:val="1A9F4459"/>
    <w:rsid w:val="1AAD45DE"/>
    <w:rsid w:val="1AB8727B"/>
    <w:rsid w:val="1AEA3A4E"/>
    <w:rsid w:val="1AEF53F6"/>
    <w:rsid w:val="1B021704"/>
    <w:rsid w:val="1B046F80"/>
    <w:rsid w:val="1B1D7BA0"/>
    <w:rsid w:val="1B1E1802"/>
    <w:rsid w:val="1B3267B5"/>
    <w:rsid w:val="1B340588"/>
    <w:rsid w:val="1B395F40"/>
    <w:rsid w:val="1B3E0C1A"/>
    <w:rsid w:val="1B40161D"/>
    <w:rsid w:val="1B4046AF"/>
    <w:rsid w:val="1B441859"/>
    <w:rsid w:val="1B464DFE"/>
    <w:rsid w:val="1B4829ED"/>
    <w:rsid w:val="1B6606B1"/>
    <w:rsid w:val="1B700F99"/>
    <w:rsid w:val="1B854CE1"/>
    <w:rsid w:val="1B8C7840"/>
    <w:rsid w:val="1BCE07F5"/>
    <w:rsid w:val="1C432F9B"/>
    <w:rsid w:val="1C4A412D"/>
    <w:rsid w:val="1C5E7925"/>
    <w:rsid w:val="1C720653"/>
    <w:rsid w:val="1C7D71FC"/>
    <w:rsid w:val="1C7E5D28"/>
    <w:rsid w:val="1C8C14E5"/>
    <w:rsid w:val="1C94069A"/>
    <w:rsid w:val="1CBD0AE8"/>
    <w:rsid w:val="1CC94D00"/>
    <w:rsid w:val="1CFD070F"/>
    <w:rsid w:val="1D30166A"/>
    <w:rsid w:val="1D5F6196"/>
    <w:rsid w:val="1D6132A5"/>
    <w:rsid w:val="1D8E56D5"/>
    <w:rsid w:val="1D9F6CE1"/>
    <w:rsid w:val="1DB652CC"/>
    <w:rsid w:val="1DB81243"/>
    <w:rsid w:val="1DCD61B0"/>
    <w:rsid w:val="1DDD7B78"/>
    <w:rsid w:val="1DE61B66"/>
    <w:rsid w:val="1E082697"/>
    <w:rsid w:val="1E4574E9"/>
    <w:rsid w:val="1E63598E"/>
    <w:rsid w:val="1E753AFF"/>
    <w:rsid w:val="1E7A43DA"/>
    <w:rsid w:val="1E9B5FA7"/>
    <w:rsid w:val="1EA83F6E"/>
    <w:rsid w:val="1EB834BD"/>
    <w:rsid w:val="1ED12D6B"/>
    <w:rsid w:val="1EDC767E"/>
    <w:rsid w:val="1F0360DB"/>
    <w:rsid w:val="1F0E2A1B"/>
    <w:rsid w:val="1F463B16"/>
    <w:rsid w:val="1F861028"/>
    <w:rsid w:val="1F8F6263"/>
    <w:rsid w:val="1F9E2311"/>
    <w:rsid w:val="1FBB33C8"/>
    <w:rsid w:val="1FE7539E"/>
    <w:rsid w:val="20225F95"/>
    <w:rsid w:val="20275419"/>
    <w:rsid w:val="20300CA6"/>
    <w:rsid w:val="20671BE0"/>
    <w:rsid w:val="20953541"/>
    <w:rsid w:val="20963CB8"/>
    <w:rsid w:val="20976F4D"/>
    <w:rsid w:val="20A81A1B"/>
    <w:rsid w:val="20B07FB6"/>
    <w:rsid w:val="20B646FB"/>
    <w:rsid w:val="20D71C8F"/>
    <w:rsid w:val="20F1235F"/>
    <w:rsid w:val="20F25F6B"/>
    <w:rsid w:val="20F52909"/>
    <w:rsid w:val="21030387"/>
    <w:rsid w:val="212E4DB1"/>
    <w:rsid w:val="213B74B1"/>
    <w:rsid w:val="214C004F"/>
    <w:rsid w:val="21525EBF"/>
    <w:rsid w:val="21577451"/>
    <w:rsid w:val="215A2310"/>
    <w:rsid w:val="2160397B"/>
    <w:rsid w:val="21863561"/>
    <w:rsid w:val="21A74412"/>
    <w:rsid w:val="21BE2F09"/>
    <w:rsid w:val="21DE318A"/>
    <w:rsid w:val="21EF5B80"/>
    <w:rsid w:val="220E065E"/>
    <w:rsid w:val="22270151"/>
    <w:rsid w:val="22362F3A"/>
    <w:rsid w:val="22576990"/>
    <w:rsid w:val="226D35E3"/>
    <w:rsid w:val="22706419"/>
    <w:rsid w:val="227B6E3E"/>
    <w:rsid w:val="22A02310"/>
    <w:rsid w:val="22C544C0"/>
    <w:rsid w:val="22D514E5"/>
    <w:rsid w:val="22F47480"/>
    <w:rsid w:val="230729CC"/>
    <w:rsid w:val="233F28CD"/>
    <w:rsid w:val="23794062"/>
    <w:rsid w:val="237B3964"/>
    <w:rsid w:val="23902EF8"/>
    <w:rsid w:val="23CB0BEB"/>
    <w:rsid w:val="23DE1C48"/>
    <w:rsid w:val="23EB72B1"/>
    <w:rsid w:val="23EC35FA"/>
    <w:rsid w:val="24013925"/>
    <w:rsid w:val="240210CD"/>
    <w:rsid w:val="241E23B7"/>
    <w:rsid w:val="24202EDE"/>
    <w:rsid w:val="242F1853"/>
    <w:rsid w:val="246360C4"/>
    <w:rsid w:val="24BF09F7"/>
    <w:rsid w:val="24D871E6"/>
    <w:rsid w:val="24F56782"/>
    <w:rsid w:val="251120A1"/>
    <w:rsid w:val="252D53FE"/>
    <w:rsid w:val="25333A00"/>
    <w:rsid w:val="2540307E"/>
    <w:rsid w:val="25BF1CF6"/>
    <w:rsid w:val="25C442B3"/>
    <w:rsid w:val="25C91C6F"/>
    <w:rsid w:val="25E25014"/>
    <w:rsid w:val="25EC2D81"/>
    <w:rsid w:val="25FA2770"/>
    <w:rsid w:val="25FA498E"/>
    <w:rsid w:val="25FE2E1E"/>
    <w:rsid w:val="26257872"/>
    <w:rsid w:val="263462FB"/>
    <w:rsid w:val="26545FB0"/>
    <w:rsid w:val="265A18DB"/>
    <w:rsid w:val="265C7F5D"/>
    <w:rsid w:val="26A36964"/>
    <w:rsid w:val="26AA1F9E"/>
    <w:rsid w:val="26BE72FA"/>
    <w:rsid w:val="26EE5E56"/>
    <w:rsid w:val="26F712A0"/>
    <w:rsid w:val="27167CA1"/>
    <w:rsid w:val="27266FEB"/>
    <w:rsid w:val="272E7195"/>
    <w:rsid w:val="27430D64"/>
    <w:rsid w:val="275A34C6"/>
    <w:rsid w:val="277057A2"/>
    <w:rsid w:val="27705957"/>
    <w:rsid w:val="27813B10"/>
    <w:rsid w:val="27A90FC4"/>
    <w:rsid w:val="27B511A5"/>
    <w:rsid w:val="27EA402D"/>
    <w:rsid w:val="27F507CA"/>
    <w:rsid w:val="280335C6"/>
    <w:rsid w:val="28071CC8"/>
    <w:rsid w:val="280F1101"/>
    <w:rsid w:val="281C3D2E"/>
    <w:rsid w:val="281C4C20"/>
    <w:rsid w:val="28216A3A"/>
    <w:rsid w:val="28247630"/>
    <w:rsid w:val="287265EE"/>
    <w:rsid w:val="2889395B"/>
    <w:rsid w:val="289B6148"/>
    <w:rsid w:val="28BE7A85"/>
    <w:rsid w:val="28E06F4E"/>
    <w:rsid w:val="28E24B85"/>
    <w:rsid w:val="28F97A66"/>
    <w:rsid w:val="290D6F40"/>
    <w:rsid w:val="29114021"/>
    <w:rsid w:val="29206EB8"/>
    <w:rsid w:val="29451F54"/>
    <w:rsid w:val="29550D90"/>
    <w:rsid w:val="29595666"/>
    <w:rsid w:val="295F1774"/>
    <w:rsid w:val="29874881"/>
    <w:rsid w:val="298A2F93"/>
    <w:rsid w:val="29CA4207"/>
    <w:rsid w:val="29E325E0"/>
    <w:rsid w:val="29EE6406"/>
    <w:rsid w:val="2A101D07"/>
    <w:rsid w:val="2A183658"/>
    <w:rsid w:val="2A343027"/>
    <w:rsid w:val="2A452503"/>
    <w:rsid w:val="2A796B7D"/>
    <w:rsid w:val="2ACC1958"/>
    <w:rsid w:val="2ACE1BA6"/>
    <w:rsid w:val="2AD45DC4"/>
    <w:rsid w:val="2AE454C3"/>
    <w:rsid w:val="2AE93BE2"/>
    <w:rsid w:val="2B064BFE"/>
    <w:rsid w:val="2B126DAA"/>
    <w:rsid w:val="2B2A7E7C"/>
    <w:rsid w:val="2B430082"/>
    <w:rsid w:val="2B57667D"/>
    <w:rsid w:val="2B5D3857"/>
    <w:rsid w:val="2B6A5CA2"/>
    <w:rsid w:val="2B8F6463"/>
    <w:rsid w:val="2B952B7D"/>
    <w:rsid w:val="2B98441C"/>
    <w:rsid w:val="2BA76506"/>
    <w:rsid w:val="2BA80578"/>
    <w:rsid w:val="2BA936A8"/>
    <w:rsid w:val="2BBF2ED2"/>
    <w:rsid w:val="2BC7461D"/>
    <w:rsid w:val="2BD902B8"/>
    <w:rsid w:val="2BD96FE1"/>
    <w:rsid w:val="2BFC70F0"/>
    <w:rsid w:val="2C315A5A"/>
    <w:rsid w:val="2C4B1C25"/>
    <w:rsid w:val="2C53367B"/>
    <w:rsid w:val="2C690886"/>
    <w:rsid w:val="2C741228"/>
    <w:rsid w:val="2C744DC9"/>
    <w:rsid w:val="2C750DD9"/>
    <w:rsid w:val="2CC560B9"/>
    <w:rsid w:val="2CF47F19"/>
    <w:rsid w:val="2D0F1F28"/>
    <w:rsid w:val="2D245EB7"/>
    <w:rsid w:val="2D256FBE"/>
    <w:rsid w:val="2D8358C9"/>
    <w:rsid w:val="2D9003F3"/>
    <w:rsid w:val="2D9E56F5"/>
    <w:rsid w:val="2DB94877"/>
    <w:rsid w:val="2DFF6B75"/>
    <w:rsid w:val="2E023DCC"/>
    <w:rsid w:val="2E091E19"/>
    <w:rsid w:val="2E0E6DB8"/>
    <w:rsid w:val="2E136439"/>
    <w:rsid w:val="2E1B1769"/>
    <w:rsid w:val="2E223A0E"/>
    <w:rsid w:val="2E50117F"/>
    <w:rsid w:val="2E667F96"/>
    <w:rsid w:val="2E7B1F74"/>
    <w:rsid w:val="2E8226AB"/>
    <w:rsid w:val="2E8C2295"/>
    <w:rsid w:val="2E9E47B8"/>
    <w:rsid w:val="2EA600A5"/>
    <w:rsid w:val="2EAC581B"/>
    <w:rsid w:val="2EB03CAE"/>
    <w:rsid w:val="2EFE1B40"/>
    <w:rsid w:val="2EFF4B15"/>
    <w:rsid w:val="2F030C6F"/>
    <w:rsid w:val="2F3C7D14"/>
    <w:rsid w:val="2F652B6B"/>
    <w:rsid w:val="2F720814"/>
    <w:rsid w:val="2F9F46CA"/>
    <w:rsid w:val="2FC816D3"/>
    <w:rsid w:val="2FD065E6"/>
    <w:rsid w:val="2FD464D6"/>
    <w:rsid w:val="2FD946C1"/>
    <w:rsid w:val="2FD96870"/>
    <w:rsid w:val="30154A2E"/>
    <w:rsid w:val="30240B15"/>
    <w:rsid w:val="303F629F"/>
    <w:rsid w:val="30580BC9"/>
    <w:rsid w:val="305F3461"/>
    <w:rsid w:val="306C3891"/>
    <w:rsid w:val="306E7064"/>
    <w:rsid w:val="307605F5"/>
    <w:rsid w:val="30787516"/>
    <w:rsid w:val="30973695"/>
    <w:rsid w:val="30C53A88"/>
    <w:rsid w:val="310426F5"/>
    <w:rsid w:val="310B0C87"/>
    <w:rsid w:val="311E2ED7"/>
    <w:rsid w:val="31382D44"/>
    <w:rsid w:val="31437D12"/>
    <w:rsid w:val="315619EE"/>
    <w:rsid w:val="315C449C"/>
    <w:rsid w:val="316408D0"/>
    <w:rsid w:val="31A31F0E"/>
    <w:rsid w:val="31B40FFB"/>
    <w:rsid w:val="31B82709"/>
    <w:rsid w:val="31D05482"/>
    <w:rsid w:val="32141876"/>
    <w:rsid w:val="321937F5"/>
    <w:rsid w:val="32400B34"/>
    <w:rsid w:val="32632EA7"/>
    <w:rsid w:val="32674CE9"/>
    <w:rsid w:val="327348A4"/>
    <w:rsid w:val="327E5D78"/>
    <w:rsid w:val="329E6876"/>
    <w:rsid w:val="32CA55EB"/>
    <w:rsid w:val="32D81743"/>
    <w:rsid w:val="32DD144F"/>
    <w:rsid w:val="32EC216B"/>
    <w:rsid w:val="32F72511"/>
    <w:rsid w:val="33022C64"/>
    <w:rsid w:val="33181017"/>
    <w:rsid w:val="333015F2"/>
    <w:rsid w:val="3344649B"/>
    <w:rsid w:val="334B6320"/>
    <w:rsid w:val="335E3ABB"/>
    <w:rsid w:val="33640380"/>
    <w:rsid w:val="33705E1F"/>
    <w:rsid w:val="337E053C"/>
    <w:rsid w:val="33AE4E3B"/>
    <w:rsid w:val="33D934D4"/>
    <w:rsid w:val="33E11E16"/>
    <w:rsid w:val="33EE3803"/>
    <w:rsid w:val="33FE2F6A"/>
    <w:rsid w:val="34030A42"/>
    <w:rsid w:val="340E07E5"/>
    <w:rsid w:val="341B3FDD"/>
    <w:rsid w:val="34235BF7"/>
    <w:rsid w:val="34970E7E"/>
    <w:rsid w:val="35083B58"/>
    <w:rsid w:val="355377A7"/>
    <w:rsid w:val="3554006B"/>
    <w:rsid w:val="355A3A9B"/>
    <w:rsid w:val="355E05DB"/>
    <w:rsid w:val="356228BD"/>
    <w:rsid w:val="3566005E"/>
    <w:rsid w:val="356C67BA"/>
    <w:rsid w:val="35735487"/>
    <w:rsid w:val="358C5FA8"/>
    <w:rsid w:val="35995E0E"/>
    <w:rsid w:val="35BA36F9"/>
    <w:rsid w:val="35C04DDC"/>
    <w:rsid w:val="35C15DF1"/>
    <w:rsid w:val="35CB1A33"/>
    <w:rsid w:val="35D60641"/>
    <w:rsid w:val="35D91B2C"/>
    <w:rsid w:val="36074A7F"/>
    <w:rsid w:val="36204E66"/>
    <w:rsid w:val="36271E41"/>
    <w:rsid w:val="363E0457"/>
    <w:rsid w:val="36603477"/>
    <w:rsid w:val="3673233C"/>
    <w:rsid w:val="36873BAC"/>
    <w:rsid w:val="36923549"/>
    <w:rsid w:val="369938DF"/>
    <w:rsid w:val="36AA3C19"/>
    <w:rsid w:val="36B75FBF"/>
    <w:rsid w:val="36BD0C45"/>
    <w:rsid w:val="36D44917"/>
    <w:rsid w:val="36E55862"/>
    <w:rsid w:val="371D006C"/>
    <w:rsid w:val="3770123E"/>
    <w:rsid w:val="37773C20"/>
    <w:rsid w:val="37A74179"/>
    <w:rsid w:val="37BD18E5"/>
    <w:rsid w:val="37E00298"/>
    <w:rsid w:val="37E32C54"/>
    <w:rsid w:val="38074990"/>
    <w:rsid w:val="38135706"/>
    <w:rsid w:val="38A72AA6"/>
    <w:rsid w:val="38B302F9"/>
    <w:rsid w:val="38C31512"/>
    <w:rsid w:val="38EE7370"/>
    <w:rsid w:val="38F12CD3"/>
    <w:rsid w:val="38F94775"/>
    <w:rsid w:val="392971ED"/>
    <w:rsid w:val="39325651"/>
    <w:rsid w:val="3942788B"/>
    <w:rsid w:val="397909D7"/>
    <w:rsid w:val="397E7C77"/>
    <w:rsid w:val="39811FFF"/>
    <w:rsid w:val="39D07B76"/>
    <w:rsid w:val="3A126176"/>
    <w:rsid w:val="3A231E3E"/>
    <w:rsid w:val="3A41763A"/>
    <w:rsid w:val="3A557B1D"/>
    <w:rsid w:val="3A766A6C"/>
    <w:rsid w:val="3A872856"/>
    <w:rsid w:val="3AAB5CE1"/>
    <w:rsid w:val="3AB418AB"/>
    <w:rsid w:val="3AB51D54"/>
    <w:rsid w:val="3AB65808"/>
    <w:rsid w:val="3AC40B2B"/>
    <w:rsid w:val="3ACC4283"/>
    <w:rsid w:val="3AE1644A"/>
    <w:rsid w:val="3B2E0A9A"/>
    <w:rsid w:val="3B3763D1"/>
    <w:rsid w:val="3B401C73"/>
    <w:rsid w:val="3B5A206F"/>
    <w:rsid w:val="3B71163C"/>
    <w:rsid w:val="3B845B7C"/>
    <w:rsid w:val="3B9041A1"/>
    <w:rsid w:val="3BC63ED8"/>
    <w:rsid w:val="3BE46E23"/>
    <w:rsid w:val="3C090BBF"/>
    <w:rsid w:val="3C297FF8"/>
    <w:rsid w:val="3C2F6E1E"/>
    <w:rsid w:val="3C306624"/>
    <w:rsid w:val="3C4F64BA"/>
    <w:rsid w:val="3C711BC5"/>
    <w:rsid w:val="3C775710"/>
    <w:rsid w:val="3C795D45"/>
    <w:rsid w:val="3C976730"/>
    <w:rsid w:val="3CA07775"/>
    <w:rsid w:val="3CDA245A"/>
    <w:rsid w:val="3D1E06B7"/>
    <w:rsid w:val="3D5C43A4"/>
    <w:rsid w:val="3D9275CC"/>
    <w:rsid w:val="3D98205A"/>
    <w:rsid w:val="3DBC2871"/>
    <w:rsid w:val="3DC451BD"/>
    <w:rsid w:val="3E16743A"/>
    <w:rsid w:val="3E347550"/>
    <w:rsid w:val="3E390A9B"/>
    <w:rsid w:val="3E7041CD"/>
    <w:rsid w:val="3E734A16"/>
    <w:rsid w:val="3E794792"/>
    <w:rsid w:val="3EA34533"/>
    <w:rsid w:val="3ECC7F0F"/>
    <w:rsid w:val="3EDA0523"/>
    <w:rsid w:val="3F010273"/>
    <w:rsid w:val="3F6B2002"/>
    <w:rsid w:val="3F785466"/>
    <w:rsid w:val="3F8C6E60"/>
    <w:rsid w:val="3FBC0011"/>
    <w:rsid w:val="3FD6143A"/>
    <w:rsid w:val="3FDA12D1"/>
    <w:rsid w:val="3FEB6D2D"/>
    <w:rsid w:val="3FF468EF"/>
    <w:rsid w:val="400B50A9"/>
    <w:rsid w:val="401B0F9E"/>
    <w:rsid w:val="40295CD4"/>
    <w:rsid w:val="404C0CCF"/>
    <w:rsid w:val="40610E4B"/>
    <w:rsid w:val="406D5519"/>
    <w:rsid w:val="407A6407"/>
    <w:rsid w:val="40B50314"/>
    <w:rsid w:val="40D468EC"/>
    <w:rsid w:val="40E017D6"/>
    <w:rsid w:val="41422084"/>
    <w:rsid w:val="41586D9E"/>
    <w:rsid w:val="4164173C"/>
    <w:rsid w:val="416C25A9"/>
    <w:rsid w:val="41B94DD2"/>
    <w:rsid w:val="41C932CA"/>
    <w:rsid w:val="41E53E7C"/>
    <w:rsid w:val="4200449D"/>
    <w:rsid w:val="42134D03"/>
    <w:rsid w:val="423A3BCC"/>
    <w:rsid w:val="424138FD"/>
    <w:rsid w:val="424E57D2"/>
    <w:rsid w:val="426C4B57"/>
    <w:rsid w:val="42A74A0F"/>
    <w:rsid w:val="42B26C49"/>
    <w:rsid w:val="42D910E2"/>
    <w:rsid w:val="42E015D3"/>
    <w:rsid w:val="43071939"/>
    <w:rsid w:val="431405A6"/>
    <w:rsid w:val="432165A3"/>
    <w:rsid w:val="433A6FE6"/>
    <w:rsid w:val="43480868"/>
    <w:rsid w:val="434B2AB9"/>
    <w:rsid w:val="434D6311"/>
    <w:rsid w:val="4350713C"/>
    <w:rsid w:val="435F6B49"/>
    <w:rsid w:val="436653E0"/>
    <w:rsid w:val="43A92D5E"/>
    <w:rsid w:val="43BA08F7"/>
    <w:rsid w:val="43C4431A"/>
    <w:rsid w:val="43C943DE"/>
    <w:rsid w:val="43D272E5"/>
    <w:rsid w:val="43D93347"/>
    <w:rsid w:val="43F64D4A"/>
    <w:rsid w:val="440C749E"/>
    <w:rsid w:val="440F446A"/>
    <w:rsid w:val="44336614"/>
    <w:rsid w:val="449148CA"/>
    <w:rsid w:val="44B340B4"/>
    <w:rsid w:val="44B951CC"/>
    <w:rsid w:val="44C36444"/>
    <w:rsid w:val="44CD14E0"/>
    <w:rsid w:val="44D6614B"/>
    <w:rsid w:val="44DC3CBB"/>
    <w:rsid w:val="44DE1A07"/>
    <w:rsid w:val="44E15FA1"/>
    <w:rsid w:val="44F20B0B"/>
    <w:rsid w:val="452E5F4C"/>
    <w:rsid w:val="453171C5"/>
    <w:rsid w:val="45380A80"/>
    <w:rsid w:val="45612018"/>
    <w:rsid w:val="458946E9"/>
    <w:rsid w:val="45A47C0E"/>
    <w:rsid w:val="45D9355E"/>
    <w:rsid w:val="45E275CA"/>
    <w:rsid w:val="45EF22F5"/>
    <w:rsid w:val="463E14A6"/>
    <w:rsid w:val="46577FD6"/>
    <w:rsid w:val="46713F31"/>
    <w:rsid w:val="46975587"/>
    <w:rsid w:val="469F0A9E"/>
    <w:rsid w:val="46B5206F"/>
    <w:rsid w:val="46C37DC7"/>
    <w:rsid w:val="46CD2393"/>
    <w:rsid w:val="46D52E3B"/>
    <w:rsid w:val="46D955A7"/>
    <w:rsid w:val="46DA1AD6"/>
    <w:rsid w:val="47133957"/>
    <w:rsid w:val="471C798F"/>
    <w:rsid w:val="473D304E"/>
    <w:rsid w:val="473D7C93"/>
    <w:rsid w:val="47744B05"/>
    <w:rsid w:val="477D674C"/>
    <w:rsid w:val="479F17D9"/>
    <w:rsid w:val="47A07E0C"/>
    <w:rsid w:val="47B77A99"/>
    <w:rsid w:val="480908D1"/>
    <w:rsid w:val="481C59E8"/>
    <w:rsid w:val="4820176A"/>
    <w:rsid w:val="48517B76"/>
    <w:rsid w:val="48522DEE"/>
    <w:rsid w:val="486B7005"/>
    <w:rsid w:val="4870272E"/>
    <w:rsid w:val="48B2705C"/>
    <w:rsid w:val="48C05957"/>
    <w:rsid w:val="48D3639B"/>
    <w:rsid w:val="48FA1417"/>
    <w:rsid w:val="493B3D6F"/>
    <w:rsid w:val="495711BC"/>
    <w:rsid w:val="496B130E"/>
    <w:rsid w:val="497368C4"/>
    <w:rsid w:val="49A43D53"/>
    <w:rsid w:val="49DC7715"/>
    <w:rsid w:val="4A023139"/>
    <w:rsid w:val="4A134EA9"/>
    <w:rsid w:val="4A172E06"/>
    <w:rsid w:val="4A365C53"/>
    <w:rsid w:val="4A453246"/>
    <w:rsid w:val="4A5D4EF8"/>
    <w:rsid w:val="4A622876"/>
    <w:rsid w:val="4A7B576F"/>
    <w:rsid w:val="4A8A3813"/>
    <w:rsid w:val="4ACE02BA"/>
    <w:rsid w:val="4AEC21B4"/>
    <w:rsid w:val="4AEC3F2E"/>
    <w:rsid w:val="4AF23600"/>
    <w:rsid w:val="4AF561A9"/>
    <w:rsid w:val="4AFA3E8B"/>
    <w:rsid w:val="4AFF6E28"/>
    <w:rsid w:val="4B091C20"/>
    <w:rsid w:val="4B312312"/>
    <w:rsid w:val="4B637224"/>
    <w:rsid w:val="4B9E17B6"/>
    <w:rsid w:val="4BAC3DF3"/>
    <w:rsid w:val="4BAD1D30"/>
    <w:rsid w:val="4BBC467C"/>
    <w:rsid w:val="4BCD7E5B"/>
    <w:rsid w:val="4BE32E64"/>
    <w:rsid w:val="4BE34527"/>
    <w:rsid w:val="4BE37E70"/>
    <w:rsid w:val="4C0C2194"/>
    <w:rsid w:val="4C121A86"/>
    <w:rsid w:val="4C4A0649"/>
    <w:rsid w:val="4C52192A"/>
    <w:rsid w:val="4C5E586A"/>
    <w:rsid w:val="4C7E5ECA"/>
    <w:rsid w:val="4C876AA5"/>
    <w:rsid w:val="4CA37C91"/>
    <w:rsid w:val="4CAF7561"/>
    <w:rsid w:val="4CBE63BA"/>
    <w:rsid w:val="4CD32555"/>
    <w:rsid w:val="4CDB5887"/>
    <w:rsid w:val="4D07581C"/>
    <w:rsid w:val="4D0E00FB"/>
    <w:rsid w:val="4D176606"/>
    <w:rsid w:val="4D345425"/>
    <w:rsid w:val="4D5D16C0"/>
    <w:rsid w:val="4D617975"/>
    <w:rsid w:val="4D8605FA"/>
    <w:rsid w:val="4DCD4A48"/>
    <w:rsid w:val="4DCF4ADF"/>
    <w:rsid w:val="4DE867C7"/>
    <w:rsid w:val="4DEC4FB0"/>
    <w:rsid w:val="4E0564C6"/>
    <w:rsid w:val="4E075D8A"/>
    <w:rsid w:val="4E0B15E9"/>
    <w:rsid w:val="4E0D3411"/>
    <w:rsid w:val="4E261AA5"/>
    <w:rsid w:val="4E2847AC"/>
    <w:rsid w:val="4EA96B1F"/>
    <w:rsid w:val="4EB15812"/>
    <w:rsid w:val="4EC00FAD"/>
    <w:rsid w:val="4EF324C7"/>
    <w:rsid w:val="4EF5081E"/>
    <w:rsid w:val="4EF83891"/>
    <w:rsid w:val="4F1D6A04"/>
    <w:rsid w:val="4F5D17EE"/>
    <w:rsid w:val="4F8C3B89"/>
    <w:rsid w:val="4F9843DC"/>
    <w:rsid w:val="4F9C68FB"/>
    <w:rsid w:val="4FB01628"/>
    <w:rsid w:val="4FC62A8C"/>
    <w:rsid w:val="4FCA2016"/>
    <w:rsid w:val="4FE20F0D"/>
    <w:rsid w:val="4FE51552"/>
    <w:rsid w:val="4FFE08D8"/>
    <w:rsid w:val="500139CA"/>
    <w:rsid w:val="502F01C7"/>
    <w:rsid w:val="504422E2"/>
    <w:rsid w:val="50504C4B"/>
    <w:rsid w:val="509C6E7C"/>
    <w:rsid w:val="50AE7D00"/>
    <w:rsid w:val="50B75458"/>
    <w:rsid w:val="50CC2A83"/>
    <w:rsid w:val="50D80797"/>
    <w:rsid w:val="510868CA"/>
    <w:rsid w:val="51154BFB"/>
    <w:rsid w:val="5162104E"/>
    <w:rsid w:val="51C948B2"/>
    <w:rsid w:val="51CB4571"/>
    <w:rsid w:val="51D610EC"/>
    <w:rsid w:val="51F466D4"/>
    <w:rsid w:val="5214043A"/>
    <w:rsid w:val="521A0CFF"/>
    <w:rsid w:val="521B1EBA"/>
    <w:rsid w:val="522913C5"/>
    <w:rsid w:val="52445A58"/>
    <w:rsid w:val="527032EE"/>
    <w:rsid w:val="5274440B"/>
    <w:rsid w:val="528C5ACC"/>
    <w:rsid w:val="52907CF8"/>
    <w:rsid w:val="52F936FF"/>
    <w:rsid w:val="530C7FAD"/>
    <w:rsid w:val="53246D78"/>
    <w:rsid w:val="533B36B3"/>
    <w:rsid w:val="53544294"/>
    <w:rsid w:val="53894668"/>
    <w:rsid w:val="53A039CC"/>
    <w:rsid w:val="53A1505A"/>
    <w:rsid w:val="53BA2CC4"/>
    <w:rsid w:val="53D15E15"/>
    <w:rsid w:val="53EB5322"/>
    <w:rsid w:val="54063E08"/>
    <w:rsid w:val="543437E8"/>
    <w:rsid w:val="544710D7"/>
    <w:rsid w:val="54627C3C"/>
    <w:rsid w:val="546F79F3"/>
    <w:rsid w:val="549534E0"/>
    <w:rsid w:val="549E4143"/>
    <w:rsid w:val="549F15BD"/>
    <w:rsid w:val="54A017AC"/>
    <w:rsid w:val="54A93EC6"/>
    <w:rsid w:val="54B20F78"/>
    <w:rsid w:val="54B63B35"/>
    <w:rsid w:val="54B96900"/>
    <w:rsid w:val="54C6194E"/>
    <w:rsid w:val="54E45C55"/>
    <w:rsid w:val="54F230F2"/>
    <w:rsid w:val="54F73313"/>
    <w:rsid w:val="54F80955"/>
    <w:rsid w:val="55160CDB"/>
    <w:rsid w:val="551B730F"/>
    <w:rsid w:val="552738E4"/>
    <w:rsid w:val="552F71FA"/>
    <w:rsid w:val="553F3A37"/>
    <w:rsid w:val="55491271"/>
    <w:rsid w:val="554D7917"/>
    <w:rsid w:val="554F368F"/>
    <w:rsid w:val="555170A7"/>
    <w:rsid w:val="556A2277"/>
    <w:rsid w:val="557B6B93"/>
    <w:rsid w:val="5587536D"/>
    <w:rsid w:val="558B34E5"/>
    <w:rsid w:val="55915C5F"/>
    <w:rsid w:val="559B174B"/>
    <w:rsid w:val="55CE0CF4"/>
    <w:rsid w:val="55EC5382"/>
    <w:rsid w:val="55ED07D5"/>
    <w:rsid w:val="560D7129"/>
    <w:rsid w:val="56150435"/>
    <w:rsid w:val="56190905"/>
    <w:rsid w:val="56267FF6"/>
    <w:rsid w:val="5630526E"/>
    <w:rsid w:val="56447B3C"/>
    <w:rsid w:val="56580248"/>
    <w:rsid w:val="568F468B"/>
    <w:rsid w:val="56AE4393"/>
    <w:rsid w:val="56B22A9C"/>
    <w:rsid w:val="56C43C09"/>
    <w:rsid w:val="56E37ED5"/>
    <w:rsid w:val="56E560E0"/>
    <w:rsid w:val="57127678"/>
    <w:rsid w:val="572250EC"/>
    <w:rsid w:val="576677CF"/>
    <w:rsid w:val="57835872"/>
    <w:rsid w:val="57A84A8D"/>
    <w:rsid w:val="57B72A76"/>
    <w:rsid w:val="57C3426C"/>
    <w:rsid w:val="57CE1F93"/>
    <w:rsid w:val="580D152A"/>
    <w:rsid w:val="58547178"/>
    <w:rsid w:val="58586ADD"/>
    <w:rsid w:val="588743D1"/>
    <w:rsid w:val="5887701A"/>
    <w:rsid w:val="589F5A78"/>
    <w:rsid w:val="58D2260D"/>
    <w:rsid w:val="58DF5F0C"/>
    <w:rsid w:val="590B30B7"/>
    <w:rsid w:val="59245007"/>
    <w:rsid w:val="59292035"/>
    <w:rsid w:val="592A069B"/>
    <w:rsid w:val="592F33DF"/>
    <w:rsid w:val="593A1D43"/>
    <w:rsid w:val="593A3BB3"/>
    <w:rsid w:val="594C1EFB"/>
    <w:rsid w:val="59692FB6"/>
    <w:rsid w:val="596A1D3C"/>
    <w:rsid w:val="59946F41"/>
    <w:rsid w:val="59AE2241"/>
    <w:rsid w:val="59AF6DF2"/>
    <w:rsid w:val="59C0439F"/>
    <w:rsid w:val="59FF38D6"/>
    <w:rsid w:val="5A025F16"/>
    <w:rsid w:val="5A0547A7"/>
    <w:rsid w:val="5A1037AC"/>
    <w:rsid w:val="5A221372"/>
    <w:rsid w:val="5A242897"/>
    <w:rsid w:val="5A292C8B"/>
    <w:rsid w:val="5A2D2754"/>
    <w:rsid w:val="5A34062C"/>
    <w:rsid w:val="5A4E660B"/>
    <w:rsid w:val="5A4F2FC4"/>
    <w:rsid w:val="5A8010FC"/>
    <w:rsid w:val="5AA230B8"/>
    <w:rsid w:val="5AA52929"/>
    <w:rsid w:val="5AAF6034"/>
    <w:rsid w:val="5ABE2233"/>
    <w:rsid w:val="5AC23827"/>
    <w:rsid w:val="5AEB4783"/>
    <w:rsid w:val="5AFE48B4"/>
    <w:rsid w:val="5B0D110B"/>
    <w:rsid w:val="5B3E47AB"/>
    <w:rsid w:val="5B6C6C25"/>
    <w:rsid w:val="5B6D017F"/>
    <w:rsid w:val="5B6F4A2A"/>
    <w:rsid w:val="5B766FEC"/>
    <w:rsid w:val="5B9D0F29"/>
    <w:rsid w:val="5BDC53C8"/>
    <w:rsid w:val="5BDF5D95"/>
    <w:rsid w:val="5BEC4E12"/>
    <w:rsid w:val="5BED6DCF"/>
    <w:rsid w:val="5BEE2CF8"/>
    <w:rsid w:val="5BFE7528"/>
    <w:rsid w:val="5C013209"/>
    <w:rsid w:val="5C374112"/>
    <w:rsid w:val="5C690491"/>
    <w:rsid w:val="5C8033BE"/>
    <w:rsid w:val="5C9347A9"/>
    <w:rsid w:val="5CA14256"/>
    <w:rsid w:val="5CC058F3"/>
    <w:rsid w:val="5CC17396"/>
    <w:rsid w:val="5CC80916"/>
    <w:rsid w:val="5CD621EC"/>
    <w:rsid w:val="5CE15514"/>
    <w:rsid w:val="5D116FBD"/>
    <w:rsid w:val="5D2B2A48"/>
    <w:rsid w:val="5D2E70E1"/>
    <w:rsid w:val="5D35683B"/>
    <w:rsid w:val="5DAB447E"/>
    <w:rsid w:val="5DC33864"/>
    <w:rsid w:val="5DC64BD4"/>
    <w:rsid w:val="5DC841D8"/>
    <w:rsid w:val="5DF079C7"/>
    <w:rsid w:val="5E1C0169"/>
    <w:rsid w:val="5E2467F1"/>
    <w:rsid w:val="5E281DD9"/>
    <w:rsid w:val="5E297B73"/>
    <w:rsid w:val="5E2C1B2F"/>
    <w:rsid w:val="5E3873B6"/>
    <w:rsid w:val="5E4F411E"/>
    <w:rsid w:val="5E595486"/>
    <w:rsid w:val="5E9237A3"/>
    <w:rsid w:val="5EC57DB8"/>
    <w:rsid w:val="5ECC3FA2"/>
    <w:rsid w:val="5ED30316"/>
    <w:rsid w:val="5EF32FD0"/>
    <w:rsid w:val="5EF51608"/>
    <w:rsid w:val="5EFA466C"/>
    <w:rsid w:val="5F015341"/>
    <w:rsid w:val="5F125E59"/>
    <w:rsid w:val="5F192810"/>
    <w:rsid w:val="5F1A2B43"/>
    <w:rsid w:val="5F2A4440"/>
    <w:rsid w:val="5F353A16"/>
    <w:rsid w:val="5F4B5E60"/>
    <w:rsid w:val="5F5A15AE"/>
    <w:rsid w:val="5F851ACB"/>
    <w:rsid w:val="5FB34536"/>
    <w:rsid w:val="5FB837BB"/>
    <w:rsid w:val="5FCB5326"/>
    <w:rsid w:val="5FE87697"/>
    <w:rsid w:val="600F05EB"/>
    <w:rsid w:val="603E7EA7"/>
    <w:rsid w:val="605C7A31"/>
    <w:rsid w:val="607D37A6"/>
    <w:rsid w:val="60994DD4"/>
    <w:rsid w:val="60CC405A"/>
    <w:rsid w:val="60EE640C"/>
    <w:rsid w:val="61131CFF"/>
    <w:rsid w:val="611D10A9"/>
    <w:rsid w:val="61371BA7"/>
    <w:rsid w:val="61952D71"/>
    <w:rsid w:val="61A60A04"/>
    <w:rsid w:val="61C71A7C"/>
    <w:rsid w:val="61E215D8"/>
    <w:rsid w:val="621912AD"/>
    <w:rsid w:val="621B3775"/>
    <w:rsid w:val="621F3247"/>
    <w:rsid w:val="62364782"/>
    <w:rsid w:val="625E7607"/>
    <w:rsid w:val="6295142A"/>
    <w:rsid w:val="629B7F14"/>
    <w:rsid w:val="62BC603A"/>
    <w:rsid w:val="62FD297C"/>
    <w:rsid w:val="634E1076"/>
    <w:rsid w:val="63665B9D"/>
    <w:rsid w:val="63780255"/>
    <w:rsid w:val="637B43DF"/>
    <w:rsid w:val="63824E5B"/>
    <w:rsid w:val="6394356A"/>
    <w:rsid w:val="63AD43A2"/>
    <w:rsid w:val="63B6030D"/>
    <w:rsid w:val="63C567A4"/>
    <w:rsid w:val="63C61B2C"/>
    <w:rsid w:val="63D40BE9"/>
    <w:rsid w:val="63F17E5D"/>
    <w:rsid w:val="6406550A"/>
    <w:rsid w:val="640A06FC"/>
    <w:rsid w:val="64102431"/>
    <w:rsid w:val="64102C85"/>
    <w:rsid w:val="6442084E"/>
    <w:rsid w:val="646F052E"/>
    <w:rsid w:val="64923598"/>
    <w:rsid w:val="649A6FB5"/>
    <w:rsid w:val="64A5243A"/>
    <w:rsid w:val="64A82DBC"/>
    <w:rsid w:val="64A865B8"/>
    <w:rsid w:val="64AF414A"/>
    <w:rsid w:val="64AF5315"/>
    <w:rsid w:val="64B21B64"/>
    <w:rsid w:val="64C6177A"/>
    <w:rsid w:val="64D6430D"/>
    <w:rsid w:val="64DD2A65"/>
    <w:rsid w:val="64F531DE"/>
    <w:rsid w:val="650754C3"/>
    <w:rsid w:val="65080BA2"/>
    <w:rsid w:val="65373578"/>
    <w:rsid w:val="65376450"/>
    <w:rsid w:val="65384140"/>
    <w:rsid w:val="653C1284"/>
    <w:rsid w:val="653F7597"/>
    <w:rsid w:val="655223F0"/>
    <w:rsid w:val="658913EB"/>
    <w:rsid w:val="65A92947"/>
    <w:rsid w:val="65D44BB7"/>
    <w:rsid w:val="65E37611"/>
    <w:rsid w:val="660A24CC"/>
    <w:rsid w:val="663F4013"/>
    <w:rsid w:val="66567C8E"/>
    <w:rsid w:val="669A090F"/>
    <w:rsid w:val="66A25D81"/>
    <w:rsid w:val="66A6607D"/>
    <w:rsid w:val="66AD290B"/>
    <w:rsid w:val="66AD3DDC"/>
    <w:rsid w:val="66B8458E"/>
    <w:rsid w:val="66E71979"/>
    <w:rsid w:val="66FE3E4A"/>
    <w:rsid w:val="670267B3"/>
    <w:rsid w:val="671F124A"/>
    <w:rsid w:val="67483E6C"/>
    <w:rsid w:val="67574343"/>
    <w:rsid w:val="675B3D46"/>
    <w:rsid w:val="67640469"/>
    <w:rsid w:val="67685B81"/>
    <w:rsid w:val="676C4DFF"/>
    <w:rsid w:val="677A33C6"/>
    <w:rsid w:val="678F5397"/>
    <w:rsid w:val="67A91E94"/>
    <w:rsid w:val="67B33F97"/>
    <w:rsid w:val="67C126C6"/>
    <w:rsid w:val="67CD5744"/>
    <w:rsid w:val="67DB3D7D"/>
    <w:rsid w:val="67E55012"/>
    <w:rsid w:val="67F15C58"/>
    <w:rsid w:val="67F25A32"/>
    <w:rsid w:val="67F90321"/>
    <w:rsid w:val="68014B1A"/>
    <w:rsid w:val="681F6961"/>
    <w:rsid w:val="68610A2F"/>
    <w:rsid w:val="68805514"/>
    <w:rsid w:val="68A43279"/>
    <w:rsid w:val="68B620ED"/>
    <w:rsid w:val="69211032"/>
    <w:rsid w:val="692A5054"/>
    <w:rsid w:val="69316E2F"/>
    <w:rsid w:val="693D18D4"/>
    <w:rsid w:val="693D3B89"/>
    <w:rsid w:val="69495BE1"/>
    <w:rsid w:val="694E2071"/>
    <w:rsid w:val="69521DAE"/>
    <w:rsid w:val="69766163"/>
    <w:rsid w:val="697A3B33"/>
    <w:rsid w:val="699A7177"/>
    <w:rsid w:val="69C42345"/>
    <w:rsid w:val="69CA5566"/>
    <w:rsid w:val="69D44760"/>
    <w:rsid w:val="69D648F1"/>
    <w:rsid w:val="69DE4350"/>
    <w:rsid w:val="6A2B4273"/>
    <w:rsid w:val="6A39231C"/>
    <w:rsid w:val="6A4356E8"/>
    <w:rsid w:val="6A4A3723"/>
    <w:rsid w:val="6A520EC7"/>
    <w:rsid w:val="6A813E93"/>
    <w:rsid w:val="6AA47B81"/>
    <w:rsid w:val="6AA54025"/>
    <w:rsid w:val="6AB01882"/>
    <w:rsid w:val="6AB65673"/>
    <w:rsid w:val="6AC80B7F"/>
    <w:rsid w:val="6AD20E4B"/>
    <w:rsid w:val="6AF428B7"/>
    <w:rsid w:val="6AF87E20"/>
    <w:rsid w:val="6B016D82"/>
    <w:rsid w:val="6B322639"/>
    <w:rsid w:val="6B40300D"/>
    <w:rsid w:val="6B8579B3"/>
    <w:rsid w:val="6B8F042C"/>
    <w:rsid w:val="6BA76AED"/>
    <w:rsid w:val="6BB33120"/>
    <w:rsid w:val="6BB6534B"/>
    <w:rsid w:val="6BC30501"/>
    <w:rsid w:val="6BC74C0D"/>
    <w:rsid w:val="6BDF3EFE"/>
    <w:rsid w:val="6BE1670A"/>
    <w:rsid w:val="6C40626B"/>
    <w:rsid w:val="6C43081A"/>
    <w:rsid w:val="6C636C38"/>
    <w:rsid w:val="6C990794"/>
    <w:rsid w:val="6CFA64F6"/>
    <w:rsid w:val="6D040371"/>
    <w:rsid w:val="6D1548C3"/>
    <w:rsid w:val="6D1C12BA"/>
    <w:rsid w:val="6D203B22"/>
    <w:rsid w:val="6D403D17"/>
    <w:rsid w:val="6D7A68DC"/>
    <w:rsid w:val="6D8223FC"/>
    <w:rsid w:val="6D91034E"/>
    <w:rsid w:val="6D970EB2"/>
    <w:rsid w:val="6DB34098"/>
    <w:rsid w:val="6DB545B6"/>
    <w:rsid w:val="6DC5508E"/>
    <w:rsid w:val="6DD670D3"/>
    <w:rsid w:val="6DE02FB4"/>
    <w:rsid w:val="6DFD7CD4"/>
    <w:rsid w:val="6DFF6FEB"/>
    <w:rsid w:val="6E055AB1"/>
    <w:rsid w:val="6E150C86"/>
    <w:rsid w:val="6E316377"/>
    <w:rsid w:val="6E514CED"/>
    <w:rsid w:val="6E526386"/>
    <w:rsid w:val="6E680F11"/>
    <w:rsid w:val="6E747363"/>
    <w:rsid w:val="6E7F29C4"/>
    <w:rsid w:val="6E914A0D"/>
    <w:rsid w:val="6EB563D5"/>
    <w:rsid w:val="6EB8234E"/>
    <w:rsid w:val="6EB90616"/>
    <w:rsid w:val="6EBC193D"/>
    <w:rsid w:val="6ED00F45"/>
    <w:rsid w:val="6ED01AD3"/>
    <w:rsid w:val="6ED92677"/>
    <w:rsid w:val="6EEB37E0"/>
    <w:rsid w:val="6F1B2B08"/>
    <w:rsid w:val="6F225983"/>
    <w:rsid w:val="6F3F2CA0"/>
    <w:rsid w:val="6F581CD5"/>
    <w:rsid w:val="6F670488"/>
    <w:rsid w:val="6F743FC6"/>
    <w:rsid w:val="6FDD600F"/>
    <w:rsid w:val="6FFC5590"/>
    <w:rsid w:val="7016469B"/>
    <w:rsid w:val="703665C7"/>
    <w:rsid w:val="70412749"/>
    <w:rsid w:val="70444124"/>
    <w:rsid w:val="704B56A9"/>
    <w:rsid w:val="706D1DD0"/>
    <w:rsid w:val="70707E92"/>
    <w:rsid w:val="70856B87"/>
    <w:rsid w:val="708957B3"/>
    <w:rsid w:val="708B5900"/>
    <w:rsid w:val="709D4E2E"/>
    <w:rsid w:val="70A7283D"/>
    <w:rsid w:val="70D527EE"/>
    <w:rsid w:val="70DC62C7"/>
    <w:rsid w:val="70F0119E"/>
    <w:rsid w:val="710475CC"/>
    <w:rsid w:val="71370D7A"/>
    <w:rsid w:val="71554B8E"/>
    <w:rsid w:val="71591E81"/>
    <w:rsid w:val="715B5300"/>
    <w:rsid w:val="71631F45"/>
    <w:rsid w:val="71D27F8A"/>
    <w:rsid w:val="71EF552E"/>
    <w:rsid w:val="71F55413"/>
    <w:rsid w:val="72553024"/>
    <w:rsid w:val="725974A3"/>
    <w:rsid w:val="72753E66"/>
    <w:rsid w:val="727B1B10"/>
    <w:rsid w:val="727E34E7"/>
    <w:rsid w:val="729C651A"/>
    <w:rsid w:val="72BB76D6"/>
    <w:rsid w:val="73122968"/>
    <w:rsid w:val="731F5D5E"/>
    <w:rsid w:val="73766D20"/>
    <w:rsid w:val="738B6FFF"/>
    <w:rsid w:val="73AA15D5"/>
    <w:rsid w:val="73C51AD5"/>
    <w:rsid w:val="73E57241"/>
    <w:rsid w:val="741E793C"/>
    <w:rsid w:val="744E1F83"/>
    <w:rsid w:val="745E3944"/>
    <w:rsid w:val="7471464A"/>
    <w:rsid w:val="7484548C"/>
    <w:rsid w:val="74922CDA"/>
    <w:rsid w:val="74BE4F2C"/>
    <w:rsid w:val="74E275E3"/>
    <w:rsid w:val="75011706"/>
    <w:rsid w:val="752634FF"/>
    <w:rsid w:val="7533533A"/>
    <w:rsid w:val="756039C1"/>
    <w:rsid w:val="75682667"/>
    <w:rsid w:val="75977526"/>
    <w:rsid w:val="75B85FD0"/>
    <w:rsid w:val="75D21B45"/>
    <w:rsid w:val="76067E9D"/>
    <w:rsid w:val="7635099D"/>
    <w:rsid w:val="76737E9C"/>
    <w:rsid w:val="7684402D"/>
    <w:rsid w:val="76B0278B"/>
    <w:rsid w:val="76D326A7"/>
    <w:rsid w:val="76D4359C"/>
    <w:rsid w:val="76EC08E6"/>
    <w:rsid w:val="77043ECE"/>
    <w:rsid w:val="770C2C76"/>
    <w:rsid w:val="771C6B55"/>
    <w:rsid w:val="77240BB5"/>
    <w:rsid w:val="772C37AC"/>
    <w:rsid w:val="77456D30"/>
    <w:rsid w:val="774D3A7A"/>
    <w:rsid w:val="775B38B9"/>
    <w:rsid w:val="776072E6"/>
    <w:rsid w:val="77762421"/>
    <w:rsid w:val="777A4144"/>
    <w:rsid w:val="77B56B1F"/>
    <w:rsid w:val="77BA54B9"/>
    <w:rsid w:val="77C2671B"/>
    <w:rsid w:val="77C61164"/>
    <w:rsid w:val="77C675CE"/>
    <w:rsid w:val="77F37B81"/>
    <w:rsid w:val="780F09F4"/>
    <w:rsid w:val="78155EF8"/>
    <w:rsid w:val="78243E8D"/>
    <w:rsid w:val="783F26A2"/>
    <w:rsid w:val="78703FD9"/>
    <w:rsid w:val="789460C7"/>
    <w:rsid w:val="7897365A"/>
    <w:rsid w:val="78A27DF6"/>
    <w:rsid w:val="78A90480"/>
    <w:rsid w:val="78A97A5F"/>
    <w:rsid w:val="78B47D1F"/>
    <w:rsid w:val="78BD078C"/>
    <w:rsid w:val="78DD1773"/>
    <w:rsid w:val="78F9378E"/>
    <w:rsid w:val="79134850"/>
    <w:rsid w:val="793271EE"/>
    <w:rsid w:val="79441E5D"/>
    <w:rsid w:val="7954009B"/>
    <w:rsid w:val="79611E6B"/>
    <w:rsid w:val="796846FB"/>
    <w:rsid w:val="796A1156"/>
    <w:rsid w:val="79707737"/>
    <w:rsid w:val="79992BE7"/>
    <w:rsid w:val="799F4335"/>
    <w:rsid w:val="79A00FFF"/>
    <w:rsid w:val="79B53895"/>
    <w:rsid w:val="79C93160"/>
    <w:rsid w:val="7A2D7ACE"/>
    <w:rsid w:val="7A304F8E"/>
    <w:rsid w:val="7A364017"/>
    <w:rsid w:val="7A3F1ADF"/>
    <w:rsid w:val="7A5A2C50"/>
    <w:rsid w:val="7A692A98"/>
    <w:rsid w:val="7A742B8F"/>
    <w:rsid w:val="7A7A56BD"/>
    <w:rsid w:val="7A8265E1"/>
    <w:rsid w:val="7A9A5C57"/>
    <w:rsid w:val="7AC758F2"/>
    <w:rsid w:val="7B686D42"/>
    <w:rsid w:val="7B841746"/>
    <w:rsid w:val="7BB1036A"/>
    <w:rsid w:val="7BE638E5"/>
    <w:rsid w:val="7C2A7357"/>
    <w:rsid w:val="7C450887"/>
    <w:rsid w:val="7C492337"/>
    <w:rsid w:val="7C537B04"/>
    <w:rsid w:val="7C574C89"/>
    <w:rsid w:val="7C6A7777"/>
    <w:rsid w:val="7C6C5AC7"/>
    <w:rsid w:val="7C8739C7"/>
    <w:rsid w:val="7C924614"/>
    <w:rsid w:val="7CA02C5B"/>
    <w:rsid w:val="7CA85A69"/>
    <w:rsid w:val="7CB37902"/>
    <w:rsid w:val="7CC6544B"/>
    <w:rsid w:val="7CC7246F"/>
    <w:rsid w:val="7D0239FF"/>
    <w:rsid w:val="7D0B6F0D"/>
    <w:rsid w:val="7D1C2BBC"/>
    <w:rsid w:val="7D3A1E22"/>
    <w:rsid w:val="7D5E40CD"/>
    <w:rsid w:val="7D675BE9"/>
    <w:rsid w:val="7DBC3708"/>
    <w:rsid w:val="7DCD56F2"/>
    <w:rsid w:val="7DD36AD6"/>
    <w:rsid w:val="7DD92145"/>
    <w:rsid w:val="7DE33FE7"/>
    <w:rsid w:val="7DED1B13"/>
    <w:rsid w:val="7DFF1847"/>
    <w:rsid w:val="7E0C573A"/>
    <w:rsid w:val="7E404800"/>
    <w:rsid w:val="7E6F4EBA"/>
    <w:rsid w:val="7E865892"/>
    <w:rsid w:val="7E9B10E9"/>
    <w:rsid w:val="7EB84836"/>
    <w:rsid w:val="7EBB4972"/>
    <w:rsid w:val="7ED513F5"/>
    <w:rsid w:val="7EF26DF5"/>
    <w:rsid w:val="7F001CE7"/>
    <w:rsid w:val="7F0B0F59"/>
    <w:rsid w:val="7F4734A5"/>
    <w:rsid w:val="7F7C2B1A"/>
    <w:rsid w:val="7FA51CC4"/>
    <w:rsid w:val="7FC67DEB"/>
    <w:rsid w:val="7FE47E50"/>
    <w:rsid w:val="F99F96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qFormat="1"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8"/>
    <w:autoRedefine/>
    <w:qFormat/>
    <w:locked/>
    <w:uiPriority w:val="0"/>
    <w:pPr>
      <w:keepNext/>
      <w:keepLines/>
      <w:spacing w:before="260" w:after="260" w:line="416" w:lineRule="auto"/>
      <w:outlineLvl w:val="1"/>
    </w:pPr>
    <w:rPr>
      <w:rFonts w:ascii="Calibri" w:hAnsi="Calibri" w:eastAsia="仿宋_GB2312"/>
      <w:b/>
      <w:bCs/>
      <w:sz w:val="28"/>
      <w:szCs w:val="32"/>
    </w:rPr>
  </w:style>
  <w:style w:type="paragraph" w:styleId="4">
    <w:name w:val="heading 3"/>
    <w:basedOn w:val="1"/>
    <w:next w:val="1"/>
    <w:link w:val="108"/>
    <w:autoRedefine/>
    <w:qFormat/>
    <w:locked/>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27"/>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29"/>
    <w:qFormat/>
    <w:locked/>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59"/>
    <w:autoRedefine/>
    <w:qFormat/>
    <w:locked/>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99"/>
    <w:autoRedefine/>
    <w:qFormat/>
    <w:locked/>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128"/>
    <w:autoRedefine/>
    <w:qFormat/>
    <w:locked/>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autoRedefine/>
    <w:qFormat/>
    <w:locked/>
    <w:uiPriority w:val="0"/>
    <w:pPr>
      <w:keepNext/>
      <w:keepLines/>
      <w:spacing w:before="240" w:after="64" w:line="320" w:lineRule="auto"/>
      <w:outlineLvl w:val="8"/>
    </w:pPr>
    <w:rPr>
      <w:rFonts w:ascii="Arial" w:hAnsi="Arial" w:eastAsia="黑体"/>
      <w:szCs w:val="21"/>
    </w:rPr>
  </w:style>
  <w:style w:type="character" w:default="1" w:styleId="45">
    <w:name w:val="Default Paragraph Font"/>
    <w:autoRedefine/>
    <w:semiHidden/>
    <w:qFormat/>
    <w:uiPriority w:val="0"/>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89"/>
    <w:autoRedefine/>
    <w:qFormat/>
    <w:locked/>
    <w:uiPriority w:val="0"/>
    <w:pPr>
      <w:ind w:firstLine="200" w:firstLineChars="200"/>
    </w:pPr>
    <w:rPr>
      <w:sz w:val="28"/>
    </w:rPr>
  </w:style>
  <w:style w:type="paragraph" w:styleId="12">
    <w:name w:val="caption"/>
    <w:basedOn w:val="1"/>
    <w:next w:val="1"/>
    <w:qFormat/>
    <w:locked/>
    <w:uiPriority w:val="35"/>
    <w:pPr>
      <w:keepNext/>
      <w:spacing w:before="50" w:beforeLines="50"/>
      <w:jc w:val="center"/>
    </w:pPr>
    <w:rPr>
      <w:rFonts w:ascii="Calibri" w:hAnsi="Calibri" w:eastAsia="黑体"/>
      <w:szCs w:val="20"/>
    </w:rPr>
  </w:style>
  <w:style w:type="paragraph" w:styleId="13">
    <w:name w:val="Document Map"/>
    <w:basedOn w:val="1"/>
    <w:link w:val="119"/>
    <w:autoRedefine/>
    <w:qFormat/>
    <w:locked/>
    <w:uiPriority w:val="0"/>
    <w:pPr>
      <w:shd w:val="clear" w:color="auto" w:fill="000080"/>
    </w:pPr>
    <w:rPr>
      <w:rFonts w:ascii="Calibri" w:hAnsi="Calibri"/>
      <w:szCs w:val="20"/>
    </w:rPr>
  </w:style>
  <w:style w:type="paragraph" w:styleId="14">
    <w:name w:val="annotation text"/>
    <w:basedOn w:val="1"/>
    <w:link w:val="101"/>
    <w:autoRedefine/>
    <w:qFormat/>
    <w:uiPriority w:val="0"/>
    <w:pPr>
      <w:jc w:val="left"/>
    </w:pPr>
    <w:rPr>
      <w:kern w:val="0"/>
      <w:sz w:val="24"/>
      <w:szCs w:val="20"/>
    </w:rPr>
  </w:style>
  <w:style w:type="paragraph" w:styleId="15">
    <w:name w:val="Body Text 3"/>
    <w:basedOn w:val="1"/>
    <w:link w:val="126"/>
    <w:autoRedefine/>
    <w:qFormat/>
    <w:locked/>
    <w:uiPriority w:val="0"/>
    <w:rPr>
      <w:rFonts w:ascii="宋体" w:hAnsi="Calibri"/>
      <w:szCs w:val="20"/>
    </w:rPr>
  </w:style>
  <w:style w:type="paragraph" w:styleId="16">
    <w:name w:val="Body Text"/>
    <w:basedOn w:val="1"/>
    <w:next w:val="1"/>
    <w:link w:val="90"/>
    <w:autoRedefine/>
    <w:qFormat/>
    <w:uiPriority w:val="0"/>
    <w:pPr>
      <w:widowControl/>
      <w:snapToGrid w:val="0"/>
      <w:spacing w:before="60" w:after="160" w:line="259" w:lineRule="auto"/>
      <w:ind w:right="113"/>
    </w:pPr>
    <w:rPr>
      <w:kern w:val="0"/>
      <w:sz w:val="18"/>
      <w:szCs w:val="20"/>
    </w:rPr>
  </w:style>
  <w:style w:type="paragraph" w:styleId="17">
    <w:name w:val="Body Text Indent"/>
    <w:basedOn w:val="1"/>
    <w:next w:val="1"/>
    <w:link w:val="96"/>
    <w:autoRedefine/>
    <w:qFormat/>
    <w:uiPriority w:val="0"/>
    <w:pPr>
      <w:spacing w:after="120"/>
      <w:ind w:left="420" w:leftChars="200"/>
    </w:pPr>
    <w:rPr>
      <w:kern w:val="0"/>
      <w:sz w:val="24"/>
      <w:szCs w:val="20"/>
    </w:rPr>
  </w:style>
  <w:style w:type="paragraph" w:styleId="18">
    <w:name w:val="List 2"/>
    <w:basedOn w:val="1"/>
    <w:autoRedefine/>
    <w:qFormat/>
    <w:locked/>
    <w:uiPriority w:val="0"/>
    <w:pPr>
      <w:ind w:left="100" w:leftChars="200" w:hanging="200" w:hangingChars="200"/>
    </w:pPr>
    <w:rPr>
      <w:rFonts w:ascii="Calibri" w:hAnsi="Calibri"/>
      <w:szCs w:val="20"/>
    </w:rPr>
  </w:style>
  <w:style w:type="paragraph" w:styleId="19">
    <w:name w:val="Block Text"/>
    <w:basedOn w:val="1"/>
    <w:autoRedefine/>
    <w:qFormat/>
    <w:locked/>
    <w:uiPriority w:val="0"/>
    <w:pPr>
      <w:ind w:left="-57" w:right="-57"/>
      <w:jc w:val="center"/>
    </w:pPr>
    <w:rPr>
      <w:rFonts w:ascii="宋体" w:hAnsi="MS Sans Serif"/>
      <w:color w:val="000000"/>
      <w:sz w:val="24"/>
    </w:rPr>
  </w:style>
  <w:style w:type="paragraph" w:styleId="20">
    <w:name w:val="Plain Text"/>
    <w:basedOn w:val="1"/>
    <w:link w:val="113"/>
    <w:autoRedefine/>
    <w:qFormat/>
    <w:locked/>
    <w:uiPriority w:val="0"/>
    <w:rPr>
      <w:rFonts w:ascii="宋体" w:hAnsi="Courier New"/>
      <w:szCs w:val="20"/>
    </w:rPr>
  </w:style>
  <w:style w:type="paragraph" w:styleId="21">
    <w:name w:val="List Bullet 5"/>
    <w:basedOn w:val="1"/>
    <w:autoRedefine/>
    <w:qFormat/>
    <w:locked/>
    <w:uiPriority w:val="0"/>
    <w:pPr>
      <w:numPr>
        <w:ilvl w:val="0"/>
        <w:numId w:val="1"/>
      </w:numPr>
    </w:pPr>
  </w:style>
  <w:style w:type="paragraph" w:styleId="22">
    <w:name w:val="Date"/>
    <w:basedOn w:val="1"/>
    <w:next w:val="1"/>
    <w:link w:val="75"/>
    <w:autoRedefine/>
    <w:qFormat/>
    <w:uiPriority w:val="0"/>
    <w:pPr>
      <w:ind w:left="100" w:leftChars="2500"/>
    </w:pPr>
    <w:rPr>
      <w:kern w:val="0"/>
      <w:sz w:val="24"/>
      <w:szCs w:val="20"/>
    </w:rPr>
  </w:style>
  <w:style w:type="paragraph" w:styleId="23">
    <w:name w:val="Body Text Indent 2"/>
    <w:basedOn w:val="1"/>
    <w:link w:val="106"/>
    <w:autoRedefine/>
    <w:qFormat/>
    <w:locked/>
    <w:uiPriority w:val="0"/>
    <w:pPr>
      <w:spacing w:line="360" w:lineRule="auto"/>
      <w:ind w:firstLine="480" w:firstLineChars="200"/>
    </w:pPr>
    <w:rPr>
      <w:color w:val="000000"/>
      <w:sz w:val="24"/>
      <w:szCs w:val="20"/>
    </w:rPr>
  </w:style>
  <w:style w:type="paragraph" w:styleId="24">
    <w:name w:val="Balloon Text"/>
    <w:basedOn w:val="1"/>
    <w:link w:val="60"/>
    <w:autoRedefine/>
    <w:qFormat/>
    <w:uiPriority w:val="0"/>
    <w:rPr>
      <w:kern w:val="0"/>
      <w:sz w:val="18"/>
      <w:szCs w:val="20"/>
    </w:rPr>
  </w:style>
  <w:style w:type="paragraph" w:styleId="25">
    <w:name w:val="footer"/>
    <w:basedOn w:val="1"/>
    <w:link w:val="131"/>
    <w:autoRedefine/>
    <w:qFormat/>
    <w:uiPriority w:val="0"/>
    <w:pPr>
      <w:tabs>
        <w:tab w:val="center" w:pos="4153"/>
        <w:tab w:val="right" w:pos="8306"/>
      </w:tabs>
      <w:snapToGrid w:val="0"/>
      <w:jc w:val="left"/>
    </w:pPr>
    <w:rPr>
      <w:kern w:val="0"/>
      <w:sz w:val="18"/>
      <w:szCs w:val="20"/>
    </w:rPr>
  </w:style>
  <w:style w:type="paragraph" w:styleId="26">
    <w:name w:val="header"/>
    <w:basedOn w:val="1"/>
    <w:link w:val="112"/>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autoRedefine/>
    <w:qFormat/>
    <w:locked/>
    <w:uiPriority w:val="0"/>
    <w:pPr>
      <w:tabs>
        <w:tab w:val="left" w:pos="420"/>
        <w:tab w:val="right" w:leader="dot" w:pos="8303"/>
      </w:tabs>
    </w:pPr>
    <w:rPr>
      <w:rFonts w:ascii="仿宋_GB2312" w:hAnsi="Arial Black" w:eastAsia="仿宋_GB2312"/>
      <w:sz w:val="28"/>
      <w:szCs w:val="20"/>
    </w:rPr>
  </w:style>
  <w:style w:type="paragraph" w:styleId="28">
    <w:name w:val="toc 4"/>
    <w:basedOn w:val="1"/>
    <w:next w:val="1"/>
    <w:autoRedefine/>
    <w:qFormat/>
    <w:locked/>
    <w:uiPriority w:val="0"/>
    <w:pPr>
      <w:ind w:left="1260" w:leftChars="600"/>
    </w:pPr>
    <w:rPr>
      <w:rFonts w:ascii="Calibri" w:hAnsi="Calibri"/>
      <w:szCs w:val="20"/>
    </w:rPr>
  </w:style>
  <w:style w:type="paragraph" w:styleId="29">
    <w:name w:val="index heading"/>
    <w:basedOn w:val="1"/>
    <w:next w:val="30"/>
    <w:qFormat/>
    <w:locked/>
    <w:uiPriority w:val="0"/>
    <w:rPr>
      <w:rFonts w:ascii="仿宋_GB2312" w:hAnsi="宋体" w:eastAsia="仿宋_GB2312"/>
      <w:b/>
      <w:bCs/>
      <w:sz w:val="28"/>
      <w:szCs w:val="20"/>
    </w:rPr>
  </w:style>
  <w:style w:type="paragraph" w:styleId="30">
    <w:name w:val="index 1"/>
    <w:basedOn w:val="1"/>
    <w:next w:val="1"/>
    <w:autoRedefine/>
    <w:semiHidden/>
    <w:qFormat/>
    <w:locked/>
    <w:uiPriority w:val="0"/>
    <w:pPr>
      <w:jc w:val="center"/>
    </w:pPr>
  </w:style>
  <w:style w:type="paragraph" w:styleId="31">
    <w:name w:val="List"/>
    <w:basedOn w:val="1"/>
    <w:autoRedefine/>
    <w:qFormat/>
    <w:locked/>
    <w:uiPriority w:val="0"/>
    <w:pPr>
      <w:ind w:left="200" w:hanging="200" w:hangingChars="200"/>
    </w:pPr>
    <w:rPr>
      <w:rFonts w:ascii="Calibri" w:hAnsi="Calibri"/>
      <w:szCs w:val="20"/>
    </w:rPr>
  </w:style>
  <w:style w:type="paragraph" w:styleId="32">
    <w:name w:val="Body Text Indent 3"/>
    <w:basedOn w:val="1"/>
    <w:link w:val="132"/>
    <w:autoRedefine/>
    <w:qFormat/>
    <w:locked/>
    <w:uiPriority w:val="0"/>
    <w:pPr>
      <w:tabs>
        <w:tab w:val="left" w:pos="604"/>
      </w:tabs>
      <w:spacing w:line="360" w:lineRule="auto"/>
      <w:ind w:firstLine="600"/>
    </w:pPr>
    <w:rPr>
      <w:rFonts w:ascii="Calibri" w:hAnsi="Calibri"/>
      <w:sz w:val="24"/>
    </w:rPr>
  </w:style>
  <w:style w:type="paragraph" w:styleId="33">
    <w:name w:val="toc 2"/>
    <w:basedOn w:val="1"/>
    <w:next w:val="1"/>
    <w:autoRedefine/>
    <w:qFormat/>
    <w:locked/>
    <w:uiPriority w:val="0"/>
    <w:pPr>
      <w:ind w:left="420"/>
    </w:pPr>
    <w:rPr>
      <w:rFonts w:ascii="Calibri" w:hAnsi="Calibri"/>
      <w:szCs w:val="20"/>
    </w:rPr>
  </w:style>
  <w:style w:type="paragraph" w:styleId="34">
    <w:name w:val="toc 9"/>
    <w:basedOn w:val="1"/>
    <w:next w:val="1"/>
    <w:autoRedefine/>
    <w:qFormat/>
    <w:locked/>
    <w:uiPriority w:val="0"/>
    <w:pPr>
      <w:widowControl/>
      <w:wordWrap w:val="0"/>
      <w:ind w:left="2975"/>
    </w:pPr>
    <w:rPr>
      <w:sz w:val="21"/>
      <w:szCs w:val="22"/>
    </w:rPr>
  </w:style>
  <w:style w:type="paragraph" w:styleId="35">
    <w:name w:val="Body Text 2"/>
    <w:basedOn w:val="1"/>
    <w:link w:val="88"/>
    <w:autoRedefine/>
    <w:qFormat/>
    <w:locked/>
    <w:uiPriority w:val="0"/>
    <w:rPr>
      <w:rFonts w:ascii="Calibri" w:hAnsi="Calibri"/>
      <w:b/>
      <w:bCs/>
      <w:sz w:val="24"/>
      <w:szCs w:val="20"/>
    </w:rPr>
  </w:style>
  <w:style w:type="paragraph" w:styleId="36">
    <w:name w:val="HTML Preformatted"/>
    <w:basedOn w:val="1"/>
    <w:link w:val="94"/>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56"/>
    <w:autoRedefine/>
    <w:qFormat/>
    <w:uiPriority w:val="99"/>
    <w:pPr>
      <w:widowControl/>
      <w:spacing w:before="100" w:beforeAutospacing="1" w:after="100" w:afterAutospacing="1"/>
      <w:jc w:val="left"/>
    </w:pPr>
    <w:rPr>
      <w:rFonts w:ascii="宋体" w:hAnsi="宋体"/>
      <w:kern w:val="0"/>
      <w:sz w:val="24"/>
      <w:szCs w:val="20"/>
    </w:rPr>
  </w:style>
  <w:style w:type="paragraph" w:styleId="38">
    <w:name w:val="Title"/>
    <w:basedOn w:val="1"/>
    <w:link w:val="124"/>
    <w:autoRedefine/>
    <w:qFormat/>
    <w:locked/>
    <w:uiPriority w:val="0"/>
    <w:pPr>
      <w:adjustRightInd w:val="0"/>
      <w:snapToGrid w:val="0"/>
      <w:spacing w:before="240" w:after="240" w:line="300" w:lineRule="auto"/>
      <w:jc w:val="left"/>
      <w:outlineLvl w:val="0"/>
    </w:pPr>
    <w:rPr>
      <w:rFonts w:ascii="仿宋_GB2312" w:hAnsi="Arial" w:eastAsia="仿宋_GB2312"/>
      <w:b/>
      <w:bCs/>
      <w:sz w:val="32"/>
      <w:szCs w:val="32"/>
    </w:rPr>
  </w:style>
  <w:style w:type="paragraph" w:styleId="39">
    <w:name w:val="annotation subject"/>
    <w:basedOn w:val="14"/>
    <w:next w:val="14"/>
    <w:link w:val="79"/>
    <w:autoRedefine/>
    <w:qFormat/>
    <w:uiPriority w:val="0"/>
    <w:rPr>
      <w:b/>
      <w:kern w:val="2"/>
    </w:rPr>
  </w:style>
  <w:style w:type="paragraph" w:styleId="40">
    <w:name w:val="Body Text First Indent"/>
    <w:basedOn w:val="16"/>
    <w:next w:val="1"/>
    <w:link w:val="71"/>
    <w:autoRedefine/>
    <w:qFormat/>
    <w:locked/>
    <w:uiPriority w:val="0"/>
    <w:pPr>
      <w:widowControl w:val="0"/>
      <w:snapToGrid/>
      <w:spacing w:before="0" w:after="120" w:line="240" w:lineRule="auto"/>
      <w:ind w:right="0" w:firstLine="420" w:firstLineChars="100"/>
    </w:pPr>
    <w:rPr>
      <w:kern w:val="2"/>
      <w:sz w:val="21"/>
    </w:rPr>
  </w:style>
  <w:style w:type="paragraph" w:styleId="41">
    <w:name w:val="Body Text First Indent 2"/>
    <w:basedOn w:val="17"/>
    <w:next w:val="40"/>
    <w:link w:val="76"/>
    <w:autoRedefine/>
    <w:qFormat/>
    <w:locked/>
    <w:uiPriority w:val="0"/>
    <w:pPr>
      <w:ind w:firstLine="420" w:firstLineChars="200"/>
    </w:pPr>
    <w:rPr>
      <w:rFonts w:ascii="Calibri" w:hAnsi="Calibri"/>
      <w:kern w:val="2"/>
      <w:sz w:val="21"/>
    </w:rPr>
  </w:style>
  <w:style w:type="table" w:styleId="43">
    <w:name w:val="Table Grid"/>
    <w:basedOn w:val="4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Theme"/>
    <w:basedOn w:val="42"/>
    <w:autoRedefine/>
    <w:qFormat/>
    <w:locked/>
    <w:uiPriority w:val="0"/>
    <w:pPr>
      <w:widowControl w:val="0"/>
      <w:jc w:val="center"/>
    </w:pPr>
    <w:tblPr>
      <w:jc w:val="center"/>
      <w:tblBorders>
        <w:top w:val="single" w:color="auto" w:sz="12" w:space="0"/>
        <w:bottom w:val="single" w:color="auto" w:sz="12" w:space="0"/>
        <w:insideH w:val="single" w:color="auto" w:sz="6" w:space="0"/>
        <w:insideV w:val="single" w:color="auto" w:sz="6" w:space="0"/>
      </w:tblBorders>
    </w:tblPr>
    <w:trPr>
      <w:jc w:val="center"/>
    </w:trPr>
    <w:tcPr>
      <w:vAlign w:val="center"/>
    </w:tcPr>
  </w:style>
  <w:style w:type="character" w:styleId="46">
    <w:name w:val="Strong"/>
    <w:autoRedefine/>
    <w:qFormat/>
    <w:locked/>
    <w:uiPriority w:val="0"/>
    <w:rPr>
      <w:b/>
      <w:bCs/>
      <w:sz w:val="24"/>
      <w:szCs w:val="24"/>
    </w:rPr>
  </w:style>
  <w:style w:type="character" w:styleId="47">
    <w:name w:val="page number"/>
    <w:autoRedefine/>
    <w:qFormat/>
    <w:locked/>
    <w:uiPriority w:val="0"/>
  </w:style>
  <w:style w:type="character" w:styleId="48">
    <w:name w:val="FollowedHyperlink"/>
    <w:autoRedefine/>
    <w:qFormat/>
    <w:locked/>
    <w:uiPriority w:val="0"/>
    <w:rPr>
      <w:color w:val="800080"/>
      <w:u w:val="single"/>
    </w:rPr>
  </w:style>
  <w:style w:type="character" w:styleId="49">
    <w:name w:val="Emphasis"/>
    <w:basedOn w:val="45"/>
    <w:autoRedefine/>
    <w:qFormat/>
    <w:locked/>
    <w:uiPriority w:val="0"/>
    <w:rPr>
      <w:i/>
    </w:rPr>
  </w:style>
  <w:style w:type="character" w:styleId="50">
    <w:name w:val="Hyperlink"/>
    <w:autoRedefine/>
    <w:qFormat/>
    <w:locked/>
    <w:uiPriority w:val="0"/>
    <w:rPr>
      <w:color w:val="0000FF"/>
      <w:u w:val="single"/>
    </w:rPr>
  </w:style>
  <w:style w:type="character" w:styleId="51">
    <w:name w:val="annotation reference"/>
    <w:autoRedefine/>
    <w:qFormat/>
    <w:uiPriority w:val="0"/>
    <w:rPr>
      <w:sz w:val="21"/>
    </w:rPr>
  </w:style>
  <w:style w:type="paragraph" w:customStyle="1" w:styleId="52">
    <w:name w:val="Default"/>
    <w:basedOn w:val="53"/>
    <w:next w:val="1"/>
    <w:autoRedefine/>
    <w:qFormat/>
    <w:uiPriority w:val="0"/>
    <w:pPr>
      <w:autoSpaceDE w:val="0"/>
      <w:autoSpaceDN w:val="0"/>
      <w:adjustRightInd w:val="0"/>
    </w:pPr>
    <w:rPr>
      <w:rFonts w:ascii="宋体" w:hAnsi="Calibri" w:eastAsia="宋体" w:cs="Times New Roman"/>
      <w:color w:val="000000"/>
      <w:sz w:val="24"/>
      <w:szCs w:val="24"/>
      <w:lang w:val="en-US" w:eastAsia="en-US" w:bidi="ar-SA"/>
    </w:rPr>
  </w:style>
  <w:style w:type="paragraph" w:customStyle="1" w:styleId="5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54">
    <w:name w:val="新正文 Char Char"/>
    <w:link w:val="55"/>
    <w:autoRedefine/>
    <w:qFormat/>
    <w:uiPriority w:val="0"/>
    <w:rPr>
      <w:rFonts w:ascii="仿宋_GB2312" w:eastAsia="仿宋_GB2312"/>
      <w:bCs/>
      <w:sz w:val="28"/>
    </w:rPr>
  </w:style>
  <w:style w:type="paragraph" w:customStyle="1" w:styleId="55">
    <w:name w:val="新正文"/>
    <w:basedOn w:val="1"/>
    <w:link w:val="54"/>
    <w:autoRedefine/>
    <w:qFormat/>
    <w:uiPriority w:val="0"/>
    <w:pPr>
      <w:spacing w:line="500" w:lineRule="exact"/>
      <w:ind w:firstLine="510"/>
    </w:pPr>
    <w:rPr>
      <w:rFonts w:ascii="仿宋_GB2312" w:eastAsia="仿宋_GB2312"/>
      <w:bCs/>
      <w:kern w:val="0"/>
      <w:sz w:val="28"/>
      <w:szCs w:val="20"/>
    </w:rPr>
  </w:style>
  <w:style w:type="character" w:customStyle="1" w:styleId="56">
    <w:name w:val="普通(网站) Char"/>
    <w:link w:val="37"/>
    <w:autoRedefine/>
    <w:qFormat/>
    <w:locked/>
    <w:uiPriority w:val="0"/>
    <w:rPr>
      <w:rFonts w:ascii="宋体" w:hAnsi="宋体" w:eastAsia="宋体"/>
      <w:sz w:val="24"/>
    </w:rPr>
  </w:style>
  <w:style w:type="character" w:customStyle="1" w:styleId="57">
    <w:name w:val="文字 Char"/>
    <w:link w:val="58"/>
    <w:autoRedefine/>
    <w:qFormat/>
    <w:uiPriority w:val="99"/>
    <w:rPr>
      <w:kern w:val="2"/>
      <w:sz w:val="24"/>
      <w:szCs w:val="24"/>
    </w:rPr>
  </w:style>
  <w:style w:type="paragraph" w:customStyle="1" w:styleId="58">
    <w:name w:val="文字"/>
    <w:basedOn w:val="1"/>
    <w:link w:val="57"/>
    <w:autoRedefine/>
    <w:qFormat/>
    <w:uiPriority w:val="99"/>
    <w:pPr>
      <w:spacing w:line="360" w:lineRule="auto"/>
      <w:ind w:firstLine="200" w:firstLineChars="200"/>
    </w:pPr>
    <w:rPr>
      <w:sz w:val="24"/>
    </w:rPr>
  </w:style>
  <w:style w:type="character" w:customStyle="1" w:styleId="59">
    <w:name w:val="标题 6 Char"/>
    <w:link w:val="7"/>
    <w:autoRedefine/>
    <w:qFormat/>
    <w:uiPriority w:val="0"/>
    <w:rPr>
      <w:rFonts w:ascii="Arial" w:hAnsi="Arial" w:eastAsia="黑体"/>
      <w:b/>
      <w:bCs/>
      <w:kern w:val="2"/>
      <w:sz w:val="24"/>
      <w:szCs w:val="24"/>
    </w:rPr>
  </w:style>
  <w:style w:type="character" w:customStyle="1" w:styleId="60">
    <w:name w:val="批注框文本 Char"/>
    <w:link w:val="24"/>
    <w:autoRedefine/>
    <w:semiHidden/>
    <w:qFormat/>
    <w:locked/>
    <w:uiPriority w:val="0"/>
    <w:rPr>
      <w:rFonts w:ascii="Times New Roman" w:hAnsi="Times New Roman" w:eastAsia="宋体"/>
      <w:sz w:val="18"/>
    </w:rPr>
  </w:style>
  <w:style w:type="character" w:customStyle="1" w:styleId="61">
    <w:name w:val="unnamed11"/>
    <w:autoRedefine/>
    <w:qFormat/>
    <w:uiPriority w:val="0"/>
    <w:rPr>
      <w:rFonts w:hint="eastAsia" w:ascii="宋体" w:hAnsi="宋体" w:eastAsia="宋体"/>
      <w:sz w:val="18"/>
      <w:u w:val="none"/>
    </w:rPr>
  </w:style>
  <w:style w:type="character" w:customStyle="1" w:styleId="62">
    <w:name w:val="by12h1"/>
    <w:autoRedefine/>
    <w:qFormat/>
    <w:uiPriority w:val="0"/>
    <w:rPr>
      <w:rFonts w:hint="eastAsia" w:ascii="宋体" w:hAnsi="宋体" w:eastAsia="宋体"/>
      <w:sz w:val="18"/>
      <w:szCs w:val="18"/>
    </w:rPr>
  </w:style>
  <w:style w:type="character" w:customStyle="1" w:styleId="63">
    <w:name w:val="表格 Char"/>
    <w:link w:val="64"/>
    <w:autoRedefine/>
    <w:qFormat/>
    <w:locked/>
    <w:uiPriority w:val="0"/>
    <w:rPr>
      <w:rFonts w:ascii="宋体"/>
      <w:sz w:val="21"/>
    </w:rPr>
  </w:style>
  <w:style w:type="paragraph" w:customStyle="1" w:styleId="64">
    <w:name w:val="表格"/>
    <w:basedOn w:val="65"/>
    <w:next w:val="1"/>
    <w:link w:val="63"/>
    <w:autoRedefine/>
    <w:qFormat/>
    <w:uiPriority w:val="0"/>
    <w:pPr>
      <w:adjustRightInd w:val="0"/>
      <w:snapToGrid w:val="0"/>
      <w:spacing w:beforeLines="10" w:afterLines="10" w:line="259" w:lineRule="auto"/>
      <w:jc w:val="center"/>
    </w:pPr>
    <w:rPr>
      <w:rFonts w:ascii="宋体"/>
      <w:kern w:val="0"/>
      <w:szCs w:val="20"/>
    </w:rPr>
  </w:style>
  <w:style w:type="paragraph" w:customStyle="1" w:styleId="65">
    <w:name w:val="表格文字"/>
    <w:basedOn w:val="16"/>
    <w:link w:val="138"/>
    <w:autoRedefine/>
    <w:qFormat/>
    <w:uiPriority w:val="0"/>
    <w:pPr>
      <w:jc w:val="center"/>
    </w:pPr>
    <w:rPr>
      <w:rFonts w:ascii="仿宋_GB2312" w:hAnsi="Arial Black" w:eastAsia="仿宋_GB2312"/>
      <w:kern w:val="44"/>
      <w:sz w:val="24"/>
      <w:szCs w:val="20"/>
    </w:rPr>
  </w:style>
  <w:style w:type="character" w:customStyle="1" w:styleId="66">
    <w:name w:val="表格内容 字符"/>
    <w:link w:val="67"/>
    <w:autoRedefine/>
    <w:qFormat/>
    <w:uiPriority w:val="0"/>
    <w:rPr>
      <w:spacing w:val="5"/>
      <w:sz w:val="21"/>
      <w:szCs w:val="21"/>
      <w:lang w:val="zh-CN"/>
    </w:rPr>
  </w:style>
  <w:style w:type="paragraph" w:customStyle="1" w:styleId="67">
    <w:name w:val="表格内容"/>
    <w:basedOn w:val="1"/>
    <w:next w:val="20"/>
    <w:link w:val="66"/>
    <w:autoRedefine/>
    <w:qFormat/>
    <w:uiPriority w:val="0"/>
    <w:pPr>
      <w:jc w:val="center"/>
    </w:pPr>
    <w:rPr>
      <w:spacing w:val="5"/>
      <w:kern w:val="0"/>
      <w:szCs w:val="21"/>
      <w:lang w:val="zh-CN"/>
    </w:rPr>
  </w:style>
  <w:style w:type="character" w:customStyle="1" w:styleId="68">
    <w:name w:val="标题 2 Char"/>
    <w:link w:val="3"/>
    <w:autoRedefine/>
    <w:qFormat/>
    <w:uiPriority w:val="0"/>
    <w:rPr>
      <w:rFonts w:ascii="Calibri" w:hAnsi="Calibri" w:eastAsia="仿宋_GB2312"/>
      <w:b/>
      <w:bCs/>
      <w:kern w:val="2"/>
      <w:sz w:val="28"/>
      <w:szCs w:val="32"/>
    </w:rPr>
  </w:style>
  <w:style w:type="character" w:customStyle="1" w:styleId="69">
    <w:name w:val="style11"/>
    <w:autoRedefine/>
    <w:qFormat/>
    <w:uiPriority w:val="0"/>
    <w:rPr>
      <w:color w:val="333333"/>
    </w:rPr>
  </w:style>
  <w:style w:type="character" w:customStyle="1" w:styleId="70">
    <w:name w:val="text31"/>
    <w:autoRedefine/>
    <w:qFormat/>
    <w:uiPriority w:val="0"/>
    <w:rPr>
      <w:rFonts w:hint="eastAsia" w:ascii="宋体" w:hAnsi="宋体" w:eastAsia="宋体"/>
      <w:color w:val="673434"/>
      <w:sz w:val="22"/>
      <w:u w:val="none"/>
    </w:rPr>
  </w:style>
  <w:style w:type="character" w:customStyle="1" w:styleId="71">
    <w:name w:val="正文首行缩进 Char"/>
    <w:link w:val="40"/>
    <w:autoRedefine/>
    <w:qFormat/>
    <w:uiPriority w:val="0"/>
    <w:rPr>
      <w:kern w:val="2"/>
      <w:sz w:val="21"/>
    </w:rPr>
  </w:style>
  <w:style w:type="character" w:customStyle="1" w:styleId="72">
    <w:name w:val="正文文本缩进 2 Char1"/>
    <w:autoRedefine/>
    <w:qFormat/>
    <w:uiPriority w:val="0"/>
    <w:rPr>
      <w:kern w:val="2"/>
      <w:sz w:val="21"/>
      <w:szCs w:val="24"/>
    </w:rPr>
  </w:style>
  <w:style w:type="character" w:customStyle="1" w:styleId="73">
    <w:name w:val="正文文本 (2) Exact"/>
    <w:autoRedefine/>
    <w:qFormat/>
    <w:uiPriority w:val="0"/>
    <w:rPr>
      <w:rFonts w:ascii="MingLiU" w:hAnsi="MingLiU" w:eastAsia="MingLiU" w:cs="MingLiU"/>
      <w:sz w:val="22"/>
      <w:szCs w:val="22"/>
      <w:u w:val="none"/>
    </w:rPr>
  </w:style>
  <w:style w:type="character" w:customStyle="1" w:styleId="74">
    <w:name w:val="z-窗体顶端 Char1"/>
    <w:autoRedefine/>
    <w:semiHidden/>
    <w:qFormat/>
    <w:uiPriority w:val="99"/>
    <w:rPr>
      <w:rFonts w:ascii="Arial" w:hAnsi="Arial" w:cs="Arial"/>
      <w:vanish/>
      <w:kern w:val="2"/>
      <w:sz w:val="16"/>
      <w:szCs w:val="16"/>
    </w:rPr>
  </w:style>
  <w:style w:type="character" w:customStyle="1" w:styleId="75">
    <w:name w:val="日期 Char"/>
    <w:link w:val="22"/>
    <w:autoRedefine/>
    <w:qFormat/>
    <w:locked/>
    <w:uiPriority w:val="0"/>
    <w:rPr>
      <w:rFonts w:ascii="Times New Roman" w:hAnsi="Times New Roman" w:eastAsia="宋体"/>
      <w:sz w:val="24"/>
    </w:rPr>
  </w:style>
  <w:style w:type="character" w:customStyle="1" w:styleId="76">
    <w:name w:val="正文首行缩进 2 Char"/>
    <w:link w:val="41"/>
    <w:autoRedefine/>
    <w:qFormat/>
    <w:uiPriority w:val="0"/>
    <w:rPr>
      <w:rFonts w:ascii="Calibri" w:hAnsi="Calibri" w:eastAsia="宋体"/>
      <w:kern w:val="2"/>
      <w:sz w:val="21"/>
    </w:rPr>
  </w:style>
  <w:style w:type="character" w:customStyle="1" w:styleId="77">
    <w:name w:val="0正文 字符"/>
    <w:link w:val="78"/>
    <w:autoRedefine/>
    <w:qFormat/>
    <w:uiPriority w:val="0"/>
    <w:rPr>
      <w:kern w:val="2"/>
      <w:sz w:val="24"/>
      <w:szCs w:val="24"/>
    </w:rPr>
  </w:style>
  <w:style w:type="paragraph" w:customStyle="1" w:styleId="78">
    <w:name w:val="0正文"/>
    <w:basedOn w:val="37"/>
    <w:link w:val="77"/>
    <w:autoRedefine/>
    <w:qFormat/>
    <w:uiPriority w:val="0"/>
    <w:pPr>
      <w:spacing w:before="0" w:beforeAutospacing="0" w:after="0" w:afterAutospacing="0" w:line="360" w:lineRule="auto"/>
      <w:ind w:firstLine="482"/>
      <w:jc w:val="both"/>
    </w:pPr>
    <w:rPr>
      <w:rFonts w:ascii="Times New Roman" w:hAnsi="Times New Roman"/>
      <w:kern w:val="2"/>
      <w:szCs w:val="24"/>
    </w:rPr>
  </w:style>
  <w:style w:type="character" w:customStyle="1" w:styleId="79">
    <w:name w:val="批注主题 Char"/>
    <w:link w:val="39"/>
    <w:autoRedefine/>
    <w:qFormat/>
    <w:locked/>
    <w:uiPriority w:val="0"/>
    <w:rPr>
      <w:rFonts w:ascii="Times New Roman" w:hAnsi="Times New Roman" w:eastAsia="宋体"/>
      <w:b/>
      <w:kern w:val="2"/>
      <w:sz w:val="24"/>
    </w:rPr>
  </w:style>
  <w:style w:type="character" w:customStyle="1" w:styleId="80">
    <w:name w:val="标题 Char1"/>
    <w:autoRedefine/>
    <w:qFormat/>
    <w:uiPriority w:val="0"/>
    <w:rPr>
      <w:rFonts w:ascii="Cambria" w:hAnsi="Cambria" w:cs="Times New Roman"/>
      <w:b/>
      <w:bCs/>
      <w:kern w:val="2"/>
      <w:sz w:val="32"/>
      <w:szCs w:val="32"/>
    </w:rPr>
  </w:style>
  <w:style w:type="character" w:customStyle="1" w:styleId="81">
    <w:name w:val="标题 9 Char"/>
    <w:link w:val="10"/>
    <w:autoRedefine/>
    <w:qFormat/>
    <w:uiPriority w:val="0"/>
    <w:rPr>
      <w:rFonts w:ascii="Arial" w:hAnsi="Arial" w:eastAsia="黑体"/>
      <w:kern w:val="2"/>
      <w:sz w:val="21"/>
      <w:szCs w:val="21"/>
    </w:rPr>
  </w:style>
  <w:style w:type="character" w:customStyle="1" w:styleId="82">
    <w:name w:val="纯文本 Char2"/>
    <w:autoRedefine/>
    <w:qFormat/>
    <w:uiPriority w:val="0"/>
    <w:rPr>
      <w:rFonts w:ascii="宋体" w:hAnsi="Courier New" w:cs="Courier New"/>
      <w:kern w:val="2"/>
      <w:sz w:val="21"/>
      <w:szCs w:val="21"/>
    </w:rPr>
  </w:style>
  <w:style w:type="character" w:customStyle="1" w:styleId="83">
    <w:name w:val="正文缩进1"/>
    <w:autoRedefine/>
    <w:qFormat/>
    <w:uiPriority w:val="0"/>
    <w:rPr>
      <w:rFonts w:eastAsia="宋体"/>
      <w:kern w:val="2"/>
      <w:sz w:val="28"/>
      <w:szCs w:val="24"/>
      <w:lang w:val="en-US" w:eastAsia="zh-CN" w:bidi="ar-SA"/>
    </w:rPr>
  </w:style>
  <w:style w:type="character" w:customStyle="1" w:styleId="84">
    <w:name w:val="正文（首行缩进两字） Char2"/>
    <w:link w:val="85"/>
    <w:autoRedefine/>
    <w:qFormat/>
    <w:uiPriority w:val="0"/>
    <w:rPr>
      <w:kern w:val="2"/>
      <w:sz w:val="28"/>
      <w:szCs w:val="24"/>
    </w:rPr>
  </w:style>
  <w:style w:type="paragraph" w:customStyle="1" w:styleId="85">
    <w:name w:val="表格标题"/>
    <w:basedOn w:val="1"/>
    <w:next w:val="1"/>
    <w:link w:val="84"/>
    <w:autoRedefine/>
    <w:qFormat/>
    <w:uiPriority w:val="0"/>
    <w:pPr>
      <w:adjustRightInd w:val="0"/>
      <w:snapToGrid w:val="0"/>
      <w:spacing w:before="120" w:after="120"/>
      <w:jc w:val="center"/>
    </w:pPr>
    <w:rPr>
      <w:sz w:val="28"/>
    </w:rPr>
  </w:style>
  <w:style w:type="character" w:customStyle="1" w:styleId="86">
    <w:name w:val="12b1"/>
    <w:autoRedefine/>
    <w:qFormat/>
    <w:uiPriority w:val="0"/>
    <w:rPr>
      <w:sz w:val="18"/>
      <w:szCs w:val="18"/>
    </w:rPr>
  </w:style>
  <w:style w:type="character" w:customStyle="1" w:styleId="87">
    <w:name w:val="正文首行缩进 Char1"/>
    <w:autoRedefine/>
    <w:qFormat/>
    <w:uiPriority w:val="0"/>
    <w:rPr>
      <w:kern w:val="2"/>
      <w:sz w:val="21"/>
      <w:szCs w:val="24"/>
    </w:rPr>
  </w:style>
  <w:style w:type="character" w:customStyle="1" w:styleId="88">
    <w:name w:val="正文文本 2 Char"/>
    <w:link w:val="35"/>
    <w:autoRedefine/>
    <w:qFormat/>
    <w:uiPriority w:val="0"/>
    <w:rPr>
      <w:rFonts w:ascii="Calibri" w:hAnsi="Calibri"/>
      <w:b/>
      <w:bCs/>
      <w:kern w:val="2"/>
      <w:sz w:val="24"/>
    </w:rPr>
  </w:style>
  <w:style w:type="character" w:customStyle="1" w:styleId="89">
    <w:name w:val="正文缩进 Char"/>
    <w:link w:val="11"/>
    <w:autoRedefine/>
    <w:qFormat/>
    <w:uiPriority w:val="0"/>
    <w:rPr>
      <w:kern w:val="2"/>
      <w:sz w:val="28"/>
      <w:szCs w:val="24"/>
    </w:rPr>
  </w:style>
  <w:style w:type="character" w:customStyle="1" w:styleId="90">
    <w:name w:val="正文文本 Char"/>
    <w:link w:val="16"/>
    <w:autoRedefine/>
    <w:qFormat/>
    <w:locked/>
    <w:uiPriority w:val="0"/>
    <w:rPr>
      <w:sz w:val="18"/>
    </w:rPr>
  </w:style>
  <w:style w:type="character" w:customStyle="1" w:styleId="91">
    <w:name w:val="批注文字 字符1"/>
    <w:autoRedefine/>
    <w:semiHidden/>
    <w:qFormat/>
    <w:uiPriority w:val="0"/>
    <w:rPr>
      <w:rFonts w:ascii="Times New Roman" w:hAnsi="Times New Roman" w:eastAsia="宋体"/>
      <w:sz w:val="24"/>
    </w:rPr>
  </w:style>
  <w:style w:type="character" w:customStyle="1" w:styleId="92">
    <w:name w:val="谏壁正文chen Char Char"/>
    <w:link w:val="93"/>
    <w:autoRedefine/>
    <w:qFormat/>
    <w:uiPriority w:val="0"/>
    <w:rPr>
      <w:kern w:val="2"/>
      <w:sz w:val="24"/>
      <w:szCs w:val="24"/>
    </w:rPr>
  </w:style>
  <w:style w:type="paragraph" w:customStyle="1" w:styleId="93">
    <w:name w:val="谏壁正文chen"/>
    <w:basedOn w:val="1"/>
    <w:link w:val="92"/>
    <w:autoRedefine/>
    <w:qFormat/>
    <w:uiPriority w:val="0"/>
    <w:pPr>
      <w:spacing w:line="360" w:lineRule="auto"/>
      <w:ind w:firstLine="200" w:firstLineChars="200"/>
    </w:pPr>
    <w:rPr>
      <w:sz w:val="24"/>
    </w:rPr>
  </w:style>
  <w:style w:type="character" w:customStyle="1" w:styleId="94">
    <w:name w:val="HTML 预设格式 Char"/>
    <w:link w:val="36"/>
    <w:autoRedefine/>
    <w:qFormat/>
    <w:uiPriority w:val="0"/>
    <w:rPr>
      <w:rFonts w:ascii="宋体" w:hAnsi="宋体" w:cs="宋体"/>
      <w:sz w:val="24"/>
      <w:szCs w:val="24"/>
    </w:rPr>
  </w:style>
  <w:style w:type="character" w:customStyle="1" w:styleId="95">
    <w:name w:val="正文（首行缩进两字） Char Char1 Char Char Char Char Char Char Char Char Char Char"/>
    <w:autoRedefine/>
    <w:qFormat/>
    <w:uiPriority w:val="0"/>
    <w:rPr>
      <w:rFonts w:eastAsia="宋体"/>
      <w:kern w:val="2"/>
      <w:sz w:val="28"/>
      <w:szCs w:val="24"/>
      <w:lang w:val="en-US" w:eastAsia="zh-CN" w:bidi="ar-SA"/>
    </w:rPr>
  </w:style>
  <w:style w:type="character" w:customStyle="1" w:styleId="96">
    <w:name w:val="正文文本缩进 Char"/>
    <w:link w:val="17"/>
    <w:autoRedefine/>
    <w:qFormat/>
    <w:locked/>
    <w:uiPriority w:val="0"/>
    <w:rPr>
      <w:rFonts w:ascii="Times New Roman" w:hAnsi="Times New Roman" w:eastAsia="宋体"/>
      <w:sz w:val="24"/>
    </w:rPr>
  </w:style>
  <w:style w:type="character" w:customStyle="1" w:styleId="97">
    <w:name w:val="HTML 预设格式 Char1"/>
    <w:autoRedefine/>
    <w:qFormat/>
    <w:uiPriority w:val="0"/>
    <w:rPr>
      <w:rFonts w:ascii="Courier New" w:hAnsi="Courier New" w:cs="Courier New"/>
      <w:kern w:val="2"/>
    </w:rPr>
  </w:style>
  <w:style w:type="character" w:customStyle="1" w:styleId="98">
    <w:name w:val="font11"/>
    <w:autoRedefine/>
    <w:qFormat/>
    <w:uiPriority w:val="0"/>
    <w:rPr>
      <w:rFonts w:hint="default" w:ascii="Times New Roman" w:hAnsi="Times New Roman" w:cs="Times New Roman"/>
      <w:color w:val="000000"/>
      <w:sz w:val="24"/>
      <w:szCs w:val="24"/>
      <w:u w:val="none"/>
    </w:rPr>
  </w:style>
  <w:style w:type="character" w:customStyle="1" w:styleId="99">
    <w:name w:val="标题 7 Char"/>
    <w:link w:val="8"/>
    <w:autoRedefine/>
    <w:qFormat/>
    <w:uiPriority w:val="0"/>
    <w:rPr>
      <w:rFonts w:ascii="Calibri" w:hAnsi="Calibri"/>
      <w:b/>
      <w:bCs/>
      <w:kern w:val="2"/>
      <w:sz w:val="24"/>
      <w:szCs w:val="24"/>
    </w:rPr>
  </w:style>
  <w:style w:type="character" w:customStyle="1" w:styleId="100">
    <w:name w:val="font01"/>
    <w:autoRedefine/>
    <w:qFormat/>
    <w:uiPriority w:val="0"/>
    <w:rPr>
      <w:rFonts w:hint="eastAsia" w:ascii="宋体" w:hAnsi="宋体" w:eastAsia="宋体"/>
      <w:color w:val="000000"/>
      <w:sz w:val="24"/>
      <w:szCs w:val="24"/>
      <w:u w:val="none"/>
    </w:rPr>
  </w:style>
  <w:style w:type="character" w:customStyle="1" w:styleId="101">
    <w:name w:val="批注文字 Char"/>
    <w:link w:val="14"/>
    <w:autoRedefine/>
    <w:qFormat/>
    <w:locked/>
    <w:uiPriority w:val="0"/>
    <w:rPr>
      <w:rFonts w:ascii="Times New Roman" w:hAnsi="Times New Roman" w:eastAsia="宋体"/>
      <w:sz w:val="24"/>
    </w:rPr>
  </w:style>
  <w:style w:type="character" w:customStyle="1" w:styleId="102">
    <w:name w:val="样式 表格 + 黑色 Char Char"/>
    <w:link w:val="103"/>
    <w:autoRedefine/>
    <w:qFormat/>
    <w:uiPriority w:val="0"/>
    <w:rPr>
      <w:color w:val="000000"/>
      <w:spacing w:val="-4"/>
      <w:kern w:val="2"/>
      <w:sz w:val="21"/>
      <w:szCs w:val="21"/>
    </w:rPr>
  </w:style>
  <w:style w:type="paragraph" w:customStyle="1" w:styleId="103">
    <w:name w:val="样式 表格 + 黑色"/>
    <w:basedOn w:val="64"/>
    <w:link w:val="102"/>
    <w:autoRedefine/>
    <w:qFormat/>
    <w:uiPriority w:val="0"/>
    <w:pPr>
      <w:spacing w:beforeLines="0" w:afterLines="0" w:line="240" w:lineRule="auto"/>
    </w:pPr>
    <w:rPr>
      <w:rFonts w:ascii="Times New Roman"/>
      <w:color w:val="000000"/>
      <w:spacing w:val="-4"/>
      <w:kern w:val="2"/>
      <w:szCs w:val="21"/>
    </w:rPr>
  </w:style>
  <w:style w:type="character" w:customStyle="1" w:styleId="104">
    <w:name w:val="z-窗体顶端 Char"/>
    <w:link w:val="105"/>
    <w:autoRedefine/>
    <w:qFormat/>
    <w:uiPriority w:val="0"/>
    <w:rPr>
      <w:rFonts w:ascii="Arial" w:hAnsi="Arial" w:eastAsia="仿宋_GB2312" w:cs="Arial"/>
      <w:vanish/>
      <w:kern w:val="2"/>
      <w:sz w:val="16"/>
      <w:szCs w:val="16"/>
    </w:rPr>
  </w:style>
  <w:style w:type="paragraph" w:customStyle="1" w:styleId="105">
    <w:name w:val="_Style 96"/>
    <w:basedOn w:val="1"/>
    <w:next w:val="1"/>
    <w:link w:val="104"/>
    <w:autoRedefine/>
    <w:qFormat/>
    <w:uiPriority w:val="0"/>
    <w:pPr>
      <w:pBdr>
        <w:bottom w:val="single" w:color="auto" w:sz="6" w:space="1"/>
      </w:pBdr>
      <w:adjustRightInd w:val="0"/>
      <w:snapToGrid w:val="0"/>
      <w:spacing w:line="300" w:lineRule="auto"/>
      <w:jc w:val="center"/>
    </w:pPr>
    <w:rPr>
      <w:rFonts w:ascii="Arial" w:hAnsi="Arial" w:eastAsia="仿宋_GB2312"/>
      <w:vanish/>
      <w:sz w:val="16"/>
      <w:szCs w:val="16"/>
    </w:rPr>
  </w:style>
  <w:style w:type="character" w:customStyle="1" w:styleId="106">
    <w:name w:val="正文文本缩进 2 Char"/>
    <w:link w:val="23"/>
    <w:autoRedefine/>
    <w:qFormat/>
    <w:uiPriority w:val="0"/>
    <w:rPr>
      <w:color w:val="000000"/>
      <w:kern w:val="2"/>
      <w:sz w:val="24"/>
    </w:rPr>
  </w:style>
  <w:style w:type="character" w:customStyle="1" w:styleId="107">
    <w:name w:val="批注引用1"/>
    <w:autoRedefine/>
    <w:qFormat/>
    <w:uiPriority w:val="0"/>
    <w:rPr>
      <w:sz w:val="21"/>
      <w:szCs w:val="21"/>
    </w:rPr>
  </w:style>
  <w:style w:type="character" w:customStyle="1" w:styleId="108">
    <w:name w:val="标题 3 Char"/>
    <w:link w:val="4"/>
    <w:autoRedefine/>
    <w:qFormat/>
    <w:uiPriority w:val="0"/>
    <w:rPr>
      <w:rFonts w:ascii="Calibri" w:hAnsi="Calibri"/>
      <w:b/>
      <w:bCs/>
      <w:kern w:val="2"/>
      <w:sz w:val="32"/>
      <w:szCs w:val="32"/>
    </w:rPr>
  </w:style>
  <w:style w:type="character" w:customStyle="1" w:styleId="109">
    <w:name w:val="ourfont2"/>
    <w:autoRedefine/>
    <w:qFormat/>
    <w:uiPriority w:val="0"/>
    <w:rPr>
      <w:sz w:val="24"/>
      <w:szCs w:val="24"/>
    </w:rPr>
  </w:style>
  <w:style w:type="character" w:customStyle="1" w:styleId="110">
    <w:name w:val="ourfont11"/>
    <w:autoRedefine/>
    <w:qFormat/>
    <w:uiPriority w:val="0"/>
    <w:rPr>
      <w:sz w:val="20"/>
      <w:szCs w:val="20"/>
    </w:rPr>
  </w:style>
  <w:style w:type="character" w:customStyle="1" w:styleId="111">
    <w:name w:val="headline-content2"/>
    <w:autoRedefine/>
    <w:qFormat/>
    <w:uiPriority w:val="0"/>
    <w:rPr>
      <w:sz w:val="24"/>
      <w:szCs w:val="24"/>
    </w:rPr>
  </w:style>
  <w:style w:type="character" w:customStyle="1" w:styleId="112">
    <w:name w:val="页眉 Char"/>
    <w:link w:val="26"/>
    <w:autoRedefine/>
    <w:qFormat/>
    <w:locked/>
    <w:uiPriority w:val="0"/>
    <w:rPr>
      <w:sz w:val="18"/>
    </w:rPr>
  </w:style>
  <w:style w:type="character" w:customStyle="1" w:styleId="113">
    <w:name w:val="纯文本 Char"/>
    <w:link w:val="20"/>
    <w:autoRedefine/>
    <w:qFormat/>
    <w:uiPriority w:val="0"/>
    <w:rPr>
      <w:rFonts w:ascii="宋体" w:hAnsi="Courier New"/>
      <w:kern w:val="2"/>
      <w:sz w:val="21"/>
    </w:rPr>
  </w:style>
  <w:style w:type="character" w:customStyle="1" w:styleId="114">
    <w:name w:val="apple-converted-space"/>
    <w:autoRedefine/>
    <w:qFormat/>
    <w:uiPriority w:val="0"/>
    <w:rPr>
      <w:sz w:val="24"/>
      <w:szCs w:val="24"/>
    </w:rPr>
  </w:style>
  <w:style w:type="character" w:customStyle="1" w:styleId="115">
    <w:name w:val="表格标题新 Char"/>
    <w:autoRedefine/>
    <w:qFormat/>
    <w:uiPriority w:val="0"/>
    <w:rPr>
      <w:rFonts w:ascii="Times New Roman" w:hAnsi="Times New Roman" w:eastAsia="宋体"/>
      <w:b/>
      <w:snapToGrid/>
      <w:spacing w:val="4"/>
      <w:kern w:val="18"/>
      <w:sz w:val="21"/>
      <w:lang w:val="en-US" w:eastAsia="zh-CN"/>
    </w:rPr>
  </w:style>
  <w:style w:type="character" w:customStyle="1" w:styleId="116">
    <w:name w:val="正文文本 字符1"/>
    <w:autoRedefine/>
    <w:semiHidden/>
    <w:qFormat/>
    <w:uiPriority w:val="0"/>
    <w:rPr>
      <w:rFonts w:ascii="Times New Roman" w:hAnsi="Times New Roman" w:eastAsia="宋体"/>
      <w:sz w:val="24"/>
    </w:rPr>
  </w:style>
  <w:style w:type="character" w:customStyle="1" w:styleId="117">
    <w:name w:val="head121"/>
    <w:autoRedefine/>
    <w:qFormat/>
    <w:uiPriority w:val="0"/>
    <w:rPr>
      <w:sz w:val="22"/>
      <w:szCs w:val="22"/>
    </w:rPr>
  </w:style>
  <w:style w:type="character" w:customStyle="1" w:styleId="118">
    <w:name w:val="font9"/>
    <w:autoRedefine/>
    <w:qFormat/>
    <w:uiPriority w:val="0"/>
    <w:rPr>
      <w:sz w:val="24"/>
      <w:szCs w:val="24"/>
    </w:rPr>
  </w:style>
  <w:style w:type="character" w:customStyle="1" w:styleId="119">
    <w:name w:val="文档结构图 Char"/>
    <w:link w:val="13"/>
    <w:autoRedefine/>
    <w:qFormat/>
    <w:uiPriority w:val="0"/>
    <w:rPr>
      <w:rFonts w:ascii="Calibri" w:hAnsi="Calibri"/>
      <w:kern w:val="2"/>
      <w:sz w:val="21"/>
      <w:shd w:val="clear" w:color="auto" w:fill="000080"/>
    </w:rPr>
  </w:style>
  <w:style w:type="character" w:customStyle="1" w:styleId="120">
    <w:name w:val="Char Char2"/>
    <w:autoRedefine/>
    <w:qFormat/>
    <w:uiPriority w:val="0"/>
    <w:rPr>
      <w:rFonts w:eastAsia="宋体"/>
      <w:kern w:val="2"/>
      <w:sz w:val="21"/>
      <w:lang w:val="en-US" w:eastAsia="zh-CN" w:bidi="ar-SA"/>
    </w:rPr>
  </w:style>
  <w:style w:type="character" w:customStyle="1" w:styleId="121">
    <w:name w:val="纯文本 Char1"/>
    <w:link w:val="122"/>
    <w:autoRedefine/>
    <w:qFormat/>
    <w:uiPriority w:val="99"/>
    <w:rPr>
      <w:rFonts w:ascii="宋体" w:hAnsi="Courier New"/>
      <w:kern w:val="2"/>
      <w:sz w:val="21"/>
    </w:rPr>
  </w:style>
  <w:style w:type="paragraph" w:customStyle="1" w:styleId="122">
    <w:name w:val="纯文本1"/>
    <w:basedOn w:val="1"/>
    <w:link w:val="121"/>
    <w:autoRedefine/>
    <w:qFormat/>
    <w:uiPriority w:val="99"/>
    <w:rPr>
      <w:rFonts w:ascii="宋体" w:hAnsi="Courier New"/>
      <w:szCs w:val="20"/>
    </w:rPr>
  </w:style>
  <w:style w:type="character" w:customStyle="1" w:styleId="123">
    <w:name w:val="px14"/>
    <w:autoRedefine/>
    <w:qFormat/>
    <w:uiPriority w:val="0"/>
    <w:rPr>
      <w:sz w:val="24"/>
      <w:szCs w:val="24"/>
    </w:rPr>
  </w:style>
  <w:style w:type="character" w:customStyle="1" w:styleId="124">
    <w:name w:val="标题 Char"/>
    <w:link w:val="38"/>
    <w:autoRedefine/>
    <w:qFormat/>
    <w:uiPriority w:val="0"/>
    <w:rPr>
      <w:rFonts w:ascii="仿宋_GB2312" w:hAnsi="Arial" w:eastAsia="仿宋_GB2312" w:cs="Arial"/>
      <w:b/>
      <w:bCs/>
      <w:kern w:val="2"/>
      <w:sz w:val="32"/>
      <w:szCs w:val="32"/>
    </w:rPr>
  </w:style>
  <w:style w:type="character" w:customStyle="1" w:styleId="125">
    <w:name w:val="font21"/>
    <w:autoRedefine/>
    <w:qFormat/>
    <w:uiPriority w:val="0"/>
    <w:rPr>
      <w:rFonts w:hint="default" w:ascii="Times New Roman" w:hAnsi="Times New Roman" w:cs="Times New Roman"/>
      <w:color w:val="000000"/>
      <w:sz w:val="24"/>
      <w:szCs w:val="24"/>
      <w:u w:val="none"/>
    </w:rPr>
  </w:style>
  <w:style w:type="character" w:customStyle="1" w:styleId="126">
    <w:name w:val="正文文本 3 Char"/>
    <w:link w:val="15"/>
    <w:autoRedefine/>
    <w:qFormat/>
    <w:uiPriority w:val="0"/>
    <w:rPr>
      <w:rFonts w:ascii="宋体" w:hAnsi="Calibri"/>
      <w:kern w:val="2"/>
      <w:sz w:val="21"/>
    </w:rPr>
  </w:style>
  <w:style w:type="character" w:customStyle="1" w:styleId="127">
    <w:name w:val="标题 4 Char"/>
    <w:link w:val="5"/>
    <w:autoRedefine/>
    <w:qFormat/>
    <w:uiPriority w:val="0"/>
    <w:rPr>
      <w:rFonts w:ascii="Arial" w:hAnsi="Arial" w:eastAsia="黑体"/>
      <w:b/>
      <w:bCs/>
      <w:kern w:val="2"/>
      <w:sz w:val="28"/>
      <w:szCs w:val="28"/>
    </w:rPr>
  </w:style>
  <w:style w:type="character" w:customStyle="1" w:styleId="128">
    <w:name w:val="标题 8 Char"/>
    <w:link w:val="9"/>
    <w:autoRedefine/>
    <w:qFormat/>
    <w:uiPriority w:val="0"/>
    <w:rPr>
      <w:rFonts w:ascii="Arial" w:hAnsi="Arial" w:eastAsia="黑体"/>
      <w:kern w:val="2"/>
      <w:sz w:val="24"/>
      <w:szCs w:val="24"/>
    </w:rPr>
  </w:style>
  <w:style w:type="character" w:customStyle="1" w:styleId="129">
    <w:name w:val="标题 5 Char"/>
    <w:link w:val="6"/>
    <w:autoRedefine/>
    <w:qFormat/>
    <w:uiPriority w:val="0"/>
    <w:rPr>
      <w:rFonts w:ascii="Calibri" w:hAnsi="Calibri"/>
      <w:b/>
      <w:bCs/>
      <w:kern w:val="2"/>
      <w:sz w:val="28"/>
      <w:szCs w:val="28"/>
    </w:rPr>
  </w:style>
  <w:style w:type="character" w:customStyle="1" w:styleId="130">
    <w:name w:val="日期 字符"/>
    <w:autoRedefine/>
    <w:semiHidden/>
    <w:qFormat/>
    <w:uiPriority w:val="0"/>
    <w:rPr>
      <w:rFonts w:ascii="Times New Roman" w:hAnsi="Times New Roman" w:eastAsia="宋体"/>
      <w:sz w:val="24"/>
    </w:rPr>
  </w:style>
  <w:style w:type="character" w:customStyle="1" w:styleId="131">
    <w:name w:val="页脚 Char"/>
    <w:link w:val="25"/>
    <w:autoRedefine/>
    <w:qFormat/>
    <w:locked/>
    <w:uiPriority w:val="0"/>
    <w:rPr>
      <w:sz w:val="18"/>
    </w:rPr>
  </w:style>
  <w:style w:type="character" w:customStyle="1" w:styleId="132">
    <w:name w:val="正文文本缩进 3 Char"/>
    <w:link w:val="32"/>
    <w:autoRedefine/>
    <w:qFormat/>
    <w:uiPriority w:val="0"/>
    <w:rPr>
      <w:rFonts w:ascii="Calibri" w:hAnsi="Calibri"/>
      <w:kern w:val="2"/>
      <w:sz w:val="24"/>
      <w:szCs w:val="24"/>
    </w:rPr>
  </w:style>
  <w:style w:type="character" w:customStyle="1" w:styleId="133">
    <w:name w:val="hangg"/>
    <w:autoRedefine/>
    <w:qFormat/>
    <w:uiPriority w:val="0"/>
    <w:rPr>
      <w:sz w:val="24"/>
      <w:szCs w:val="24"/>
    </w:rPr>
  </w:style>
  <w:style w:type="character" w:customStyle="1" w:styleId="134">
    <w:name w:val="样式 居中 Char Char"/>
    <w:link w:val="135"/>
    <w:autoRedefine/>
    <w:qFormat/>
    <w:uiPriority w:val="0"/>
    <w:rPr>
      <w:rFonts w:cs="宋体"/>
      <w:b/>
      <w:kern w:val="10"/>
      <w:sz w:val="24"/>
      <w:szCs w:val="28"/>
    </w:rPr>
  </w:style>
  <w:style w:type="paragraph" w:customStyle="1" w:styleId="135">
    <w:name w:val="样式 居中"/>
    <w:basedOn w:val="1"/>
    <w:link w:val="134"/>
    <w:autoRedefine/>
    <w:qFormat/>
    <w:uiPriority w:val="0"/>
    <w:pPr>
      <w:ind w:left="179" w:leftChars="38" w:hanging="88"/>
      <w:jc w:val="center"/>
    </w:pPr>
    <w:rPr>
      <w:b/>
      <w:kern w:val="10"/>
      <w:sz w:val="24"/>
      <w:szCs w:val="28"/>
    </w:rPr>
  </w:style>
  <w:style w:type="character" w:customStyle="1" w:styleId="136">
    <w:name w:val="表格 Char Char"/>
    <w:autoRedefine/>
    <w:qFormat/>
    <w:uiPriority w:val="0"/>
    <w:rPr>
      <w:rFonts w:eastAsia="宋体"/>
      <w:kern w:val="2"/>
      <w:sz w:val="24"/>
      <w:szCs w:val="24"/>
      <w:lang w:val="en-US" w:eastAsia="zh-CN" w:bidi="ar-SA"/>
    </w:rPr>
  </w:style>
  <w:style w:type="character" w:customStyle="1" w:styleId="137">
    <w:name w:val="aar_9ptcopy1"/>
    <w:autoRedefine/>
    <w:qFormat/>
    <w:uiPriority w:val="0"/>
    <w:rPr>
      <w:rFonts w:hint="default" w:ascii="ˎ̥" w:hAnsi="ˎ̥"/>
      <w:sz w:val="18"/>
      <w:szCs w:val="18"/>
    </w:rPr>
  </w:style>
  <w:style w:type="character" w:customStyle="1" w:styleId="138">
    <w:name w:val="表格文字 Char Char"/>
    <w:link w:val="65"/>
    <w:autoRedefine/>
    <w:qFormat/>
    <w:uiPriority w:val="0"/>
    <w:rPr>
      <w:rFonts w:ascii="仿宋_GB2312" w:hAnsi="Arial Black" w:eastAsia="仿宋_GB2312"/>
      <w:kern w:val="44"/>
      <w:sz w:val="24"/>
    </w:rPr>
  </w:style>
  <w:style w:type="character" w:customStyle="1" w:styleId="139">
    <w:name w:val="页脚 字符"/>
    <w:autoRedefine/>
    <w:qFormat/>
    <w:uiPriority w:val="99"/>
  </w:style>
  <w:style w:type="paragraph" w:customStyle="1" w:styleId="140">
    <w:name w:val="p20"/>
    <w:basedOn w:val="1"/>
    <w:autoRedefine/>
    <w:qFormat/>
    <w:uiPriority w:val="0"/>
    <w:pPr>
      <w:widowControl/>
      <w:spacing w:after="120"/>
      <w:ind w:firstLine="210"/>
    </w:pPr>
    <w:rPr>
      <w:rFonts w:ascii="宋体" w:hAnsi="宋体" w:cs="宋体"/>
      <w:kern w:val="0"/>
      <w:szCs w:val="21"/>
    </w:rPr>
  </w:style>
  <w:style w:type="paragraph" w:customStyle="1" w:styleId="141">
    <w:name w:val="样式 标题 2节 + 自动设置"/>
    <w:basedOn w:val="3"/>
    <w:autoRedefine/>
    <w:qFormat/>
    <w:uiPriority w:val="0"/>
    <w:pPr>
      <w:tabs>
        <w:tab w:val="left" w:pos="948"/>
      </w:tabs>
      <w:adjustRightInd w:val="0"/>
      <w:snapToGrid w:val="0"/>
      <w:spacing w:before="156" w:beforeLines="50" w:after="0" w:line="360" w:lineRule="auto"/>
      <w:ind w:left="948" w:hanging="312"/>
    </w:pPr>
    <w:rPr>
      <w:rFonts w:ascii="仿宋_GB2312" w:hAnsi="Arial"/>
      <w:color w:val="000000"/>
      <w:sz w:val="30"/>
      <w:szCs w:val="30"/>
    </w:rPr>
  </w:style>
  <w:style w:type="paragraph" w:customStyle="1" w:styleId="142">
    <w:name w:val="样式5"/>
    <w:basedOn w:val="1"/>
    <w:autoRedefine/>
    <w:qFormat/>
    <w:uiPriority w:val="0"/>
    <w:pPr>
      <w:spacing w:before="156" w:beforeLines="50" w:after="156" w:afterLines="50" w:line="480" w:lineRule="exact"/>
      <w:ind w:firstLine="300" w:firstLineChars="100"/>
    </w:pPr>
    <w:rPr>
      <w:rFonts w:ascii="Calibri" w:hAnsi="Calibri" w:eastAsia="仿宋_GB2312"/>
      <w:bCs/>
      <w:sz w:val="30"/>
      <w:szCs w:val="20"/>
    </w:rPr>
  </w:style>
  <w:style w:type="paragraph" w:customStyle="1" w:styleId="143">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144">
    <w:name w:val="公式样式1"/>
    <w:basedOn w:val="1"/>
    <w:autoRedefine/>
    <w:qFormat/>
    <w:uiPriority w:val="0"/>
    <w:pPr>
      <w:adjustRightInd w:val="0"/>
      <w:snapToGrid w:val="0"/>
      <w:spacing w:line="312" w:lineRule="auto"/>
      <w:jc w:val="center"/>
    </w:pPr>
    <w:rPr>
      <w:rFonts w:ascii="仿宋_GB2312" w:hAnsi="Calibri" w:eastAsia="仿宋_GB2312"/>
      <w:sz w:val="24"/>
    </w:rPr>
  </w:style>
  <w:style w:type="paragraph" w:customStyle="1" w:styleId="145">
    <w:name w:val="Char Char Char Char Char Char Char Char Char Char Char Char"/>
    <w:basedOn w:val="1"/>
    <w:autoRedefine/>
    <w:qFormat/>
    <w:uiPriority w:val="0"/>
    <w:rPr>
      <w:rFonts w:ascii="Calibri" w:hAnsi="Calibri"/>
      <w:sz w:val="24"/>
    </w:rPr>
  </w:style>
  <w:style w:type="paragraph" w:customStyle="1" w:styleId="146">
    <w:name w:val="4"/>
    <w:basedOn w:val="1"/>
    <w:next w:val="17"/>
    <w:autoRedefine/>
    <w:qFormat/>
    <w:uiPriority w:val="0"/>
    <w:pPr>
      <w:ind w:firstLine="564"/>
    </w:pPr>
    <w:rPr>
      <w:rFonts w:ascii="Calibri" w:hAnsi="Calibri"/>
      <w:szCs w:val="20"/>
    </w:rPr>
  </w:style>
  <w:style w:type="paragraph" w:customStyle="1" w:styleId="147">
    <w:name w:val="Char Char Char Char Char Char"/>
    <w:basedOn w:val="1"/>
    <w:autoRedefine/>
    <w:qFormat/>
    <w:uiPriority w:val="0"/>
    <w:rPr>
      <w:rFonts w:ascii="Calibri" w:hAnsi="Calibri"/>
      <w:sz w:val="24"/>
    </w:rPr>
  </w:style>
  <w:style w:type="paragraph" w:customStyle="1" w:styleId="148">
    <w:name w:val="表头1"/>
    <w:basedOn w:val="20"/>
    <w:autoRedefine/>
    <w:qFormat/>
    <w:uiPriority w:val="0"/>
    <w:pPr>
      <w:spacing w:line="360" w:lineRule="auto"/>
      <w:jc w:val="center"/>
    </w:pPr>
    <w:rPr>
      <w:rFonts w:hAnsi="宋体"/>
      <w:b/>
      <w:color w:val="000000"/>
      <w:kern w:val="0"/>
      <w:sz w:val="24"/>
    </w:rPr>
  </w:style>
  <w:style w:type="paragraph" w:customStyle="1" w:styleId="149">
    <w:name w:val=" Char Char Char Char Char Char Char Char Char Char Char"/>
    <w:basedOn w:val="1"/>
    <w:autoRedefine/>
    <w:qFormat/>
    <w:uiPriority w:val="0"/>
    <w:rPr>
      <w:rFonts w:ascii="Calibri" w:hAnsi="Calibri"/>
      <w:sz w:val="24"/>
    </w:rPr>
  </w:style>
  <w:style w:type="paragraph" w:customStyle="1" w:styleId="150">
    <w:name w:val="默认段落字体 Para Char Char Char1 Char Char Char Char Char Char Char Char Char Char"/>
    <w:basedOn w:val="1"/>
    <w:autoRedefine/>
    <w:qFormat/>
    <w:uiPriority w:val="0"/>
    <w:rPr>
      <w:rFonts w:ascii="Calibri" w:hAnsi="Calibri"/>
      <w:sz w:val="24"/>
    </w:rPr>
  </w:style>
  <w:style w:type="paragraph" w:customStyle="1" w:styleId="151">
    <w:name w:val=" Char Char Char Char Char Char Char Char Char1 Char"/>
    <w:basedOn w:val="1"/>
    <w:autoRedefine/>
    <w:qFormat/>
    <w:uiPriority w:val="0"/>
    <w:rPr>
      <w:rFonts w:ascii="Calibri" w:hAnsi="Calibri"/>
    </w:rPr>
  </w:style>
  <w:style w:type="paragraph" w:customStyle="1" w:styleId="152">
    <w:name w:val="p16"/>
    <w:basedOn w:val="1"/>
    <w:autoRedefine/>
    <w:qFormat/>
    <w:uiPriority w:val="0"/>
    <w:pPr>
      <w:widowControl/>
      <w:spacing w:line="360" w:lineRule="auto"/>
      <w:ind w:firstLine="480"/>
    </w:pPr>
    <w:rPr>
      <w:rFonts w:ascii="Calibri" w:hAnsi="Calibri"/>
      <w:kern w:val="0"/>
      <w:sz w:val="24"/>
    </w:rPr>
  </w:style>
  <w:style w:type="paragraph" w:customStyle="1" w:styleId="153">
    <w:name w:val="Char Char Char Char Char Char Char Char Char Char Char Char Char Char Char Char Char Char Char Char Char Char"/>
    <w:basedOn w:val="1"/>
    <w:autoRedefine/>
    <w:qFormat/>
    <w:uiPriority w:val="0"/>
    <w:rPr>
      <w:rFonts w:ascii="Calibri" w:hAnsi="Calibri"/>
      <w:sz w:val="24"/>
    </w:rPr>
  </w:style>
  <w:style w:type="paragraph" w:customStyle="1" w:styleId="154">
    <w:name w:val=" Char Char Char Char Char Char1 Char Char Char Char Char Char Char"/>
    <w:basedOn w:val="1"/>
    <w:autoRedefine/>
    <w:qFormat/>
    <w:uiPriority w:val="0"/>
    <w:rPr>
      <w:rFonts w:ascii="Calibri" w:hAnsi="Calibri"/>
      <w:sz w:val="24"/>
    </w:rPr>
  </w:style>
  <w:style w:type="paragraph" w:customStyle="1" w:styleId="155">
    <w:name w:val="2"/>
    <w:basedOn w:val="1"/>
    <w:next w:val="32"/>
    <w:autoRedefine/>
    <w:qFormat/>
    <w:uiPriority w:val="0"/>
    <w:pPr>
      <w:tabs>
        <w:tab w:val="left" w:pos="604"/>
      </w:tabs>
      <w:spacing w:line="360" w:lineRule="auto"/>
      <w:ind w:firstLine="600"/>
    </w:pPr>
    <w:rPr>
      <w:rFonts w:ascii="Calibri" w:hAnsi="Calibri"/>
      <w:sz w:val="24"/>
    </w:rPr>
  </w:style>
  <w:style w:type="paragraph" w:customStyle="1" w:styleId="156">
    <w:name w:val="Char Char Char Char Char Char Char Char Char Char Char Char Char Char Char Char"/>
    <w:basedOn w:val="1"/>
    <w:autoRedefine/>
    <w:qFormat/>
    <w:uiPriority w:val="0"/>
    <w:rPr>
      <w:rFonts w:ascii="Calibri" w:hAnsi="Calibri"/>
      <w:sz w:val="24"/>
    </w:rPr>
  </w:style>
  <w:style w:type="paragraph" w:customStyle="1" w:styleId="157">
    <w:name w:val="默认段落字体 Para Char Char Char1 Char Char"/>
    <w:basedOn w:val="1"/>
    <w:autoRedefine/>
    <w:qFormat/>
    <w:uiPriority w:val="0"/>
    <w:rPr>
      <w:rFonts w:ascii="Calibri" w:hAnsi="Calibri"/>
      <w:sz w:val="24"/>
    </w:rPr>
  </w:style>
  <w:style w:type="paragraph" w:customStyle="1" w:styleId="158">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Char Char Char1 Char1"/>
    <w:basedOn w:val="1"/>
    <w:autoRedefine/>
    <w:qFormat/>
    <w:uiPriority w:val="0"/>
    <w:rPr>
      <w:rFonts w:ascii="Calibri" w:hAnsi="Calibri"/>
      <w:sz w:val="24"/>
      <w:szCs w:val="20"/>
    </w:rPr>
  </w:style>
  <w:style w:type="paragraph" w:customStyle="1" w:styleId="160">
    <w:name w:val="框图"/>
    <w:basedOn w:val="1"/>
    <w:autoRedefine/>
    <w:qFormat/>
    <w:uiPriority w:val="0"/>
    <w:pPr>
      <w:adjustRightInd w:val="0"/>
      <w:snapToGrid w:val="0"/>
      <w:spacing w:line="27" w:lineRule="atLeast"/>
      <w:ind w:left="12" w:leftChars="-38" w:right="-38" w:rightChars="-38" w:hanging="92" w:hangingChars="54"/>
      <w:jc w:val="center"/>
    </w:pPr>
    <w:rPr>
      <w:rFonts w:ascii="宋体" w:hAnsi="宋体"/>
      <w:spacing w:val="-20"/>
      <w:szCs w:val="20"/>
    </w:rPr>
  </w:style>
  <w:style w:type="paragraph" w:customStyle="1" w:styleId="161">
    <w:name w:val="15"/>
    <w:basedOn w:val="1"/>
    <w:autoRedefine/>
    <w:qFormat/>
    <w:uiPriority w:val="0"/>
    <w:pPr>
      <w:widowControl/>
      <w:snapToGrid w:val="0"/>
      <w:spacing w:before="100" w:beforeAutospacing="1" w:after="100" w:afterAutospacing="1" w:line="440" w:lineRule="atLeast"/>
      <w:jc w:val="left"/>
    </w:pPr>
    <w:rPr>
      <w:rFonts w:ascii="Calibri" w:hAnsi="Calibri"/>
      <w:color w:val="FF0000"/>
      <w:kern w:val="0"/>
      <w:sz w:val="24"/>
      <w:szCs w:val="20"/>
    </w:rPr>
  </w:style>
  <w:style w:type="paragraph" w:customStyle="1" w:styleId="162">
    <w:name w:val="列出段落3"/>
    <w:basedOn w:val="1"/>
    <w:autoRedefine/>
    <w:qFormat/>
    <w:uiPriority w:val="0"/>
    <w:pPr>
      <w:ind w:firstLine="420" w:firstLineChars="200"/>
    </w:pPr>
    <w:rPr>
      <w:rFonts w:ascii="Calibri" w:hAnsi="Calibri"/>
      <w:szCs w:val="22"/>
    </w:rPr>
  </w:style>
  <w:style w:type="paragraph" w:customStyle="1" w:styleId="163">
    <w:name w:val="表格内文字"/>
    <w:basedOn w:val="1"/>
    <w:link w:val="261"/>
    <w:autoRedefine/>
    <w:qFormat/>
    <w:uiPriority w:val="0"/>
    <w:pPr>
      <w:tabs>
        <w:tab w:val="left" w:pos="0"/>
      </w:tabs>
      <w:jc w:val="center"/>
    </w:pPr>
    <w:rPr>
      <w:rFonts w:ascii="Calibri" w:hAnsi="Calibri" w:eastAsia="仿宋_GB2312"/>
      <w:sz w:val="24"/>
    </w:rPr>
  </w:style>
  <w:style w:type="paragraph" w:customStyle="1" w:styleId="164">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rPr>
  </w:style>
  <w:style w:type="paragraph" w:customStyle="1" w:styleId="165">
    <w:name w:val="表字1"/>
    <w:basedOn w:val="1"/>
    <w:autoRedefine/>
    <w:qFormat/>
    <w:uiPriority w:val="0"/>
    <w:pPr>
      <w:adjustRightInd w:val="0"/>
      <w:spacing w:line="360" w:lineRule="auto"/>
      <w:jc w:val="center"/>
      <w:textAlignment w:val="baseline"/>
    </w:pPr>
    <w:rPr>
      <w:rFonts w:ascii="宋体" w:hAnsi="Calibri"/>
      <w:kern w:val="0"/>
      <w:szCs w:val="20"/>
    </w:rPr>
  </w:style>
  <w:style w:type="paragraph" w:customStyle="1" w:styleId="166">
    <w:name w:val="1 Char Char Char Char Char"/>
    <w:basedOn w:val="1"/>
    <w:autoRedefine/>
    <w:qFormat/>
    <w:uiPriority w:val="0"/>
    <w:rPr>
      <w:rFonts w:ascii="Calibri" w:hAnsi="Calibri"/>
      <w:sz w:val="24"/>
    </w:rPr>
  </w:style>
  <w:style w:type="paragraph" w:customStyle="1" w:styleId="167">
    <w:name w:val="样式 标题 3 + 段前: 3 磅 段后: 3 磅 行距: 多倍行距 1.35 字行1"/>
    <w:basedOn w:val="4"/>
    <w:autoRedefine/>
    <w:qFormat/>
    <w:uiPriority w:val="0"/>
    <w:pPr>
      <w:tabs>
        <w:tab w:val="left" w:pos="851"/>
        <w:tab w:val="left" w:pos="1080"/>
      </w:tabs>
      <w:adjustRightInd w:val="0"/>
      <w:snapToGrid w:val="0"/>
      <w:spacing w:before="60" w:after="60" w:line="324" w:lineRule="auto"/>
      <w:ind w:left="1080" w:hanging="420"/>
    </w:pPr>
    <w:rPr>
      <w:rFonts w:ascii="仿宋_GB2312" w:hAnsi="宋体" w:eastAsia="仿宋_GB2312" w:cs="宋体"/>
      <w:bCs w:val="0"/>
      <w:color w:val="000000"/>
      <w:sz w:val="28"/>
      <w:szCs w:val="20"/>
    </w:rPr>
  </w:style>
  <w:style w:type="paragraph" w:customStyle="1" w:styleId="168">
    <w:name w:val="Char Char Char1 Char Char Char Char Char Char"/>
    <w:basedOn w:val="1"/>
    <w:autoRedefine/>
    <w:qFormat/>
    <w:uiPriority w:val="0"/>
    <w:rPr>
      <w:rFonts w:ascii="Calibri" w:hAnsi="Calibri"/>
      <w:sz w:val="24"/>
    </w:rPr>
  </w:style>
  <w:style w:type="paragraph" w:customStyle="1" w:styleId="169">
    <w:name w:val="Char Char Char1 Char2"/>
    <w:basedOn w:val="1"/>
    <w:autoRedefine/>
    <w:qFormat/>
    <w:uiPriority w:val="0"/>
    <w:rPr>
      <w:rFonts w:ascii="Calibri" w:hAnsi="Calibri"/>
      <w:sz w:val="24"/>
    </w:rPr>
  </w:style>
  <w:style w:type="paragraph" w:customStyle="1" w:styleId="170">
    <w:name w:val="Char Char Char Char Char Char Char Char Char Char Char Char Char Char Char Char Char Char Char Char Char1 Char Char Char Char"/>
    <w:basedOn w:val="1"/>
    <w:autoRedefine/>
    <w:qFormat/>
    <w:uiPriority w:val="0"/>
    <w:rPr>
      <w:rFonts w:ascii="Calibri" w:hAnsi="Calibri"/>
      <w:sz w:val="24"/>
    </w:rPr>
  </w:style>
  <w:style w:type="paragraph" w:customStyle="1" w:styleId="1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2">
    <w:name w:val="xl24"/>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kern w:val="0"/>
      <w:sz w:val="24"/>
    </w:rPr>
  </w:style>
  <w:style w:type="paragraph" w:customStyle="1" w:styleId="173">
    <w:name w:val="1 Char Char Char Char"/>
    <w:basedOn w:val="1"/>
    <w:autoRedefine/>
    <w:qFormat/>
    <w:uiPriority w:val="0"/>
    <w:rPr>
      <w:rFonts w:ascii="Calibri" w:hAnsi="Calibri"/>
    </w:rPr>
  </w:style>
  <w:style w:type="paragraph" w:customStyle="1" w:styleId="174">
    <w:name w:val="zxz5"/>
    <w:next w:val="1"/>
    <w:autoRedefine/>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75">
    <w:name w:val="_Style 78"/>
    <w:basedOn w:val="1"/>
    <w:autoRedefine/>
    <w:qFormat/>
    <w:uiPriority w:val="0"/>
    <w:pPr>
      <w:spacing w:before="62" w:beforeLines="20" w:line="440" w:lineRule="atLeast"/>
      <w:ind w:firstLine="200" w:firstLineChars="200"/>
    </w:pPr>
    <w:rPr>
      <w:rFonts w:ascii="Calibri" w:hAnsi="Calibri"/>
      <w:sz w:val="24"/>
    </w:rPr>
  </w:style>
  <w:style w:type="paragraph" w:customStyle="1" w:styleId="176">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7">
    <w:name w:val="表题"/>
    <w:basedOn w:val="31"/>
    <w:autoRedefine/>
    <w:qFormat/>
    <w:uiPriority w:val="0"/>
    <w:pPr>
      <w:spacing w:before="156" w:beforeLines="50" w:line="480" w:lineRule="exact"/>
      <w:ind w:left="0" w:firstLine="0" w:firstLineChars="0"/>
      <w:jc w:val="center"/>
    </w:pPr>
    <w:rPr>
      <w:rFonts w:eastAsia="黑体"/>
      <w:sz w:val="28"/>
      <w:szCs w:val="24"/>
    </w:rPr>
  </w:style>
  <w:style w:type="paragraph" w:customStyle="1" w:styleId="178">
    <w:name w:val="Char Char Char"/>
    <w:basedOn w:val="1"/>
    <w:autoRedefine/>
    <w:qFormat/>
    <w:uiPriority w:val="0"/>
    <w:rPr>
      <w:rFonts w:ascii="Calibri" w:hAnsi="Calibri"/>
      <w:sz w:val="24"/>
    </w:rPr>
  </w:style>
  <w:style w:type="paragraph" w:customStyle="1" w:styleId="179">
    <w:name w:val=" Char Char Char Char Char Char Char Char Char Char Char Char"/>
    <w:basedOn w:val="1"/>
    <w:autoRedefine/>
    <w:qFormat/>
    <w:uiPriority w:val="0"/>
    <w:rPr>
      <w:rFonts w:ascii="Calibri" w:hAnsi="Calibri"/>
      <w:sz w:val="24"/>
    </w:rPr>
  </w:style>
  <w:style w:type="paragraph" w:customStyle="1" w:styleId="180">
    <w:name w:val=" Char Char Char Char"/>
    <w:basedOn w:val="1"/>
    <w:autoRedefine/>
    <w:qFormat/>
    <w:uiPriority w:val="0"/>
    <w:rPr>
      <w:rFonts w:ascii="Calibri" w:hAnsi="Calibri"/>
      <w:sz w:val="24"/>
    </w:rPr>
  </w:style>
  <w:style w:type="paragraph" w:customStyle="1" w:styleId="181">
    <w:name w:val="默认段落字体 Para Char Char Char Char Char Char Char Char Char Char Char Char Char"/>
    <w:basedOn w:val="1"/>
    <w:autoRedefine/>
    <w:qFormat/>
    <w:uiPriority w:val="0"/>
    <w:rPr>
      <w:rFonts w:ascii="Calibri" w:hAnsi="Calibri"/>
      <w:sz w:val="24"/>
    </w:rPr>
  </w:style>
  <w:style w:type="paragraph" w:customStyle="1" w:styleId="182">
    <w:name w:val="样式 标题 1 + 段前: 1 行 段后: 1.5 行"/>
    <w:basedOn w:val="1"/>
    <w:autoRedefine/>
    <w:qFormat/>
    <w:uiPriority w:val="0"/>
    <w:pPr>
      <w:tabs>
        <w:tab w:val="left" w:pos="432"/>
      </w:tabs>
      <w:ind w:left="432" w:hanging="432"/>
    </w:pPr>
    <w:rPr>
      <w:rFonts w:ascii="Calibri" w:hAnsi="Calibri"/>
    </w:rPr>
  </w:style>
  <w:style w:type="paragraph" w:customStyle="1" w:styleId="183">
    <w:name w:val="Other|1"/>
    <w:basedOn w:val="1"/>
    <w:autoRedefine/>
    <w:qFormat/>
    <w:uiPriority w:val="0"/>
    <w:pPr>
      <w:jc w:val="center"/>
    </w:pPr>
    <w:rPr>
      <w:rFonts w:ascii="宋体" w:hAnsi="宋体" w:cs="宋体"/>
      <w:szCs w:val="20"/>
      <w:lang w:val="zh-TW" w:eastAsia="zh-TW" w:bidi="zh-TW"/>
    </w:rPr>
  </w:style>
  <w:style w:type="paragraph" w:customStyle="1" w:styleId="184">
    <w:name w:val="正文首行缩进1"/>
    <w:basedOn w:val="16"/>
    <w:autoRedefine/>
    <w:qFormat/>
    <w:uiPriority w:val="0"/>
    <w:pPr>
      <w:widowControl w:val="0"/>
      <w:snapToGrid/>
      <w:spacing w:before="0" w:after="120" w:line="240" w:lineRule="auto"/>
      <w:ind w:right="0" w:firstLine="420" w:firstLineChars="100"/>
    </w:pPr>
    <w:rPr>
      <w:rFonts w:hAnsi="Calibri"/>
      <w:kern w:val="2"/>
      <w:sz w:val="21"/>
    </w:rPr>
  </w:style>
  <w:style w:type="paragraph" w:customStyle="1" w:styleId="185">
    <w:name w:val="p0"/>
    <w:basedOn w:val="1"/>
    <w:autoRedefine/>
    <w:qFormat/>
    <w:uiPriority w:val="0"/>
    <w:pPr>
      <w:widowControl/>
    </w:pPr>
    <w:rPr>
      <w:rFonts w:ascii="Calibri" w:hAnsi="Calibri"/>
      <w:kern w:val="0"/>
      <w:szCs w:val="21"/>
    </w:rPr>
  </w:style>
  <w:style w:type="paragraph" w:customStyle="1" w:styleId="186">
    <w:name w:val="Date1"/>
    <w:basedOn w:val="1"/>
    <w:next w:val="1"/>
    <w:autoRedefine/>
    <w:qFormat/>
    <w:uiPriority w:val="0"/>
    <w:pPr>
      <w:adjustRightInd w:val="0"/>
      <w:textAlignment w:val="baseline"/>
    </w:pPr>
    <w:rPr>
      <w:rFonts w:ascii="Calibri" w:hAnsi="Calibri"/>
      <w:szCs w:val="20"/>
    </w:rPr>
  </w:style>
  <w:style w:type="paragraph" w:customStyle="1" w:styleId="187">
    <w:name w:val="Char Char Char Char Char Char Char Char Char1 Char Char Char Char Char Char Char"/>
    <w:basedOn w:val="1"/>
    <w:autoRedefine/>
    <w:qFormat/>
    <w:uiPriority w:val="0"/>
    <w:rPr>
      <w:rFonts w:ascii="Calibri" w:hAnsi="Calibri"/>
      <w:szCs w:val="20"/>
    </w:rPr>
  </w:style>
  <w:style w:type="paragraph" w:customStyle="1" w:styleId="188">
    <w:name w:val="表格文字2"/>
    <w:basedOn w:val="1"/>
    <w:autoRedefine/>
    <w:qFormat/>
    <w:uiPriority w:val="0"/>
    <w:pPr>
      <w:tabs>
        <w:tab w:val="left" w:pos="277"/>
        <w:tab w:val="left" w:pos="600"/>
        <w:tab w:val="left" w:pos="780"/>
        <w:tab w:val="left" w:pos="2517"/>
      </w:tabs>
      <w:adjustRightInd w:val="0"/>
      <w:snapToGrid w:val="0"/>
      <w:jc w:val="center"/>
      <w:textAlignment w:val="baseline"/>
    </w:pPr>
    <w:rPr>
      <w:rFonts w:ascii="Calibri" w:hAnsi="Calibri"/>
      <w:kern w:val="0"/>
      <w:szCs w:val="21"/>
    </w:rPr>
  </w:style>
  <w:style w:type="paragraph" w:customStyle="1" w:styleId="18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190">
    <w:name w:val="正文文本缩进1"/>
    <w:basedOn w:val="1"/>
    <w:autoRedefine/>
    <w:qFormat/>
    <w:uiPriority w:val="0"/>
    <w:pPr>
      <w:spacing w:line="360" w:lineRule="auto"/>
      <w:ind w:firstLine="480"/>
    </w:pPr>
    <w:rPr>
      <w:rFonts w:hint="eastAsia" w:ascii="Calibri" w:hAnsi="Calibri"/>
      <w:sz w:val="24"/>
      <w:szCs w:val="20"/>
    </w:rPr>
  </w:style>
  <w:style w:type="paragraph" w:customStyle="1" w:styleId="191">
    <w:name w:val="p19"/>
    <w:basedOn w:val="1"/>
    <w:autoRedefine/>
    <w:qFormat/>
    <w:uiPriority w:val="0"/>
    <w:pPr>
      <w:widowControl/>
      <w:jc w:val="center"/>
    </w:pPr>
    <w:rPr>
      <w:rFonts w:ascii="仿宋_GB2312" w:hAnsi="宋体" w:eastAsia="仿宋_GB2312" w:cs="宋体"/>
      <w:kern w:val="0"/>
      <w:sz w:val="24"/>
    </w:rPr>
  </w:style>
  <w:style w:type="paragraph" w:customStyle="1" w:styleId="192">
    <w:name w:val="正文文本 (2)1"/>
    <w:basedOn w:val="1"/>
    <w:autoRedefine/>
    <w:qFormat/>
    <w:uiPriority w:val="0"/>
    <w:pPr>
      <w:shd w:val="clear" w:color="auto" w:fill="FFFFFF"/>
      <w:spacing w:after="660" w:line="0" w:lineRule="atLeast"/>
      <w:jc w:val="center"/>
    </w:pPr>
    <w:rPr>
      <w:rFonts w:ascii="MingLiU" w:hAnsi="MingLiU" w:eastAsia="MingLiU" w:cs="MingLiU"/>
      <w:sz w:val="22"/>
      <w:szCs w:val="22"/>
    </w:rPr>
  </w:style>
  <w:style w:type="paragraph" w:customStyle="1" w:styleId="193">
    <w:name w:val=" Char Char Char1 Char Char Char Char"/>
    <w:basedOn w:val="1"/>
    <w:autoRedefine/>
    <w:qFormat/>
    <w:uiPriority w:val="0"/>
    <w:rPr>
      <w:rFonts w:ascii="Calibri" w:hAnsi="Calibri"/>
      <w:sz w:val="24"/>
    </w:rPr>
  </w:style>
  <w:style w:type="paragraph" w:customStyle="1" w:styleId="194">
    <w:name w:val="报告表格"/>
    <w:basedOn w:val="1"/>
    <w:autoRedefine/>
    <w:qFormat/>
    <w:uiPriority w:val="0"/>
    <w:pPr>
      <w:autoSpaceDE w:val="0"/>
      <w:autoSpaceDN w:val="0"/>
      <w:adjustRightInd w:val="0"/>
      <w:spacing w:before="40" w:after="40"/>
      <w:jc w:val="center"/>
      <w:textAlignment w:val="baseline"/>
    </w:pPr>
    <w:rPr>
      <w:rFonts w:ascii="Calibri" w:hAnsi="Calibri"/>
      <w:kern w:val="0"/>
      <w:szCs w:val="20"/>
    </w:rPr>
  </w:style>
  <w:style w:type="paragraph" w:customStyle="1" w:styleId="195">
    <w:name w:val="xl67"/>
    <w:basedOn w:val="1"/>
    <w:autoRedefine/>
    <w:qFormat/>
    <w:uiPriority w:val="0"/>
    <w:pPr>
      <w:widowControl/>
      <w:pBdr>
        <w:left w:val="single" w:color="auto" w:sz="4" w:space="0"/>
      </w:pBdr>
      <w:spacing w:before="100" w:beforeAutospacing="1" w:after="100" w:afterAutospacing="1"/>
    </w:pPr>
    <w:rPr>
      <w:rFonts w:hint="eastAsia" w:ascii="仿宋_GB2312" w:hAnsi="宋体" w:eastAsia="仿宋_GB2312"/>
      <w:kern w:val="0"/>
      <w:sz w:val="24"/>
      <w:szCs w:val="20"/>
    </w:rPr>
  </w:style>
  <w:style w:type="paragraph" w:customStyle="1" w:styleId="19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3"/>
    <w:basedOn w:val="1"/>
    <w:autoRedefine/>
    <w:qFormat/>
    <w:uiPriority w:val="0"/>
    <w:rPr>
      <w:rFonts w:ascii="Calibri" w:hAnsi="Calibri"/>
      <w:sz w:val="24"/>
    </w:rPr>
  </w:style>
  <w:style w:type="paragraph" w:customStyle="1" w:styleId="198">
    <w:name w:val="样式 XYF1 + 宋体"/>
    <w:basedOn w:val="1"/>
    <w:autoRedefine/>
    <w:qFormat/>
    <w:uiPriority w:val="0"/>
    <w:pPr>
      <w:tabs>
        <w:tab w:val="left" w:pos="1080"/>
      </w:tabs>
      <w:spacing w:line="480" w:lineRule="exact"/>
      <w:ind w:firstLine="200" w:firstLineChars="200"/>
    </w:pPr>
    <w:rPr>
      <w:rFonts w:ascii="宋体" w:hAnsi="宋体" w:cs="宋体"/>
      <w:sz w:val="28"/>
      <w:szCs w:val="20"/>
    </w:rPr>
  </w:style>
  <w:style w:type="paragraph" w:customStyle="1" w:styleId="199">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Char Char Char Char Char Char Char Char Char1 Char"/>
    <w:basedOn w:val="1"/>
    <w:autoRedefine/>
    <w:qFormat/>
    <w:uiPriority w:val="0"/>
    <w:rPr>
      <w:rFonts w:ascii="Calibri" w:hAnsi="Calibri"/>
      <w:sz w:val="24"/>
    </w:rPr>
  </w:style>
  <w:style w:type="paragraph" w:customStyle="1" w:styleId="201">
    <w:name w:val="listparagraph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2">
    <w:name w:val="p18"/>
    <w:basedOn w:val="1"/>
    <w:autoRedefine/>
    <w:qFormat/>
    <w:uiPriority w:val="0"/>
    <w:pPr>
      <w:widowControl/>
    </w:pPr>
    <w:rPr>
      <w:rFonts w:ascii="Calibri" w:hAnsi="Calibri"/>
      <w:kern w:val="0"/>
      <w:szCs w:val="21"/>
    </w:rPr>
  </w:style>
  <w:style w:type="paragraph" w:customStyle="1" w:styleId="203">
    <w:name w:val="默认段落字体 Para Char"/>
    <w:basedOn w:val="1"/>
    <w:autoRedefine/>
    <w:qFormat/>
    <w:uiPriority w:val="0"/>
    <w:rPr>
      <w:rFonts w:ascii="Calibri" w:hAnsi="Calibri"/>
      <w:sz w:val="24"/>
    </w:rPr>
  </w:style>
  <w:style w:type="paragraph" w:customStyle="1" w:styleId="204">
    <w:name w:val="默认段落字体 Para Char Char Char Char Char Char Char"/>
    <w:basedOn w:val="1"/>
    <w:autoRedefine/>
    <w:qFormat/>
    <w:uiPriority w:val="0"/>
    <w:rPr>
      <w:rFonts w:ascii="Calibri" w:hAnsi="Calibri"/>
      <w:sz w:val="24"/>
    </w:rPr>
  </w:style>
  <w:style w:type="paragraph" w:customStyle="1" w:styleId="205">
    <w:name w:val="表头"/>
    <w:basedOn w:val="11"/>
    <w:autoRedefine/>
    <w:qFormat/>
    <w:uiPriority w:val="0"/>
    <w:pPr>
      <w:ind w:firstLine="2042" w:firstLineChars="850"/>
    </w:pPr>
    <w:rPr>
      <w:rFonts w:ascii="Calibri" w:hAnsi="宋体"/>
      <w:b/>
      <w:bCs/>
      <w:color w:val="000000"/>
      <w:sz w:val="24"/>
      <w:szCs w:val="20"/>
    </w:rPr>
  </w:style>
  <w:style w:type="paragraph" w:customStyle="1" w:styleId="206">
    <w:name w:val="正文缩进2"/>
    <w:basedOn w:val="1"/>
    <w:autoRedefine/>
    <w:qFormat/>
    <w:uiPriority w:val="0"/>
    <w:pPr>
      <w:ind w:firstLine="200" w:firstLineChars="200"/>
    </w:pPr>
    <w:rPr>
      <w:rFonts w:ascii="Calibri" w:hAnsi="Calibri"/>
      <w:sz w:val="24"/>
      <w:szCs w:val="20"/>
    </w:rPr>
  </w:style>
  <w:style w:type="paragraph" w:customStyle="1" w:styleId="207">
    <w:name w:val=" Char1"/>
    <w:basedOn w:val="1"/>
    <w:autoRedefine/>
    <w:qFormat/>
    <w:uiPriority w:val="0"/>
    <w:rPr>
      <w:rFonts w:ascii="Calibri" w:hAnsi="Calibri"/>
      <w:sz w:val="24"/>
    </w:rPr>
  </w:style>
  <w:style w:type="paragraph" w:customStyle="1" w:styleId="208">
    <w:name w:val="Char"/>
    <w:basedOn w:val="1"/>
    <w:autoRedefine/>
    <w:qFormat/>
    <w:uiPriority w:val="0"/>
    <w:rPr>
      <w:rFonts w:ascii="Calibri" w:hAnsi="Calibri"/>
      <w:sz w:val="24"/>
    </w:rPr>
  </w:style>
  <w:style w:type="paragraph" w:customStyle="1" w:styleId="209">
    <w:name w:val="_Style 7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List Paragraph"/>
    <w:basedOn w:val="1"/>
    <w:autoRedefine/>
    <w:qFormat/>
    <w:uiPriority w:val="99"/>
    <w:pPr>
      <w:ind w:firstLine="420" w:firstLineChars="200"/>
    </w:pPr>
    <w:rPr>
      <w:rFonts w:ascii="Calibri" w:hAnsi="Calibri"/>
      <w:szCs w:val="22"/>
    </w:rPr>
  </w:style>
  <w:style w:type="paragraph" w:customStyle="1" w:styleId="211">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Char1 Char Char Char Char Char"/>
    <w:basedOn w:val="1"/>
    <w:autoRedefine/>
    <w:qFormat/>
    <w:uiPriority w:val="0"/>
    <w:rPr>
      <w:rFonts w:ascii="Calibri" w:hAnsi="Calibri"/>
      <w:szCs w:val="20"/>
    </w:rPr>
  </w:style>
  <w:style w:type="paragraph" w:customStyle="1" w:styleId="213">
    <w:name w:val="Char Char Char Char Char Char Char Char Char"/>
    <w:basedOn w:val="1"/>
    <w:autoRedefine/>
    <w:qFormat/>
    <w:uiPriority w:val="0"/>
    <w:rPr>
      <w:rFonts w:ascii="Calibri" w:hAnsi="Calibri"/>
      <w:sz w:val="24"/>
    </w:rPr>
  </w:style>
  <w:style w:type="paragraph" w:customStyle="1" w:styleId="214">
    <w:name w:val="Char Char1 Char"/>
    <w:basedOn w:val="1"/>
    <w:autoRedefine/>
    <w:qFormat/>
    <w:uiPriority w:val="0"/>
    <w:rPr>
      <w:rFonts w:ascii="Calibri" w:hAnsi="Calibri"/>
      <w:sz w:val="24"/>
    </w:rPr>
  </w:style>
  <w:style w:type="paragraph" w:customStyle="1" w:styleId="215">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216">
    <w:name w:val="_Style 201"/>
    <w:autoRedefine/>
    <w:qFormat/>
    <w:uiPriority w:val="0"/>
    <w:rPr>
      <w:rFonts w:ascii="Calibri" w:hAnsi="Calibri" w:eastAsia="宋体" w:cs="Times New Roman"/>
      <w:kern w:val="2"/>
      <w:sz w:val="21"/>
      <w:lang w:val="en-US" w:eastAsia="zh-CN" w:bidi="ar-SA"/>
    </w:rPr>
  </w:style>
  <w:style w:type="paragraph" w:customStyle="1" w:styleId="217">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218">
    <w:name w:val="标题 41"/>
    <w:basedOn w:val="1"/>
    <w:autoRedefine/>
    <w:qFormat/>
    <w:uiPriority w:val="1"/>
    <w:pPr>
      <w:jc w:val="left"/>
      <w:outlineLvl w:val="4"/>
    </w:pPr>
    <w:rPr>
      <w:rFonts w:ascii="宋体" w:hAnsi="宋体"/>
      <w:bCs/>
      <w:kern w:val="0"/>
      <w:sz w:val="24"/>
      <w:lang w:eastAsia="en-US"/>
    </w:rPr>
  </w:style>
  <w:style w:type="paragraph" w:customStyle="1" w:styleId="219">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0">
    <w:name w:val="5正文 首行缩进"/>
    <w:basedOn w:val="1"/>
    <w:autoRedefine/>
    <w:qFormat/>
    <w:uiPriority w:val="0"/>
    <w:pPr>
      <w:adjustRightInd w:val="0"/>
      <w:snapToGrid w:val="0"/>
      <w:spacing w:line="360" w:lineRule="auto"/>
      <w:ind w:firstLine="480" w:firstLineChars="200"/>
    </w:pPr>
    <w:rPr>
      <w:rFonts w:ascii="Calibri" w:hAnsi="Calibri" w:cs="宋体"/>
      <w:sz w:val="24"/>
      <w:szCs w:val="20"/>
    </w:rPr>
  </w:style>
  <w:style w:type="paragraph" w:customStyle="1" w:styleId="221">
    <w:name w:val="小四表文左齐"/>
    <w:basedOn w:val="1"/>
    <w:autoRedefine/>
    <w:qFormat/>
    <w:uiPriority w:val="0"/>
    <w:pPr>
      <w:jc w:val="center"/>
    </w:pPr>
    <w:rPr>
      <w:rFonts w:ascii="宋体" w:hAnsi="宋体"/>
      <w:color w:val="000000"/>
      <w:szCs w:val="21"/>
    </w:rPr>
  </w:style>
  <w:style w:type="paragraph" w:customStyle="1" w:styleId="222">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3">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4">
    <w:name w:val="Char Char Char Char Char Char Char Char1 Char Char Char Char Char Char Char Char Char Char Char Char1 Char"/>
    <w:basedOn w:val="1"/>
    <w:autoRedefine/>
    <w:qFormat/>
    <w:uiPriority w:val="0"/>
    <w:rPr>
      <w:rFonts w:ascii="Calibri" w:hAnsi="Calibri"/>
      <w:szCs w:val="20"/>
    </w:rPr>
  </w:style>
  <w:style w:type="paragraph" w:customStyle="1" w:styleId="225">
    <w:name w:val="表文字"/>
    <w:basedOn w:val="1"/>
    <w:autoRedefine/>
    <w:qFormat/>
    <w:uiPriority w:val="0"/>
    <w:pPr>
      <w:widowControl/>
      <w:jc w:val="center"/>
    </w:pPr>
    <w:rPr>
      <w:rFonts w:ascii="Calibri" w:hAnsi="Calibri"/>
      <w:kern w:val="0"/>
      <w:szCs w:val="21"/>
    </w:rPr>
  </w:style>
  <w:style w:type="paragraph" w:customStyle="1" w:styleId="226">
    <w:name w:val="Char Char Char Char Char Char Char Char Char Char Char Char Char Char Char Char Char Char"/>
    <w:basedOn w:val="1"/>
    <w:autoRedefine/>
    <w:qFormat/>
    <w:uiPriority w:val="0"/>
    <w:rPr>
      <w:rFonts w:ascii="Calibri" w:hAnsi="Calibri"/>
      <w:sz w:val="24"/>
    </w:rPr>
  </w:style>
  <w:style w:type="paragraph" w:customStyle="1" w:styleId="227">
    <w:name w:val="p17"/>
    <w:basedOn w:val="1"/>
    <w:autoRedefine/>
    <w:qFormat/>
    <w:uiPriority w:val="0"/>
    <w:pPr>
      <w:widowControl/>
      <w:pBdr>
        <w:bottom w:val="single" w:color="000000" w:sz="4" w:space="0"/>
        <w:right w:val="single" w:color="000000" w:sz="4" w:space="0"/>
      </w:pBdr>
      <w:spacing w:before="100" w:after="100"/>
      <w:jc w:val="center"/>
    </w:pPr>
    <w:rPr>
      <w:rFonts w:ascii="宋体" w:hAnsi="宋体" w:cs="宋体"/>
      <w:kern w:val="0"/>
      <w:szCs w:val="21"/>
    </w:rPr>
  </w:style>
  <w:style w:type="paragraph" w:customStyle="1" w:styleId="228">
    <w:name w:val="默认段落字体 Para Char Char Char Char"/>
    <w:basedOn w:val="1"/>
    <w:autoRedefine/>
    <w:qFormat/>
    <w:uiPriority w:val="0"/>
    <w:rPr>
      <w:rFonts w:ascii="Calibri" w:hAnsi="Calibri"/>
      <w:sz w:val="24"/>
    </w:rPr>
  </w:style>
  <w:style w:type="paragraph" w:customStyle="1" w:styleId="229">
    <w:name w:val="样式3"/>
    <w:basedOn w:val="22"/>
    <w:autoRedefine/>
    <w:qFormat/>
    <w:uiPriority w:val="0"/>
    <w:pPr>
      <w:widowControl/>
      <w:adjustRightInd w:val="0"/>
      <w:snapToGrid w:val="0"/>
      <w:spacing w:line="360" w:lineRule="auto"/>
      <w:ind w:left="0" w:leftChars="0" w:firstLine="480" w:firstLineChars="200"/>
      <w:jc w:val="center"/>
    </w:pPr>
    <w:rPr>
      <w:rFonts w:ascii="宋体" w:hAnsi="宋体"/>
      <w:szCs w:val="24"/>
    </w:rPr>
  </w:style>
  <w:style w:type="paragraph" w:customStyle="1" w:styleId="230">
    <w:name w:val="Char Char Char1 Char Char Char"/>
    <w:basedOn w:val="1"/>
    <w:autoRedefine/>
    <w:qFormat/>
    <w:uiPriority w:val="0"/>
    <w:rPr>
      <w:rFonts w:ascii="Calibri" w:hAnsi="Calibri"/>
      <w:sz w:val="24"/>
    </w:rPr>
  </w:style>
  <w:style w:type="paragraph" w:customStyle="1" w:styleId="231">
    <w:name w:val="z-窗体顶端1"/>
    <w:basedOn w:val="1"/>
    <w:next w:val="1"/>
    <w:autoRedefine/>
    <w:qFormat/>
    <w:uiPriority w:val="0"/>
    <w:pPr>
      <w:pBdr>
        <w:bottom w:val="single" w:color="auto" w:sz="6" w:space="1"/>
      </w:pBdr>
      <w:adjustRightInd w:val="0"/>
      <w:snapToGrid w:val="0"/>
      <w:spacing w:line="300" w:lineRule="auto"/>
      <w:jc w:val="center"/>
    </w:pPr>
    <w:rPr>
      <w:rFonts w:ascii="Arial" w:hAnsi="Arial" w:eastAsia="仿宋_GB2312" w:cs="Arial"/>
      <w:vanish/>
      <w:sz w:val="16"/>
      <w:szCs w:val="16"/>
    </w:rPr>
  </w:style>
  <w:style w:type="paragraph" w:customStyle="1" w:styleId="232">
    <w:name w:val="新表"/>
    <w:basedOn w:val="1"/>
    <w:autoRedefine/>
    <w:qFormat/>
    <w:uiPriority w:val="0"/>
    <w:pPr>
      <w:spacing w:line="360" w:lineRule="exact"/>
    </w:pPr>
    <w:rPr>
      <w:rFonts w:ascii="Calibri" w:hAnsi="Calibri" w:eastAsia="仿宋_GB2312"/>
      <w:bCs/>
      <w:kern w:val="0"/>
      <w:sz w:val="24"/>
      <w:szCs w:val="20"/>
    </w:rPr>
  </w:style>
  <w:style w:type="paragraph" w:customStyle="1" w:styleId="233">
    <w:name w:val="列出段落2"/>
    <w:basedOn w:val="1"/>
    <w:autoRedefine/>
    <w:qFormat/>
    <w:uiPriority w:val="0"/>
    <w:pPr>
      <w:ind w:firstLine="420" w:firstLineChars="200"/>
    </w:pPr>
    <w:rPr>
      <w:rFonts w:ascii="Calibri" w:hAnsi="Calibri"/>
      <w:szCs w:val="22"/>
    </w:rPr>
  </w:style>
  <w:style w:type="paragraph" w:customStyle="1" w:styleId="234">
    <w:name w:val="xl23"/>
    <w:basedOn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235">
    <w:name w:val="报告表正文"/>
    <w:basedOn w:val="1"/>
    <w:autoRedefine/>
    <w:qFormat/>
    <w:uiPriority w:val="0"/>
    <w:pPr>
      <w:spacing w:line="360" w:lineRule="auto"/>
      <w:ind w:firstLine="200" w:firstLineChars="200"/>
      <w:textAlignment w:val="baseline"/>
    </w:pPr>
    <w:rPr>
      <w:rFonts w:ascii="Calibri" w:hAnsi="Calibri"/>
      <w:sz w:val="24"/>
      <w:szCs w:val="20"/>
    </w:rPr>
  </w:style>
  <w:style w:type="paragraph" w:customStyle="1" w:styleId="236">
    <w:name w:val="样式1"/>
    <w:basedOn w:val="4"/>
    <w:autoRedefine/>
    <w:qFormat/>
    <w:uiPriority w:val="0"/>
    <w:pPr>
      <w:tabs>
        <w:tab w:val="left" w:pos="1740"/>
      </w:tabs>
      <w:adjustRightInd w:val="0"/>
      <w:snapToGrid w:val="0"/>
      <w:spacing w:before="120" w:after="120" w:line="300" w:lineRule="auto"/>
      <w:ind w:left="720" w:hanging="720"/>
    </w:pPr>
    <w:rPr>
      <w:rFonts w:eastAsia="仿宋_GB2312"/>
      <w:b w:val="0"/>
      <w:bCs w:val="0"/>
      <w:color w:val="0000FF"/>
      <w:sz w:val="28"/>
      <w:szCs w:val="28"/>
    </w:rPr>
  </w:style>
  <w:style w:type="paragraph" w:customStyle="1" w:styleId="237">
    <w:name w:val="p15"/>
    <w:basedOn w:val="1"/>
    <w:autoRedefine/>
    <w:qFormat/>
    <w:uiPriority w:val="0"/>
    <w:pPr>
      <w:widowControl/>
      <w:snapToGrid w:val="0"/>
      <w:ind w:left="113" w:right="-80" w:hanging="113"/>
      <w:jc w:val="center"/>
    </w:pPr>
    <w:rPr>
      <w:rFonts w:ascii="仿宋_GB2312" w:hAnsi="宋体" w:eastAsia="仿宋_GB2312" w:cs="宋体"/>
      <w:kern w:val="0"/>
      <w:sz w:val="20"/>
      <w:szCs w:val="20"/>
    </w:rPr>
  </w:style>
  <w:style w:type="paragraph" w:customStyle="1" w:styleId="238">
    <w:name w:val="默认段落字体 Para Char Char Char Char Char Char1 Char Char Char Char Char Char Char"/>
    <w:basedOn w:val="1"/>
    <w:autoRedefine/>
    <w:qFormat/>
    <w:uiPriority w:val="0"/>
    <w:rPr>
      <w:rFonts w:ascii="Calibri" w:hAnsi="Calibri"/>
      <w:sz w:val="24"/>
    </w:rPr>
  </w:style>
  <w:style w:type="paragraph" w:customStyle="1" w:styleId="239">
    <w:name w:val="List Paragraph1"/>
    <w:basedOn w:val="1"/>
    <w:autoRedefine/>
    <w:qFormat/>
    <w:uiPriority w:val="0"/>
    <w:pPr>
      <w:ind w:firstLine="420" w:firstLineChars="200"/>
    </w:pPr>
    <w:rPr>
      <w:rFonts w:ascii="Calibri" w:hAnsi="Calibri"/>
      <w:szCs w:val="22"/>
    </w:rPr>
  </w:style>
  <w:style w:type="paragraph" w:customStyle="1" w:styleId="240">
    <w:name w:val="1"/>
    <w:basedOn w:val="1"/>
    <w:next w:val="17"/>
    <w:autoRedefine/>
    <w:qFormat/>
    <w:uiPriority w:val="0"/>
    <w:pPr>
      <w:spacing w:line="360" w:lineRule="auto"/>
      <w:ind w:firstLine="480"/>
    </w:pPr>
    <w:rPr>
      <w:rFonts w:ascii="Calibri" w:hAnsi="Calibri"/>
      <w:sz w:val="24"/>
      <w:szCs w:val="20"/>
    </w:rPr>
  </w:style>
  <w:style w:type="paragraph" w:customStyle="1" w:styleId="241">
    <w:name w:val="xl42"/>
    <w:basedOn w:val="1"/>
    <w:autoRedefine/>
    <w:qFormat/>
    <w:uiPriority w:val="0"/>
    <w:pPr>
      <w:widowControl/>
      <w:pBdr>
        <w:bottom w:val="dotted" w:color="auto" w:sz="4" w:space="0"/>
        <w:right w:val="dotted" w:color="auto" w:sz="4" w:space="0"/>
      </w:pBdr>
      <w:spacing w:before="100" w:beforeAutospacing="1" w:after="100" w:afterAutospacing="1"/>
    </w:pPr>
    <w:rPr>
      <w:rFonts w:ascii="Calibri" w:hAnsi="Calibri"/>
      <w:kern w:val="0"/>
      <w:szCs w:val="21"/>
    </w:rPr>
  </w:style>
  <w:style w:type="paragraph" w:customStyle="1" w:styleId="242">
    <w:name w:val="文本框"/>
    <w:basedOn w:val="1"/>
    <w:next w:val="1"/>
    <w:autoRedefine/>
    <w:qFormat/>
    <w:uiPriority w:val="0"/>
    <w:pPr>
      <w:tabs>
        <w:tab w:val="left" w:pos="0"/>
      </w:tabs>
      <w:spacing w:line="240" w:lineRule="atLeast"/>
      <w:jc w:val="center"/>
    </w:pPr>
    <w:rPr>
      <w:rFonts w:ascii="Calibri" w:hAnsi="Calibri" w:eastAsia="仿宋_GB2312"/>
      <w:spacing w:val="12"/>
      <w:szCs w:val="28"/>
    </w:rPr>
  </w:style>
  <w:style w:type="paragraph" w:customStyle="1" w:styleId="243">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rPr>
  </w:style>
  <w:style w:type="paragraph" w:customStyle="1" w:styleId="244">
    <w:name w:val=" Char Char Char Char1 Char Char Char"/>
    <w:basedOn w:val="1"/>
    <w:autoRedefine/>
    <w:qFormat/>
    <w:uiPriority w:val="0"/>
    <w:rPr>
      <w:rFonts w:ascii="Calibri" w:hAnsi="Calibri"/>
      <w:sz w:val="24"/>
    </w:rPr>
  </w:style>
  <w:style w:type="paragraph" w:customStyle="1" w:styleId="245">
    <w:name w:val=" Char Char Char Char Char Char Char"/>
    <w:basedOn w:val="1"/>
    <w:qFormat/>
    <w:uiPriority w:val="0"/>
    <w:rPr>
      <w:rFonts w:ascii="Calibri" w:hAnsi="Calibri"/>
      <w:sz w:val="24"/>
    </w:rPr>
  </w:style>
  <w:style w:type="paragraph" w:customStyle="1" w:styleId="246">
    <w:name w:val="列出段落1"/>
    <w:basedOn w:val="1"/>
    <w:autoRedefine/>
    <w:qFormat/>
    <w:uiPriority w:val="0"/>
    <w:pPr>
      <w:ind w:firstLine="420" w:firstLineChars="200"/>
    </w:pPr>
    <w:rPr>
      <w:rFonts w:ascii="Calibri" w:hAnsi="Calibri"/>
      <w:szCs w:val="22"/>
    </w:rPr>
  </w:style>
  <w:style w:type="paragraph" w:customStyle="1" w:styleId="247">
    <w:name w:val="Char Char Char1 Char"/>
    <w:basedOn w:val="1"/>
    <w:autoRedefine/>
    <w:qFormat/>
    <w:uiPriority w:val="0"/>
    <w:rPr>
      <w:rFonts w:ascii="Calibri" w:hAnsi="Calibri"/>
      <w:sz w:val="24"/>
    </w:rPr>
  </w:style>
  <w:style w:type="paragraph" w:customStyle="1" w:styleId="248">
    <w:name w:val="简单回函地址"/>
    <w:basedOn w:val="1"/>
    <w:autoRedefine/>
    <w:qFormat/>
    <w:uiPriority w:val="0"/>
    <w:rPr>
      <w:rFonts w:ascii="Calibri" w:hAnsi="Calibri"/>
      <w:szCs w:val="20"/>
    </w:rPr>
  </w:style>
  <w:style w:type="paragraph" w:customStyle="1" w:styleId="249">
    <w:name w:val=" Char"/>
    <w:basedOn w:val="1"/>
    <w:autoRedefine/>
    <w:qFormat/>
    <w:uiPriority w:val="0"/>
    <w:rPr>
      <w:rFonts w:ascii="仿宋_GB2312" w:hAnsi="Calibri" w:eastAsia="仿宋_GB2312"/>
      <w:color w:val="000000"/>
      <w:sz w:val="24"/>
    </w:rPr>
  </w:style>
  <w:style w:type="paragraph" w:customStyle="1" w:styleId="250">
    <w:name w:val=" Char Char Char1 Char"/>
    <w:basedOn w:val="1"/>
    <w:autoRedefine/>
    <w:qFormat/>
    <w:uiPriority w:val="0"/>
    <w:rPr>
      <w:rFonts w:ascii="Calibri" w:hAnsi="Calibri"/>
      <w:sz w:val="24"/>
    </w:rPr>
  </w:style>
  <w:style w:type="paragraph" w:customStyle="1" w:styleId="251">
    <w:name w:val="_Style 17"/>
    <w:basedOn w:val="1"/>
    <w:autoRedefine/>
    <w:qFormat/>
    <w:uiPriority w:val="0"/>
    <w:rPr>
      <w:rFonts w:ascii="Calibri" w:hAnsi="Calibri"/>
      <w:szCs w:val="20"/>
    </w:rPr>
  </w:style>
  <w:style w:type="paragraph" w:customStyle="1" w:styleId="252">
    <w:name w:val="5 Char"/>
    <w:basedOn w:val="1"/>
    <w:autoRedefine/>
    <w:qFormat/>
    <w:uiPriority w:val="0"/>
    <w:rPr>
      <w:rFonts w:ascii="Calibri" w:hAnsi="Calibri"/>
      <w:szCs w:val="20"/>
    </w:rPr>
  </w:style>
  <w:style w:type="paragraph" w:customStyle="1" w:styleId="253">
    <w:name w:val="标题2"/>
    <w:basedOn w:val="1"/>
    <w:next w:val="1"/>
    <w:autoRedefine/>
    <w:qFormat/>
    <w:uiPriority w:val="0"/>
    <w:pPr>
      <w:autoSpaceDE w:val="0"/>
      <w:autoSpaceDN w:val="0"/>
      <w:snapToGrid w:val="0"/>
      <w:spacing w:line="590" w:lineRule="atLeast"/>
      <w:jc w:val="center"/>
    </w:pPr>
    <w:rPr>
      <w:rFonts w:ascii="Calibri" w:hAnsi="Calibri" w:eastAsia="方正楷体_GBK"/>
      <w:snapToGrid w:val="0"/>
      <w:kern w:val="0"/>
      <w:sz w:val="32"/>
      <w:szCs w:val="20"/>
    </w:rPr>
  </w:style>
  <w:style w:type="table" w:customStyle="1" w:styleId="254">
    <w:name w:val="标准表格"/>
    <w:basedOn w:val="42"/>
    <w:autoRedefine/>
    <w:qFormat/>
    <w:uiPriority w:val="99"/>
    <w:pPr>
      <w:spacing w:before="74"/>
      <w:jc w:val="center"/>
    </w:pPr>
    <w:rPr>
      <w:rFonts w:ascii="Calibri" w:hAnsi="Calibri"/>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Calibri"/>
        <w:sz w:val="18"/>
      </w:rPr>
      <w:tblPr/>
      <w:trPr>
        <w:tblHeader/>
      </w:trPr>
    </w:tblStylePr>
    <w:tblStylePr w:type="firstCol">
      <w:pPr>
        <w:jc w:val="center"/>
      </w:pPr>
    </w:tblStylePr>
  </w:style>
  <w:style w:type="table" w:customStyle="1" w:styleId="255">
    <w:name w:val="Table Normal"/>
    <w:autoRedefine/>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56">
    <w:name w:val="普通(网站)1"/>
    <w:basedOn w:val="1"/>
    <w:autoRedefine/>
    <w:qFormat/>
    <w:uiPriority w:val="0"/>
    <w:pPr>
      <w:spacing w:before="100" w:beforeAutospacing="1" w:after="100" w:afterAutospacing="1"/>
    </w:pPr>
    <w:rPr>
      <w:rFonts w:ascii="宋体" w:hAnsi="宋体" w:cs="宋体"/>
      <w:szCs w:val="24"/>
    </w:rPr>
  </w:style>
  <w:style w:type="paragraph" w:customStyle="1" w:styleId="257">
    <w:name w:val="报告书 正文"/>
    <w:autoRedefine/>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customStyle="1" w:styleId="258">
    <w:name w:val="表格字体"/>
    <w:basedOn w:val="1"/>
    <w:autoRedefine/>
    <w:qFormat/>
    <w:uiPriority w:val="0"/>
    <w:pPr>
      <w:adjustRightInd w:val="0"/>
      <w:snapToGrid w:val="0"/>
      <w:jc w:val="center"/>
    </w:pPr>
    <w:rPr>
      <w:szCs w:val="21"/>
    </w:rPr>
  </w:style>
  <w:style w:type="character" w:customStyle="1" w:styleId="259">
    <w:name w:val="font81"/>
    <w:autoRedefine/>
    <w:qFormat/>
    <w:uiPriority w:val="99"/>
    <w:rPr>
      <w:rFonts w:ascii="Times New Roman" w:hAnsi="Times New Roman" w:cs="Times New Roman"/>
      <w:color w:val="000000"/>
      <w:sz w:val="21"/>
      <w:szCs w:val="21"/>
      <w:u w:val="none"/>
    </w:rPr>
  </w:style>
  <w:style w:type="character" w:customStyle="1" w:styleId="260">
    <w:name w:val="font31"/>
    <w:autoRedefine/>
    <w:qFormat/>
    <w:uiPriority w:val="0"/>
    <w:rPr>
      <w:rFonts w:hint="default" w:ascii="Times New Roman" w:hAnsi="Times New Roman" w:cs="Times New Roman"/>
      <w:color w:val="000000"/>
      <w:sz w:val="24"/>
      <w:szCs w:val="24"/>
      <w:u w:val="none"/>
    </w:rPr>
  </w:style>
  <w:style w:type="character" w:customStyle="1" w:styleId="261">
    <w:name w:val="表格内文字 Char Char"/>
    <w:link w:val="163"/>
    <w:autoRedefine/>
    <w:qFormat/>
    <w:uiPriority w:val="0"/>
    <w:rPr>
      <w:rFonts w:ascii="Calibri" w:hAnsi="Calibri" w:eastAsia="仿宋_GB2312"/>
      <w:sz w:val="24"/>
    </w:rPr>
  </w:style>
  <w:style w:type="character" w:customStyle="1" w:styleId="262">
    <w:name w:val="font41"/>
    <w:autoRedefine/>
    <w:qFormat/>
    <w:uiPriority w:val="0"/>
    <w:rPr>
      <w:rFonts w:hint="default" w:ascii="Times New Roman" w:hAnsi="Times New Roman" w:cs="Times New Roman"/>
      <w:b/>
      <w:color w:val="000000"/>
      <w:sz w:val="20"/>
      <w:szCs w:val="20"/>
      <w:u w:val="none"/>
    </w:rPr>
  </w:style>
  <w:style w:type="character" w:customStyle="1" w:styleId="263">
    <w:name w:val="标题 4 Char Char"/>
    <w:autoRedefine/>
    <w:qFormat/>
    <w:uiPriority w:val="0"/>
    <w:rPr>
      <w:rFonts w:ascii="仿宋_GB2312" w:hAnsi="宋体" w:eastAsia="仿宋_GB2312"/>
      <w:sz w:val="28"/>
      <w:lang w:val="en-US" w:eastAsia="zh-CN" w:bidi="ar-SA"/>
    </w:rPr>
  </w:style>
  <w:style w:type="paragraph" w:customStyle="1" w:styleId="264">
    <w:name w:val="xl39"/>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265">
    <w:name w:val="1 表格内容"/>
    <w:basedOn w:val="1"/>
    <w:autoRedefine/>
    <w:qFormat/>
    <w:uiPriority w:val="99"/>
    <w:pPr>
      <w:spacing w:line="320" w:lineRule="exact"/>
      <w:jc w:val="center"/>
    </w:pPr>
    <w:rPr>
      <w:szCs w:val="20"/>
    </w:rPr>
  </w:style>
  <w:style w:type="paragraph" w:customStyle="1" w:styleId="266">
    <w:name w:val="表格首行"/>
    <w:basedOn w:val="1"/>
    <w:autoRedefine/>
    <w:qFormat/>
    <w:uiPriority w:val="0"/>
    <w:pPr>
      <w:tabs>
        <w:tab w:val="left" w:pos="277"/>
        <w:tab w:val="left" w:pos="600"/>
        <w:tab w:val="left" w:pos="780"/>
        <w:tab w:val="left" w:pos="2517"/>
      </w:tabs>
      <w:adjustRightInd w:val="0"/>
      <w:jc w:val="center"/>
      <w:textAlignment w:val="baseline"/>
    </w:pPr>
    <w:rPr>
      <w:rFonts w:cs="宋体"/>
      <w:b/>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Users\jl6892\Library\Containers\com.kingsoft.wpsoffice.mac\Data\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93</Pages>
  <Words>19207</Words>
  <Characters>20409</Characters>
  <Lines>203</Lines>
  <Paragraphs>57</Paragraphs>
  <TotalTime>12</TotalTime>
  <ScaleCrop>false</ScaleCrop>
  <LinksUpToDate>false</LinksUpToDate>
  <CharactersWithSpaces>20759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张翯</cp:lastModifiedBy>
  <cp:lastPrinted>2024-09-02T08:46:00Z</cp:lastPrinted>
  <dcterms:modified xsi:type="dcterms:W3CDTF">2025-01-13T02:14:48Z</dcterms:modified>
  <dc:title>附件2</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07E99EADCC7C4A0E975BEA5A5B27D11C_13</vt:lpwstr>
  </property>
  <property fmtid="{D5CDD505-2E9C-101B-9397-08002B2CF9AE}" pid="4" name="KSOTemplateDocerSaveRecord">
    <vt:lpwstr>eyJoZGlkIjoiZjg2ODZiMjQ2MzMwZjI2MzlkNjJhMDllZmUwNjk5ZmIiLCJ1c2VySWQiOiIxMTIxNDMwNzMyIn0=</vt:lpwstr>
  </property>
</Properties>
</file>